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Larry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ORUKA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OAK GROVE AVE.,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Oruka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ORKA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102.42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grant vests as to 1/4 of the shares on September 14, 2027, with the balance vesting in 12 equal quarterly installments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as to 1/4 of the underlying shares on August 24, 2027, and vests as to 1/48 of the underlying shares monthly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Quinlan, as attorney-in-fact for Larry Todd Edwards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4805" TargetMode="External"/><Relationship Id="rId5" Type="http://schemas.openxmlformats.org/officeDocument/2006/relationships/hyperlink" Target="http://www.sec.gov/cgi-bin/browse-edgar?action=getcompany&amp;CIK=00009076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3451</Characters>
  <CharactersWithSpaces>4012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