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50224-10q_oruka.htm"/>
      <w:bookmarkStart w:id="1" w:name="ksea025022410q_oruka"/>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 to 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000-22873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Oruka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12" w:space="0" w:color="000000"/>
            </w:tcBorders>
            <w:vAlign w:val="center"/>
          </w:tcPr>
          <w:p>
            <w:pPr>
              <w:pStyle w:val="TableContents"/>
              <w:bidi w:val="0"/>
              <w:spacing w:before="0" w:after="283"/>
              <w:jc w:val="center"/>
              <w:rPr>
                <w:b/>
                <w:sz w:val="20"/>
              </w:rPr>
            </w:pPr>
            <w:r>
              <w:rPr>
                <w:b/>
                <w:sz w:val="20"/>
              </w:rPr>
              <w:t>36-3855489</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3245"/>
        <w:gridCol w:w="90"/>
        <w:gridCol w:w="980"/>
      </w:tblGrid>
      <w:tr>
        <w:trPr/>
        <w:tc>
          <w:tcPr>
            <w:tcW w:w="3245" w:type="dxa"/>
            <w:tcBorders/>
            <w:vAlign w:val="center"/>
          </w:tcPr>
          <w:p>
            <w:pPr>
              <w:pStyle w:val="TableContents"/>
              <w:bidi w:val="0"/>
              <w:spacing w:before="0" w:after="283"/>
              <w:jc w:val="center"/>
              <w:rPr>
                <w:b/>
                <w:sz w:val="20"/>
              </w:rPr>
            </w:pPr>
            <w:r>
              <w:rPr>
                <w:b/>
                <w:sz w:val="20"/>
              </w:rPr>
              <w:t>855 Oak Grove Avenue</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vAlign w:val="center"/>
          </w:tcPr>
          <w:p>
            <w:pPr>
              <w:pStyle w:val="TableContents"/>
              <w:bidi w:val="0"/>
              <w:spacing w:before="0" w:after="283"/>
              <w:jc w:val="center"/>
              <w:rPr>
                <w:b/>
                <w:sz w:val="20"/>
              </w:rPr>
            </w:pPr>
            <w:r>
              <w:rPr>
                <w:b/>
                <w:sz w:val="20"/>
              </w:rPr>
              <w:t>Suite 100</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 </w:t>
            </w:r>
          </w:p>
        </w:tc>
      </w:tr>
      <w:tr>
        <w:trPr/>
        <w:tc>
          <w:tcPr>
            <w:tcW w:w="324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Menlo Park, California</w:t>
            </w:r>
          </w:p>
        </w:tc>
        <w:tc>
          <w:tcPr>
            <w:tcW w:w="90" w:type="dxa"/>
            <w:tcBorders/>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94025</w:t>
            </w:r>
          </w:p>
        </w:tc>
      </w:tr>
      <w:tr>
        <w:trPr/>
        <w:tc>
          <w:tcPr>
            <w:tcW w:w="3245" w:type="dxa"/>
            <w:tcBorders/>
            <w:vAlign w:val="center"/>
          </w:tcPr>
          <w:p>
            <w:pPr>
              <w:pStyle w:val="TableContents"/>
              <w:bidi w:val="0"/>
              <w:spacing w:before="0" w:after="283"/>
              <w:jc w:val="center"/>
              <w:rPr>
                <w:sz w:val="20"/>
              </w:rPr>
            </w:pPr>
            <w:r>
              <w:rPr>
                <w:sz w:val="20"/>
              </w:rPr>
              <w:t>(Address of principal executive offices)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 606-7910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28" w:type="dxa"/>
          <w:right w:w="0" w:type="dxa"/>
        </w:tblCellMar>
      </w:tblPr>
      <w:tblGrid>
        <w:gridCol w:w="3515"/>
        <w:gridCol w:w="90"/>
        <w:gridCol w:w="1565"/>
        <w:gridCol w:w="90"/>
        <w:gridCol w:w="3650"/>
      </w:tblGrid>
      <w:tr>
        <w:trPr/>
        <w:tc>
          <w:tcPr>
            <w:tcW w:w="3515"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sz w:val="20"/>
              </w:rPr>
            </w:pPr>
            <w:r>
              <w:rPr>
                <w:sz w:val="20"/>
              </w:rPr>
              <w:t>Trading Symbol(s)</w:t>
            </w:r>
          </w:p>
        </w:tc>
        <w:tc>
          <w:tcPr>
            <w:tcW w:w="90" w:type="dxa"/>
            <w:tcBorders/>
            <w:tcMar>
              <w:bottom w:w="0" w:type="dxa"/>
            </w:tcMar>
            <w:vAlign w:val="center"/>
          </w:tcPr>
          <w:p>
            <w:pPr>
              <w:pStyle w:val="TableContents"/>
              <w:bidi w:val="0"/>
              <w:spacing w:before="0" w:after="283"/>
              <w:jc w:val="center"/>
              <w:rPr/>
            </w:pPr>
            <w:r>
              <w:rPr/>
              <w:t> </w:t>
            </w:r>
          </w:p>
        </w:tc>
        <w:tc>
          <w:tcPr>
            <w:tcW w:w="365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sz w:val="20"/>
              </w:rPr>
            </w:pPr>
            <w:r>
              <w:rPr>
                <w:sz w:val="20"/>
              </w:rPr>
              <w:t>Common stock, par value $0.001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sz w:val="20"/>
              </w:rPr>
            </w:pPr>
            <w:r>
              <w:rPr>
                <w:sz w:val="20"/>
              </w:rPr>
              <w:t>ORKA</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3650" w:type="dxa"/>
            <w:tcBorders/>
            <w:shd w:fill="CCEEFF" w:val="clear"/>
            <w:tcMar>
              <w:bottom w:w="0" w:type="dxa"/>
            </w:tcMar>
            <w:vAlign w:val="center"/>
          </w:tcPr>
          <w:p>
            <w:pPr>
              <w:pStyle w:val="TableContents"/>
              <w:bidi w:val="0"/>
              <w:spacing w:before="0" w:after="283"/>
              <w:jc w:val="center"/>
              <w:rPr>
                <w:sz w:val="20"/>
              </w:rPr>
            </w:pPr>
            <w:r>
              <w:rPr>
                <w:sz w:val="20"/>
              </w:rP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283"/>
              <w:jc w:val="left"/>
              <w:rPr>
                <w:sz w:val="20"/>
              </w:rPr>
            </w:pPr>
            <w:r>
              <w:rPr>
                <w:sz w:val="20"/>
              </w:rPr>
              <w:t>Large 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Accelerated filer</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sz w:val="20"/>
              </w:rPr>
            </w:pPr>
            <w:r>
              <w:rPr>
                <w:sz w:val="20"/>
              </w:rPr>
              <w:t>Non-accelerated filer</w:t>
            </w:r>
          </w:p>
        </w:tc>
        <w:tc>
          <w:tcPr>
            <w:tcW w:w="26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sz w:val="20"/>
              </w:rPr>
            </w:pPr>
            <w:r>
              <w:rPr>
                <w:sz w:val="20"/>
              </w:rPr>
              <w:t>Smaller reporting company</w:t>
            </w:r>
          </w:p>
        </w:tc>
        <w:tc>
          <w:tcPr>
            <w:tcW w:w="305" w:type="dxa"/>
            <w:tcBorders/>
            <w:vAlign w:val="center"/>
          </w:tcPr>
          <w:p>
            <w:pPr>
              <w:pStyle w:val="TableContents"/>
              <w:bidi w:val="0"/>
              <w:spacing w:before="0" w:after="283"/>
              <w:jc w:val="left"/>
              <w:rPr/>
            </w:pPr>
            <w:r>
              <w:rPr/>
              <w:t>☒</w:t>
            </w:r>
          </w:p>
        </w:tc>
      </w:tr>
      <w:tr>
        <w:trPr/>
        <w:tc>
          <w:tcPr>
            <w:tcW w:w="186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sz w:val="20"/>
              </w:rPr>
            </w:pPr>
            <w:r>
              <w:rPr>
                <w:sz w:val="20"/>
              </w:rPr>
              <w:t>Emerging growth company</w:t>
            </w:r>
          </w:p>
        </w:tc>
        <w:tc>
          <w:tcPr>
            <w:tcW w:w="30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2025, there were 37,450,745 shares of the registrant’s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0" w:type="dxa"/>
          <w:right w:w="0" w:type="dxa"/>
        </w:tblCellMar>
      </w:tblPr>
      <w:tblGrid>
        <w:gridCol w:w="755"/>
        <w:gridCol w:w="8375"/>
        <w:gridCol w:w="515"/>
      </w:tblGrid>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01">
              <w:r>
                <w:rPr>
                  <w:rStyle w:val="InternetLink"/>
                  <w:sz w:val="20"/>
                </w:rPr>
                <w:t>PART I. Financial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sz w:val="20"/>
              </w:rPr>
            </w:pPr>
            <w:r>
              <w:rPr>
                <w:sz w:val="20"/>
              </w:rPr>
              <w:t>Item 1.</w:t>
            </w:r>
          </w:p>
        </w:tc>
        <w:tc>
          <w:tcPr>
            <w:tcW w:w="8375" w:type="dxa"/>
            <w:tcBorders/>
            <w:vAlign w:val="center"/>
          </w:tcPr>
          <w:p>
            <w:pPr>
              <w:pStyle w:val="TableContents"/>
              <w:bidi w:val="0"/>
              <w:spacing w:before="0" w:after="283"/>
              <w:jc w:val="left"/>
              <w:rPr/>
            </w:pPr>
            <w:hyperlink w:anchor="a_002">
              <w:r>
                <w:rPr>
                  <w:rStyle w:val="InternetLink"/>
                  <w:sz w:val="20"/>
                </w:rPr>
                <w:t>Financial Statements (Unaudited)</w:t>
              </w:r>
            </w:hyperlink>
          </w:p>
        </w:tc>
        <w:tc>
          <w:tcPr>
            <w:tcW w:w="515" w:type="dxa"/>
            <w:tcBorders/>
            <w:vAlign w:val="center"/>
          </w:tcPr>
          <w:p>
            <w:pPr>
              <w:pStyle w:val="TableContents"/>
              <w:bidi w:val="0"/>
              <w:spacing w:before="0" w:after="283"/>
              <w:jc w:val="center"/>
              <w:rPr>
                <w:sz w:val="20"/>
              </w:rPr>
            </w:pPr>
            <w:r>
              <w:rPr>
                <w:sz w:val="20"/>
              </w:rPr>
              <w:t>1</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4">
              <w:r>
                <w:rPr>
                  <w:rStyle w:val="InternetLink"/>
                  <w:sz w:val="20"/>
                </w:rPr>
                <w:t>Condensed Consolidated Balance Sheets</w:t>
              </w:r>
            </w:hyperlink>
          </w:p>
        </w:tc>
        <w:tc>
          <w:tcPr>
            <w:tcW w:w="515" w:type="dxa"/>
            <w:tcBorders/>
            <w:shd w:fill="CCEEFF" w:val="clear"/>
            <w:vAlign w:val="center"/>
          </w:tcPr>
          <w:p>
            <w:pPr>
              <w:pStyle w:val="TableContents"/>
              <w:bidi w:val="0"/>
              <w:spacing w:before="0" w:after="283"/>
              <w:jc w:val="center"/>
              <w:rPr>
                <w:sz w:val="20"/>
              </w:rPr>
            </w:pPr>
            <w:r>
              <w:rPr>
                <w:sz w:val="20"/>
              </w:rPr>
              <w:t>1</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5">
              <w:r>
                <w:rPr>
                  <w:rStyle w:val="InternetLink"/>
                  <w:sz w:val="20"/>
                </w:rPr>
                <w:t>Condensed Consolidated Statements of Operations and Comprehensive Loss</w:t>
              </w:r>
            </w:hyperlink>
          </w:p>
        </w:tc>
        <w:tc>
          <w:tcPr>
            <w:tcW w:w="515" w:type="dxa"/>
            <w:tcBorders/>
            <w:vAlign w:val="center"/>
          </w:tcPr>
          <w:p>
            <w:pPr>
              <w:pStyle w:val="TableContents"/>
              <w:bidi w:val="0"/>
              <w:spacing w:before="0" w:after="283"/>
              <w:jc w:val="center"/>
              <w:rPr>
                <w:sz w:val="20"/>
              </w:rPr>
            </w:pPr>
            <w:r>
              <w:rPr>
                <w:sz w:val="20"/>
              </w:rPr>
              <w:t>2</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6">
              <w:r>
                <w:rPr>
                  <w:rStyle w:val="InternetLink"/>
                  <w:sz w:val="20"/>
                </w:rPr>
                <w:t>Condensed Consolidated Statements of Convertible Preferred Stock and Stockholders’ Equity (Deficit)</w:t>
              </w:r>
            </w:hyperlink>
          </w:p>
        </w:tc>
        <w:tc>
          <w:tcPr>
            <w:tcW w:w="515" w:type="dxa"/>
            <w:tcBorders/>
            <w:shd w:fill="CCEEFF" w:val="clear"/>
            <w:vAlign w:val="center"/>
          </w:tcPr>
          <w:p>
            <w:pPr>
              <w:pStyle w:val="TableContents"/>
              <w:bidi w:val="0"/>
              <w:spacing w:before="0" w:after="283"/>
              <w:jc w:val="center"/>
              <w:rPr>
                <w:sz w:val="20"/>
              </w:rPr>
            </w:pPr>
            <w:r>
              <w:rPr>
                <w:sz w:val="20"/>
              </w:rPr>
              <w:t>3</w:t>
            </w:r>
          </w:p>
        </w:tc>
      </w:tr>
      <w:tr>
        <w:trPr/>
        <w:tc>
          <w:tcPr>
            <w:tcW w:w="755" w:type="dxa"/>
            <w:tcBorders/>
            <w:vAlign w:val="center"/>
          </w:tcPr>
          <w:p>
            <w:pPr>
              <w:pStyle w:val="TableContents"/>
              <w:bidi w:val="0"/>
              <w:spacing w:before="0" w:after="283"/>
              <w:jc w:val="left"/>
              <w:rPr/>
            </w:pPr>
            <w:r>
              <w:rPr/>
              <w:t> </w:t>
            </w:r>
          </w:p>
        </w:tc>
        <w:tc>
          <w:tcPr>
            <w:tcW w:w="8375" w:type="dxa"/>
            <w:tcBorders/>
            <w:vAlign w:val="center"/>
          </w:tcPr>
          <w:p>
            <w:pPr>
              <w:pStyle w:val="TableContents"/>
              <w:bidi w:val="0"/>
              <w:spacing w:before="0" w:after="283"/>
              <w:jc w:val="left"/>
              <w:rPr/>
            </w:pPr>
            <w:hyperlink w:anchor="a_007">
              <w:r>
                <w:rPr>
                  <w:rStyle w:val="InternetLink"/>
                  <w:sz w:val="20"/>
                </w:rPr>
                <w:t>Condensed Consolidated Statements of Cash Flows</w:t>
              </w:r>
            </w:hyperlink>
          </w:p>
        </w:tc>
        <w:tc>
          <w:tcPr>
            <w:tcW w:w="515" w:type="dxa"/>
            <w:tcBorders/>
            <w:vAlign w:val="center"/>
          </w:tcPr>
          <w:p>
            <w:pPr>
              <w:pStyle w:val="TableContents"/>
              <w:bidi w:val="0"/>
              <w:spacing w:before="0" w:after="283"/>
              <w:jc w:val="center"/>
              <w:rPr>
                <w:sz w:val="20"/>
              </w:rPr>
            </w:pPr>
            <w:r>
              <w:rPr>
                <w:sz w:val="20"/>
              </w:rPr>
              <w:t>4</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left"/>
              <w:rPr/>
            </w:pPr>
            <w:hyperlink w:anchor="a_008">
              <w:r>
                <w:rPr>
                  <w:rStyle w:val="InternetLink"/>
                  <w:sz w:val="20"/>
                </w:rPr>
                <w:t>Notes to Unaudited Condensed Consolidated Financial Statements</w:t>
              </w:r>
            </w:hyperlink>
          </w:p>
        </w:tc>
        <w:tc>
          <w:tcPr>
            <w:tcW w:w="515" w:type="dxa"/>
            <w:tcBorders/>
            <w:shd w:fill="CCEEFF" w:val="clear"/>
            <w:vAlign w:val="center"/>
          </w:tcPr>
          <w:p>
            <w:pPr>
              <w:pStyle w:val="TableContents"/>
              <w:bidi w:val="0"/>
              <w:spacing w:before="0" w:after="283"/>
              <w:jc w:val="center"/>
              <w:rPr>
                <w:sz w:val="20"/>
              </w:rPr>
            </w:pPr>
            <w:r>
              <w:rPr>
                <w:sz w:val="20"/>
              </w:rPr>
              <w:t>5</w:t>
            </w:r>
          </w:p>
        </w:tc>
      </w:tr>
      <w:tr>
        <w:trPr/>
        <w:tc>
          <w:tcPr>
            <w:tcW w:w="755" w:type="dxa"/>
            <w:tcBorders/>
            <w:vAlign w:val="center"/>
          </w:tcPr>
          <w:p>
            <w:pPr>
              <w:pStyle w:val="TableContents"/>
              <w:bidi w:val="0"/>
              <w:spacing w:before="0" w:after="283"/>
              <w:jc w:val="left"/>
              <w:rPr>
                <w:sz w:val="20"/>
              </w:rPr>
            </w:pPr>
            <w:r>
              <w:rPr>
                <w:sz w:val="20"/>
              </w:rPr>
              <w:t>Item 2.</w:t>
            </w:r>
          </w:p>
        </w:tc>
        <w:tc>
          <w:tcPr>
            <w:tcW w:w="8375" w:type="dxa"/>
            <w:tcBorders/>
            <w:vAlign w:val="center"/>
          </w:tcPr>
          <w:p>
            <w:pPr>
              <w:pStyle w:val="TableContents"/>
              <w:bidi w:val="0"/>
              <w:spacing w:before="0" w:after="283"/>
              <w:jc w:val="left"/>
              <w:rPr/>
            </w:pPr>
            <w:hyperlink w:anchor="a_009">
              <w:r>
                <w:rPr>
                  <w:rStyle w:val="InternetLink"/>
                  <w:sz w:val="20"/>
                </w:rPr>
                <w:t>Management’s Discussion and Analysis of Financial Condition and Results of Operations</w:t>
              </w:r>
            </w:hyperlink>
          </w:p>
        </w:tc>
        <w:tc>
          <w:tcPr>
            <w:tcW w:w="515" w:type="dxa"/>
            <w:tcBorders/>
            <w:vAlign w:val="center"/>
          </w:tcPr>
          <w:p>
            <w:pPr>
              <w:pStyle w:val="TableContents"/>
              <w:bidi w:val="0"/>
              <w:spacing w:before="0" w:after="283"/>
              <w:jc w:val="center"/>
              <w:rPr>
                <w:sz w:val="20"/>
              </w:rPr>
            </w:pPr>
            <w:r>
              <w:rPr>
                <w:sz w:val="20"/>
              </w:rPr>
              <w:t>22</w:t>
            </w:r>
          </w:p>
        </w:tc>
      </w:tr>
      <w:tr>
        <w:trPr/>
        <w:tc>
          <w:tcPr>
            <w:tcW w:w="755" w:type="dxa"/>
            <w:tcBorders/>
            <w:shd w:fill="CCEEFF" w:val="clear"/>
            <w:vAlign w:val="center"/>
          </w:tcPr>
          <w:p>
            <w:pPr>
              <w:pStyle w:val="TableContents"/>
              <w:bidi w:val="0"/>
              <w:spacing w:before="0" w:after="283"/>
              <w:jc w:val="left"/>
              <w:rPr>
                <w:sz w:val="20"/>
              </w:rPr>
            </w:pPr>
            <w:r>
              <w:rPr>
                <w:sz w:val="20"/>
              </w:rPr>
              <w:t>Item 3.</w:t>
            </w:r>
          </w:p>
        </w:tc>
        <w:tc>
          <w:tcPr>
            <w:tcW w:w="8375" w:type="dxa"/>
            <w:tcBorders/>
            <w:shd w:fill="CCEEFF" w:val="clear"/>
            <w:vAlign w:val="center"/>
          </w:tcPr>
          <w:p>
            <w:pPr>
              <w:pStyle w:val="TableContents"/>
              <w:bidi w:val="0"/>
              <w:spacing w:before="0" w:after="283"/>
              <w:jc w:val="left"/>
              <w:rPr/>
            </w:pPr>
            <w:hyperlink w:anchor="a_010">
              <w:r>
                <w:rPr>
                  <w:rStyle w:val="InternetLink"/>
                  <w:sz w:val="20"/>
                </w:rPr>
                <w:t>Quantitative and Qualitative Disclosures About Market Risk</w:t>
              </w:r>
            </w:hyperlink>
          </w:p>
        </w:tc>
        <w:tc>
          <w:tcPr>
            <w:tcW w:w="515" w:type="dxa"/>
            <w:tcBorders/>
            <w:shd w:fill="CCEEFF" w:val="clear"/>
            <w:vAlign w:val="center"/>
          </w:tcPr>
          <w:p>
            <w:pPr>
              <w:pStyle w:val="TableContents"/>
              <w:bidi w:val="0"/>
              <w:spacing w:before="0" w:after="283"/>
              <w:jc w:val="center"/>
              <w:rPr>
                <w:sz w:val="20"/>
              </w:rPr>
            </w:pPr>
            <w:r>
              <w:rPr>
                <w:sz w:val="20"/>
              </w:rPr>
              <w:t>32</w:t>
            </w:r>
          </w:p>
        </w:tc>
      </w:tr>
      <w:tr>
        <w:trPr/>
        <w:tc>
          <w:tcPr>
            <w:tcW w:w="755" w:type="dxa"/>
            <w:tcBorders/>
            <w:vAlign w:val="center"/>
          </w:tcPr>
          <w:p>
            <w:pPr>
              <w:pStyle w:val="TableContents"/>
              <w:bidi w:val="0"/>
              <w:spacing w:before="0" w:after="283"/>
              <w:jc w:val="left"/>
              <w:rPr>
                <w:sz w:val="20"/>
              </w:rPr>
            </w:pPr>
            <w:r>
              <w:rPr>
                <w:sz w:val="20"/>
              </w:rPr>
              <w:t>Item 4.</w:t>
            </w:r>
          </w:p>
        </w:tc>
        <w:tc>
          <w:tcPr>
            <w:tcW w:w="8375" w:type="dxa"/>
            <w:tcBorders/>
            <w:vAlign w:val="center"/>
          </w:tcPr>
          <w:p>
            <w:pPr>
              <w:pStyle w:val="TableContents"/>
              <w:bidi w:val="0"/>
              <w:spacing w:before="0" w:after="283"/>
              <w:jc w:val="left"/>
              <w:rPr/>
            </w:pPr>
            <w:hyperlink w:anchor="a_011">
              <w:r>
                <w:rPr>
                  <w:rStyle w:val="InternetLink"/>
                  <w:sz w:val="20"/>
                </w:rPr>
                <w:t>Controls and Procedures</w:t>
              </w:r>
            </w:hyperlink>
          </w:p>
        </w:tc>
        <w:tc>
          <w:tcPr>
            <w:tcW w:w="515" w:type="dxa"/>
            <w:tcBorders/>
            <w:vAlign w:val="center"/>
          </w:tcPr>
          <w:p>
            <w:pPr>
              <w:pStyle w:val="TableContents"/>
              <w:bidi w:val="0"/>
              <w:spacing w:before="0" w:after="283"/>
              <w:jc w:val="center"/>
              <w:rPr>
                <w:sz w:val="20"/>
              </w:rPr>
            </w:pPr>
            <w:r>
              <w:rPr>
                <w:sz w:val="20"/>
              </w:rPr>
              <w:t>32</w:t>
            </w:r>
          </w:p>
        </w:tc>
      </w:tr>
      <w:tr>
        <w:trPr/>
        <w:tc>
          <w:tcPr>
            <w:tcW w:w="755" w:type="dxa"/>
            <w:tcBorders/>
            <w:shd w:fill="CCEEFF" w:val="clear"/>
            <w:vAlign w:val="center"/>
          </w:tcPr>
          <w:p>
            <w:pPr>
              <w:pStyle w:val="TableContents"/>
              <w:bidi w:val="0"/>
              <w:spacing w:before="0" w:after="283"/>
              <w:jc w:val="left"/>
              <w:rPr/>
            </w:pPr>
            <w:r>
              <w:rPr/>
              <w:t> </w:t>
            </w:r>
          </w:p>
        </w:tc>
        <w:tc>
          <w:tcPr>
            <w:tcW w:w="8375" w:type="dxa"/>
            <w:tcBorders/>
            <w:shd w:fill="CCEEFF" w:val="clear"/>
            <w:vAlign w:val="center"/>
          </w:tcPr>
          <w:p>
            <w:pPr>
              <w:pStyle w:val="TableContents"/>
              <w:bidi w:val="0"/>
              <w:spacing w:before="0" w:after="283"/>
              <w:jc w:val="center"/>
              <w:rPr/>
            </w:pPr>
            <w:hyperlink w:anchor="a_012">
              <w:r>
                <w:rPr>
                  <w:rStyle w:val="InternetLink"/>
                  <w:sz w:val="20"/>
                </w:rPr>
                <w:t>PART II. Other Information</w:t>
              </w:r>
            </w:hyperlink>
          </w:p>
        </w:tc>
        <w:tc>
          <w:tcPr>
            <w:tcW w:w="51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sz w:val="20"/>
              </w:rPr>
            </w:pPr>
            <w:r>
              <w:rPr>
                <w:sz w:val="20"/>
              </w:rPr>
              <w:t>Item 1.</w:t>
            </w:r>
          </w:p>
        </w:tc>
        <w:tc>
          <w:tcPr>
            <w:tcW w:w="8375" w:type="dxa"/>
            <w:tcBorders/>
            <w:vAlign w:val="center"/>
          </w:tcPr>
          <w:p>
            <w:pPr>
              <w:pStyle w:val="TableContents"/>
              <w:bidi w:val="0"/>
              <w:spacing w:before="0" w:after="283"/>
              <w:jc w:val="left"/>
              <w:rPr/>
            </w:pPr>
            <w:hyperlink w:anchor="a_013">
              <w:r>
                <w:rPr>
                  <w:rStyle w:val="InternetLink"/>
                  <w:sz w:val="20"/>
                </w:rPr>
                <w:t>Legal Proceedings</w:t>
              </w:r>
            </w:hyperlink>
          </w:p>
        </w:tc>
        <w:tc>
          <w:tcPr>
            <w:tcW w:w="515" w:type="dxa"/>
            <w:tcBorders/>
            <w:vAlign w:val="center"/>
          </w:tcPr>
          <w:p>
            <w:pPr>
              <w:pStyle w:val="TableContents"/>
              <w:bidi w:val="0"/>
              <w:spacing w:before="0" w:after="283"/>
              <w:jc w:val="center"/>
              <w:rPr>
                <w:sz w:val="20"/>
              </w:rPr>
            </w:pPr>
            <w:r>
              <w:rPr>
                <w:sz w:val="20"/>
              </w:rPr>
              <w:t>33</w:t>
            </w:r>
          </w:p>
        </w:tc>
      </w:tr>
      <w:tr>
        <w:trPr/>
        <w:tc>
          <w:tcPr>
            <w:tcW w:w="755" w:type="dxa"/>
            <w:tcBorders/>
            <w:shd w:fill="CCEEFF" w:val="clear"/>
            <w:vAlign w:val="center"/>
          </w:tcPr>
          <w:p>
            <w:pPr>
              <w:pStyle w:val="TableContents"/>
              <w:bidi w:val="0"/>
              <w:spacing w:before="0" w:after="283"/>
              <w:jc w:val="left"/>
              <w:rPr>
                <w:sz w:val="20"/>
              </w:rPr>
            </w:pPr>
            <w:r>
              <w:rPr>
                <w:sz w:val="20"/>
              </w:rPr>
              <w:t>Item 1A.</w:t>
            </w:r>
          </w:p>
        </w:tc>
        <w:tc>
          <w:tcPr>
            <w:tcW w:w="8375" w:type="dxa"/>
            <w:tcBorders/>
            <w:shd w:fill="CCEEFF" w:val="clear"/>
            <w:vAlign w:val="center"/>
          </w:tcPr>
          <w:p>
            <w:pPr>
              <w:pStyle w:val="TableContents"/>
              <w:bidi w:val="0"/>
              <w:spacing w:before="0" w:after="283"/>
              <w:jc w:val="left"/>
              <w:rPr/>
            </w:pPr>
            <w:hyperlink w:anchor="a_014">
              <w:r>
                <w:rPr>
                  <w:rStyle w:val="InternetLink"/>
                  <w:sz w:val="20"/>
                </w:rPr>
                <w:t>Risk Factors</w:t>
              </w:r>
            </w:hyperlink>
          </w:p>
        </w:tc>
        <w:tc>
          <w:tcPr>
            <w:tcW w:w="515" w:type="dxa"/>
            <w:tcBorders/>
            <w:shd w:fill="CCEEFF" w:val="clear"/>
            <w:vAlign w:val="center"/>
          </w:tcPr>
          <w:p>
            <w:pPr>
              <w:pStyle w:val="TableContents"/>
              <w:bidi w:val="0"/>
              <w:spacing w:before="0" w:after="283"/>
              <w:jc w:val="center"/>
              <w:rPr>
                <w:sz w:val="20"/>
              </w:rPr>
            </w:pPr>
            <w:r>
              <w:rPr>
                <w:sz w:val="20"/>
              </w:rPr>
              <w:t>33</w:t>
            </w:r>
          </w:p>
        </w:tc>
      </w:tr>
      <w:tr>
        <w:trPr/>
        <w:tc>
          <w:tcPr>
            <w:tcW w:w="755" w:type="dxa"/>
            <w:tcBorders/>
            <w:vAlign w:val="center"/>
          </w:tcPr>
          <w:p>
            <w:pPr>
              <w:pStyle w:val="TableContents"/>
              <w:bidi w:val="0"/>
              <w:spacing w:before="0" w:after="283"/>
              <w:jc w:val="left"/>
              <w:rPr>
                <w:sz w:val="20"/>
              </w:rPr>
            </w:pPr>
            <w:r>
              <w:rPr>
                <w:sz w:val="20"/>
              </w:rPr>
              <w:t>Item 2.</w:t>
            </w:r>
          </w:p>
        </w:tc>
        <w:tc>
          <w:tcPr>
            <w:tcW w:w="8375" w:type="dxa"/>
            <w:tcBorders/>
            <w:vAlign w:val="center"/>
          </w:tcPr>
          <w:p>
            <w:pPr>
              <w:pStyle w:val="TableContents"/>
              <w:bidi w:val="0"/>
              <w:spacing w:before="0" w:after="283"/>
              <w:jc w:val="left"/>
              <w:rPr/>
            </w:pPr>
            <w:hyperlink w:anchor="a_015">
              <w:r>
                <w:rPr>
                  <w:rStyle w:val="InternetLink"/>
                  <w:sz w:val="20"/>
                </w:rPr>
                <w:t>Unregistered Sales of Equity Securities and Use of Proceeds</w:t>
              </w:r>
            </w:hyperlink>
          </w:p>
        </w:tc>
        <w:tc>
          <w:tcPr>
            <w:tcW w:w="515" w:type="dxa"/>
            <w:tcBorders/>
            <w:vAlign w:val="center"/>
          </w:tcPr>
          <w:p>
            <w:pPr>
              <w:pStyle w:val="TableContents"/>
              <w:bidi w:val="0"/>
              <w:spacing w:before="0" w:after="283"/>
              <w:jc w:val="center"/>
              <w:rPr>
                <w:sz w:val="20"/>
              </w:rPr>
            </w:pPr>
            <w:r>
              <w:rPr>
                <w:sz w:val="20"/>
              </w:rPr>
              <w:t>62</w:t>
            </w:r>
          </w:p>
        </w:tc>
      </w:tr>
      <w:tr>
        <w:trPr/>
        <w:tc>
          <w:tcPr>
            <w:tcW w:w="755" w:type="dxa"/>
            <w:tcBorders/>
            <w:shd w:fill="CCEEFF" w:val="clear"/>
            <w:vAlign w:val="center"/>
          </w:tcPr>
          <w:p>
            <w:pPr>
              <w:pStyle w:val="TableContents"/>
              <w:bidi w:val="0"/>
              <w:spacing w:before="0" w:after="283"/>
              <w:jc w:val="left"/>
              <w:rPr>
                <w:sz w:val="20"/>
              </w:rPr>
            </w:pPr>
            <w:r>
              <w:rPr>
                <w:sz w:val="20"/>
              </w:rPr>
              <w:t>Item 3.</w:t>
            </w:r>
          </w:p>
        </w:tc>
        <w:tc>
          <w:tcPr>
            <w:tcW w:w="8375" w:type="dxa"/>
            <w:tcBorders/>
            <w:shd w:fill="CCEEFF" w:val="clear"/>
            <w:vAlign w:val="center"/>
          </w:tcPr>
          <w:p>
            <w:pPr>
              <w:pStyle w:val="TableContents"/>
              <w:bidi w:val="0"/>
              <w:spacing w:before="0" w:after="283"/>
              <w:jc w:val="left"/>
              <w:rPr/>
            </w:pPr>
            <w:hyperlink w:anchor="a_016">
              <w:r>
                <w:rPr>
                  <w:rStyle w:val="InternetLink"/>
                  <w:sz w:val="20"/>
                </w:rPr>
                <w:t>Defaults Upon Senior Securities</w:t>
              </w:r>
            </w:hyperlink>
          </w:p>
        </w:tc>
        <w:tc>
          <w:tcPr>
            <w:tcW w:w="515" w:type="dxa"/>
            <w:tcBorders/>
            <w:shd w:fill="CCEEFF" w:val="clear"/>
            <w:vAlign w:val="center"/>
          </w:tcPr>
          <w:p>
            <w:pPr>
              <w:pStyle w:val="TableContents"/>
              <w:bidi w:val="0"/>
              <w:spacing w:before="0" w:after="283"/>
              <w:jc w:val="center"/>
              <w:rPr>
                <w:sz w:val="20"/>
              </w:rPr>
            </w:pPr>
            <w:r>
              <w:rPr>
                <w:sz w:val="20"/>
              </w:rPr>
              <w:t>62</w:t>
            </w:r>
          </w:p>
        </w:tc>
      </w:tr>
      <w:tr>
        <w:trPr/>
        <w:tc>
          <w:tcPr>
            <w:tcW w:w="755" w:type="dxa"/>
            <w:tcBorders/>
            <w:vAlign w:val="center"/>
          </w:tcPr>
          <w:p>
            <w:pPr>
              <w:pStyle w:val="TableContents"/>
              <w:bidi w:val="0"/>
              <w:spacing w:before="0" w:after="283"/>
              <w:jc w:val="left"/>
              <w:rPr>
                <w:sz w:val="20"/>
              </w:rPr>
            </w:pPr>
            <w:r>
              <w:rPr>
                <w:sz w:val="20"/>
              </w:rPr>
              <w:t>Item 4.</w:t>
            </w:r>
          </w:p>
        </w:tc>
        <w:tc>
          <w:tcPr>
            <w:tcW w:w="8375" w:type="dxa"/>
            <w:tcBorders/>
            <w:vAlign w:val="center"/>
          </w:tcPr>
          <w:p>
            <w:pPr>
              <w:pStyle w:val="TableContents"/>
              <w:bidi w:val="0"/>
              <w:spacing w:before="0" w:after="283"/>
              <w:jc w:val="left"/>
              <w:rPr/>
            </w:pPr>
            <w:hyperlink w:anchor="a_017">
              <w:r>
                <w:rPr>
                  <w:rStyle w:val="InternetLink"/>
                  <w:sz w:val="20"/>
                </w:rPr>
                <w:t>Mine Safety Disclosures</w:t>
              </w:r>
            </w:hyperlink>
          </w:p>
        </w:tc>
        <w:tc>
          <w:tcPr>
            <w:tcW w:w="515" w:type="dxa"/>
            <w:tcBorders/>
            <w:vAlign w:val="center"/>
          </w:tcPr>
          <w:p>
            <w:pPr>
              <w:pStyle w:val="TableContents"/>
              <w:bidi w:val="0"/>
              <w:spacing w:before="0" w:after="283"/>
              <w:jc w:val="center"/>
              <w:rPr>
                <w:sz w:val="20"/>
              </w:rPr>
            </w:pPr>
            <w:r>
              <w:rPr>
                <w:sz w:val="20"/>
              </w:rPr>
              <w:t>62</w:t>
            </w:r>
          </w:p>
        </w:tc>
      </w:tr>
      <w:tr>
        <w:trPr/>
        <w:tc>
          <w:tcPr>
            <w:tcW w:w="755" w:type="dxa"/>
            <w:tcBorders/>
            <w:shd w:fill="CCEEFF" w:val="clear"/>
            <w:vAlign w:val="center"/>
          </w:tcPr>
          <w:p>
            <w:pPr>
              <w:pStyle w:val="TableContents"/>
              <w:bidi w:val="0"/>
              <w:spacing w:before="0" w:after="283"/>
              <w:jc w:val="left"/>
              <w:rPr>
                <w:sz w:val="20"/>
              </w:rPr>
            </w:pPr>
            <w:r>
              <w:rPr>
                <w:sz w:val="20"/>
              </w:rPr>
              <w:t>Item 5.</w:t>
            </w:r>
          </w:p>
        </w:tc>
        <w:tc>
          <w:tcPr>
            <w:tcW w:w="8375" w:type="dxa"/>
            <w:tcBorders/>
            <w:shd w:fill="CCEEFF" w:val="clear"/>
            <w:vAlign w:val="center"/>
          </w:tcPr>
          <w:p>
            <w:pPr>
              <w:pStyle w:val="TableContents"/>
              <w:bidi w:val="0"/>
              <w:spacing w:before="0" w:after="283"/>
              <w:jc w:val="left"/>
              <w:rPr/>
            </w:pPr>
            <w:hyperlink w:anchor="a_018">
              <w:r>
                <w:rPr>
                  <w:rStyle w:val="InternetLink"/>
                  <w:sz w:val="20"/>
                </w:rPr>
                <w:t>Other Information</w:t>
              </w:r>
            </w:hyperlink>
          </w:p>
        </w:tc>
        <w:tc>
          <w:tcPr>
            <w:tcW w:w="515" w:type="dxa"/>
            <w:tcBorders/>
            <w:shd w:fill="CCEEFF" w:val="clear"/>
            <w:vAlign w:val="center"/>
          </w:tcPr>
          <w:p>
            <w:pPr>
              <w:pStyle w:val="TableContents"/>
              <w:bidi w:val="0"/>
              <w:spacing w:before="0" w:after="283"/>
              <w:jc w:val="center"/>
              <w:rPr>
                <w:sz w:val="20"/>
              </w:rPr>
            </w:pPr>
            <w:r>
              <w:rPr>
                <w:sz w:val="20"/>
              </w:rPr>
              <w:t>62</w:t>
            </w:r>
          </w:p>
        </w:tc>
      </w:tr>
      <w:tr>
        <w:trPr/>
        <w:tc>
          <w:tcPr>
            <w:tcW w:w="755" w:type="dxa"/>
            <w:tcBorders/>
            <w:vAlign w:val="center"/>
          </w:tcPr>
          <w:p>
            <w:pPr>
              <w:pStyle w:val="TableContents"/>
              <w:bidi w:val="0"/>
              <w:spacing w:before="0" w:after="283"/>
              <w:jc w:val="left"/>
              <w:rPr>
                <w:sz w:val="20"/>
              </w:rPr>
            </w:pPr>
            <w:r>
              <w:rPr>
                <w:sz w:val="20"/>
              </w:rPr>
              <w:t>Item 6.</w:t>
            </w:r>
          </w:p>
        </w:tc>
        <w:tc>
          <w:tcPr>
            <w:tcW w:w="8375" w:type="dxa"/>
            <w:tcBorders/>
            <w:vAlign w:val="center"/>
          </w:tcPr>
          <w:p>
            <w:pPr>
              <w:pStyle w:val="TableContents"/>
              <w:bidi w:val="0"/>
              <w:spacing w:before="0" w:after="283"/>
              <w:jc w:val="left"/>
              <w:rPr/>
            </w:pPr>
            <w:hyperlink w:anchor="a_019">
              <w:r>
                <w:rPr>
                  <w:rStyle w:val="InternetLink"/>
                  <w:sz w:val="20"/>
                </w:rPr>
                <w:t>Exhibits</w:t>
              </w:r>
            </w:hyperlink>
          </w:p>
        </w:tc>
        <w:tc>
          <w:tcPr>
            <w:tcW w:w="515" w:type="dxa"/>
            <w:tcBorders/>
            <w:vAlign w:val="center"/>
          </w:tcPr>
          <w:p>
            <w:pPr>
              <w:pStyle w:val="TableContents"/>
              <w:bidi w:val="0"/>
              <w:spacing w:before="0" w:after="283"/>
              <w:jc w:val="center"/>
              <w:rPr>
                <w:sz w:val="20"/>
              </w:rPr>
            </w:pPr>
            <w:r>
              <w:rPr>
                <w:sz w:val="20"/>
              </w:rPr>
              <w:t>63</w:t>
            </w:r>
          </w:p>
        </w:tc>
      </w:tr>
      <w:tr>
        <w:trPr/>
        <w:tc>
          <w:tcPr>
            <w:tcW w:w="9130" w:type="dxa"/>
            <w:gridSpan w:val="2"/>
            <w:tcBorders/>
            <w:shd w:fill="CCEEFF" w:val="clear"/>
            <w:vAlign w:val="center"/>
          </w:tcPr>
          <w:p>
            <w:pPr>
              <w:pStyle w:val="TableContents"/>
              <w:bidi w:val="0"/>
              <w:spacing w:before="0" w:after="283"/>
              <w:jc w:val="left"/>
              <w:rPr/>
            </w:pPr>
            <w:hyperlink w:anchor="a_020">
              <w:r>
                <w:rPr>
                  <w:rStyle w:val="InternetLink"/>
                  <w:sz w:val="20"/>
                </w:rPr>
                <w:t>Signatures</w:t>
              </w:r>
            </w:hyperlink>
          </w:p>
        </w:tc>
        <w:tc>
          <w:tcPr>
            <w:tcW w:w="515" w:type="dxa"/>
            <w:tcBorders/>
            <w:shd w:fill="CCEEFF" w:val="clear"/>
            <w:vAlign w:val="center"/>
          </w:tcPr>
          <w:p>
            <w:pPr>
              <w:pStyle w:val="TableContents"/>
              <w:bidi w:val="0"/>
              <w:spacing w:before="0" w:after="283"/>
              <w:jc w:val="center"/>
              <w:rPr>
                <w:sz w:val="20"/>
              </w:rPr>
            </w:pPr>
            <w:r>
              <w:rPr>
                <w:sz w:val="20"/>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4"/>
      <w:bookmarkEnd w:id="4"/>
      <w:r>
        <w:rPr>
          <w:rFonts w:ascii="Times New Roman;Times;Serif" w:hAnsi="Times New Roman;Times;Serif"/>
          <w:b/>
          <w:i w:val="false"/>
          <w:caps w:val="false"/>
          <w:smallCaps w:val="false"/>
          <w:sz w:val="20"/>
        </w:rPr>
        <w:t>ORUKA THERAPEUTICS, INC.</w:t>
        <w:br/>
        <w:t>CONDENSED CONSOLIDATED BALANCE SHEETS</w:t>
        <w:br/>
        <w:t>(UNAUDITED)</w:t>
        <w:b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77"/>
        <w:gridCol w:w="90"/>
        <w:gridCol w:w="170"/>
        <w:gridCol w:w="905"/>
        <w:gridCol w:w="125"/>
        <w:gridCol w:w="90"/>
        <w:gridCol w:w="237"/>
        <w:gridCol w:w="1164"/>
        <w:gridCol w:w="147"/>
      </w:tblGrid>
      <w:tr>
        <w:trPr/>
        <w:tc>
          <w:tcPr>
            <w:tcW w:w="727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rPr>
            </w:pPr>
            <w:r>
              <w:rPr>
                <w:b/>
              </w:rP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center"/>
              <w:rPr>
                <w:b/>
              </w:rPr>
            </w:pPr>
            <w:r>
              <w:rPr>
                <w:b/>
              </w:rPr>
              <w:t>December 31,</w:t>
            </w:r>
          </w:p>
        </w:tc>
        <w:tc>
          <w:tcPr>
            <w:tcW w:w="147"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7"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r>
      <w:tr>
        <w:trPr/>
        <w:tc>
          <w:tcPr>
            <w:tcW w:w="7277"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1" w:type="dxa"/>
            <w:gridSpan w:val="2"/>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65,396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283"/>
              <w:jc w:val="right"/>
              <w:rPr/>
            </w:pPr>
            <w:r>
              <w:rPr/>
              <w:t>61,575</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263,010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314,073</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Prepaid expenses and other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3,606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1,221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332,012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376,869</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23,053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18,069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162</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Operating lease right-of-use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876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Other non-current assets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43</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Total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357,418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396,019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b/>
              </w:rPr>
            </w:pPr>
            <w:r>
              <w:rPr>
                <w:b/>
              </w:rPr>
              <w:t>Liabilities, Convertible Preferred Stock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4,664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w:t>
            </w:r>
          </w:p>
        </w:tc>
        <w:tc>
          <w:tcPr>
            <w:tcW w:w="1164" w:type="dxa"/>
            <w:tcBorders/>
            <w:vAlign w:val="center"/>
          </w:tcPr>
          <w:p>
            <w:pPr>
              <w:pStyle w:val="TableContents"/>
              <w:bidi w:val="0"/>
              <w:spacing w:before="0" w:after="283"/>
              <w:jc w:val="right"/>
              <w:rPr/>
            </w:pPr>
            <w:r>
              <w:rPr/>
              <w:t>3,462</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3,578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3,346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Operating lease liability,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213</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Related party common stock warrant liability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Related party accounts payable and 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6,022</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Total 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12,110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13,043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Operating lease liability, non-current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1,666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755</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Total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13,776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13,798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Commitments and contingencies (Note 11)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Series B non-voting convertible preferred stock, $0.001 par value; 251,504 shares authorized as of June 30, 2025 and December 31, 2024; 137,138 shares issued and outstanding as of June 30, 2025 and December 31,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2,931</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Common stock, $0.001 par value; 545,000,000 shares authorized as of June 30, 2025 and December 31, 2024; 37,450,745 and 37,440,510 shares issued and outstanding as of June 30,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37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469,998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463,018</w:t>
            </w:r>
          </w:p>
        </w:tc>
        <w:tc>
          <w:tcPr>
            <w:tcW w:w="147" w:type="dxa"/>
            <w:tcBorders/>
            <w:vAlign w:val="center"/>
          </w:tcPr>
          <w:p>
            <w:pPr>
              <w:pStyle w:val="TableContents"/>
              <w:bidi w:val="0"/>
              <w:spacing w:before="0" w:after="283"/>
              <w:ind w:left="0" w:right="0" w:hanging="180"/>
              <w:jc w:val="left"/>
              <w:rPr/>
            </w:pPr>
            <w:r>
              <w:rPr/>
              <w:t> </w:t>
            </w:r>
          </w:p>
        </w:tc>
      </w:tr>
      <w:tr>
        <w:trPr/>
        <w:tc>
          <w:tcPr>
            <w:tcW w:w="7277"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(41</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7277"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(129,297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(83,724</w:t>
            </w:r>
          </w:p>
        </w:tc>
        <w:tc>
          <w:tcPr>
            <w:tcW w:w="147" w:type="dxa"/>
            <w:tcBorders/>
            <w:vAlign w:val="center"/>
          </w:tcPr>
          <w:p>
            <w:pPr>
              <w:pStyle w:val="TableContents"/>
              <w:bidi w:val="0"/>
              <w:spacing w:before="0" w:after="283"/>
              <w:ind w:left="0" w:right="0" w:hanging="180"/>
              <w:jc w:val="left"/>
              <w:rPr/>
            </w:pPr>
            <w:r>
              <w:rPr/>
              <w:t>)</w:t>
            </w:r>
          </w:p>
        </w:tc>
      </w:tr>
      <w:tr>
        <w:trPr/>
        <w:tc>
          <w:tcPr>
            <w:tcW w:w="7277" w:type="dxa"/>
            <w:tcBorders/>
            <w:shd w:fill="CCEEFF" w:val="clear"/>
            <w:vAlign w:val="center"/>
          </w:tcPr>
          <w:p>
            <w:pPr>
              <w:pStyle w:val="TableContents"/>
              <w:bidi w:val="0"/>
              <w:spacing w:before="0" w:after="283"/>
              <w:jc w:val="left"/>
              <w:rPr/>
            </w:pPr>
            <w:r>
              <w:rPr/>
              <w:t>Total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343,642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382,221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77" w:type="dxa"/>
            <w:tcBorders/>
            <w:vAlign w:val="center"/>
          </w:tcPr>
          <w:p>
            <w:pPr>
              <w:pStyle w:val="TableContents"/>
              <w:bidi w:val="0"/>
              <w:spacing w:before="0" w:after="283"/>
              <w:jc w:val="left"/>
              <w:rPr/>
            </w:pPr>
            <w:r>
              <w:rPr/>
              <w:t>Total liabilities, convertible preferred stock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tcMar>
              <w:bottom w:w="28" w:type="dxa"/>
            </w:tcMar>
            <w:vAlign w:val="center"/>
          </w:tcPr>
          <w:p>
            <w:pPr>
              <w:pStyle w:val="TableContents"/>
              <w:bidi w:val="0"/>
              <w:spacing w:before="0" w:after="283"/>
              <w:jc w:val="right"/>
              <w:rPr/>
            </w:pPr>
            <w:r>
              <w:rPr/>
              <w:t>357,418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double" w:sz="10" w:space="0" w:color="000000"/>
            </w:tcBorders>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tcMar>
              <w:bottom w:w="28" w:type="dxa"/>
            </w:tcMar>
            <w:vAlign w:val="center"/>
          </w:tcPr>
          <w:p>
            <w:pPr>
              <w:pStyle w:val="TableContents"/>
              <w:bidi w:val="0"/>
              <w:spacing w:before="0" w:after="283"/>
              <w:jc w:val="right"/>
              <w:rPr/>
            </w:pPr>
            <w:r>
              <w:rPr/>
              <w:t>396,019</w:t>
            </w:r>
          </w:p>
        </w:tc>
        <w:tc>
          <w:tcPr>
            <w:tcW w:w="14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5"/>
      <w:bookmarkEnd w:id="5"/>
      <w:r>
        <w:rPr>
          <w:rFonts w:ascii="Times New Roman;Times;Serif" w:hAnsi="Times New Roman;Times;Serif"/>
          <w:b/>
          <w:i w:val="false"/>
          <w:caps w:val="false"/>
          <w:smallCaps w:val="false"/>
          <w:sz w:val="20"/>
        </w:rPr>
        <w:t>ORUKA THERAPEUTICS, INC.</w:t>
        <w:br/>
        <w:t>CONDENSED CONSOLIDATED STATEMENTS OF OPERATIONS AND COMPREHENSIVE LOSS</w:t>
        <w:br/>
        <w:t>(UNAUDITED)</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8"/>
        <w:gridCol w:w="90"/>
        <w:gridCol w:w="190"/>
        <w:gridCol w:w="1266"/>
        <w:gridCol w:w="125"/>
        <w:gridCol w:w="90"/>
        <w:gridCol w:w="196"/>
        <w:gridCol w:w="1170"/>
        <w:gridCol w:w="125"/>
        <w:gridCol w:w="90"/>
        <w:gridCol w:w="183"/>
        <w:gridCol w:w="1223"/>
        <w:gridCol w:w="125"/>
        <w:gridCol w:w="90"/>
        <w:gridCol w:w="177"/>
        <w:gridCol w:w="1052"/>
        <w:gridCol w:w="145"/>
      </w:tblGrid>
      <w:tr>
        <w:trPr/>
        <w:tc>
          <w:tcPr>
            <w:tcW w:w="386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 xml:space="preserve">June 30,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 xml:space="preserve">June 30, </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 xml:space="preserve">June 30, </w:t>
              <w:br/>
              <w:t>2024</w:t>
            </w:r>
          </w:p>
        </w:tc>
        <w:tc>
          <w:tcPr>
            <w:tcW w:w="145" w:type="dxa"/>
            <w:tcBorders/>
            <w:vAlign w:val="center"/>
          </w:tcPr>
          <w:p>
            <w:pPr>
              <w:pStyle w:val="TableContents"/>
              <w:bidi w:val="0"/>
              <w:spacing w:before="0" w:after="283"/>
              <w:jc w:val="left"/>
              <w:rPr/>
            </w:pPr>
            <w:r>
              <w:rPr/>
              <w:t> </w:t>
            </w:r>
          </w:p>
        </w:tc>
      </w:tr>
      <w:tr>
        <w:trPr/>
        <w:tc>
          <w:tcPr>
            <w:tcW w:w="3868"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45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6"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9" w:type="dxa"/>
            <w:gridSpan w:val="2"/>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3868" w:type="dxa"/>
            <w:tcBorders/>
            <w:shd w:fill="CCEEFF" w:val="clear"/>
            <w:vAlign w:val="center"/>
          </w:tcPr>
          <w:p>
            <w:pPr>
              <w:pStyle w:val="TableContents"/>
              <w:bidi w:val="0"/>
              <w:spacing w:before="0" w:after="283"/>
              <w:jc w:val="left"/>
              <w:rPr>
                <w:sz w:val="20"/>
              </w:rPr>
            </w:pPr>
            <w:r>
              <w:rPr>
                <w:sz w:val="20"/>
              </w:rPr>
              <w:t>Research and development</w:t>
            </w:r>
            <w:r>
              <w:rPr>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266" w:type="dxa"/>
            <w:tcBorders/>
            <w:shd w:fill="CCEEFF" w:val="clear"/>
            <w:vAlign w:val="center"/>
          </w:tcPr>
          <w:p>
            <w:pPr>
              <w:pStyle w:val="TableContents"/>
              <w:bidi w:val="0"/>
              <w:spacing w:before="0" w:after="283"/>
              <w:jc w:val="right"/>
              <w:rPr/>
            </w:pPr>
            <w:r>
              <w:rPr/>
              <w:t>24,087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1170" w:type="dxa"/>
            <w:tcBorders/>
            <w:shd w:fill="CCEEFF" w:val="clear"/>
            <w:vAlign w:val="center"/>
          </w:tcPr>
          <w:p>
            <w:pPr>
              <w:pStyle w:val="TableContents"/>
              <w:bidi w:val="0"/>
              <w:spacing w:before="0" w:after="283"/>
              <w:jc w:val="right"/>
              <w:rPr/>
            </w:pPr>
            <w:r>
              <w:rPr/>
              <w:t>18,673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44,012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1052" w:type="dxa"/>
            <w:tcBorders/>
            <w:shd w:fill="CCEEFF" w:val="clear"/>
            <w:vAlign w:val="center"/>
          </w:tcPr>
          <w:p>
            <w:pPr>
              <w:pStyle w:val="TableContents"/>
              <w:bidi w:val="0"/>
              <w:spacing w:before="0" w:after="283"/>
              <w:jc w:val="right"/>
              <w:rPr/>
            </w:pPr>
            <w:r>
              <w:rPr/>
              <w:t>23,866</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sz w:val="20"/>
              </w:rPr>
            </w:pPr>
            <w:r>
              <w:rPr>
                <w:sz w:val="20"/>
              </w:rPr>
              <w:t>General and administrative</w:t>
            </w:r>
            <w:r>
              <w:rPr>
                <w:position w:val="7"/>
                <w:sz w:val="16"/>
                <w:sz w:val="20"/>
              </w:rPr>
              <w:t>(2)</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4,342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tcMar>
              <w:bottom w:w="28" w:type="dxa"/>
            </w:tcMar>
            <w:vAlign w:val="center"/>
          </w:tcPr>
          <w:p>
            <w:pPr>
              <w:pStyle w:val="TableContents"/>
              <w:bidi w:val="0"/>
              <w:spacing w:before="0" w:after="283"/>
              <w:jc w:val="right"/>
              <w:rPr/>
            </w:pPr>
            <w:r>
              <w:rPr/>
              <w:t>2,820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tcMar>
              <w:bottom w:w="28" w:type="dxa"/>
            </w:tcMar>
            <w:vAlign w:val="center"/>
          </w:tcPr>
          <w:p>
            <w:pPr>
              <w:pStyle w:val="TableContents"/>
              <w:bidi w:val="0"/>
              <w:spacing w:before="0" w:after="283"/>
              <w:jc w:val="right"/>
              <w:rPr/>
            </w:pPr>
            <w:r>
              <w:rPr/>
              <w:t>9,503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283"/>
              <w:jc w:val="right"/>
              <w:rPr/>
            </w:pPr>
            <w:r>
              <w:rPr/>
              <w:t>4,490</w:t>
            </w:r>
          </w:p>
        </w:tc>
        <w:tc>
          <w:tcPr>
            <w:tcW w:w="145" w:type="dxa"/>
            <w:tcBorders/>
            <w:vAlign w:val="center"/>
          </w:tcPr>
          <w:p>
            <w:pPr>
              <w:pStyle w:val="TableContents"/>
              <w:bidi w:val="0"/>
              <w:spacing w:before="0" w:after="283"/>
              <w:ind w:left="0" w:right="0" w:hanging="180"/>
              <w:jc w:val="left"/>
              <w:rPr/>
            </w:pPr>
            <w:r>
              <w:rPr/>
              <w:t> </w:t>
            </w:r>
          </w:p>
        </w:tc>
      </w:tr>
      <w:tr>
        <w:trPr/>
        <w:tc>
          <w:tcPr>
            <w:tcW w:w="3868"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28,429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21,493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53,515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28,356</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(28,429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(21,493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(53,515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(28,356</w:t>
            </w:r>
          </w:p>
        </w:tc>
        <w:tc>
          <w:tcPr>
            <w:tcW w:w="145" w:type="dxa"/>
            <w:tcBorders/>
            <w:vAlign w:val="center"/>
          </w:tcPr>
          <w:p>
            <w:pPr>
              <w:pStyle w:val="TableContents"/>
              <w:bidi w:val="0"/>
              <w:spacing w:before="0" w:after="283"/>
              <w:ind w:left="0" w:right="0" w:hanging="180"/>
              <w:jc w:val="left"/>
              <w:rPr/>
            </w:pPr>
            <w:r>
              <w:rPr/>
              <w:t>)</w:t>
            </w:r>
          </w:p>
        </w:tc>
      </w:tr>
      <w:tr>
        <w:trPr/>
        <w:tc>
          <w:tcPr>
            <w:tcW w:w="3868"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3,857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7,949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0"/>
              <w:jc w:val="right"/>
              <w:rPr/>
            </w:pPr>
            <w:r>
              <w:rPr/>
              <w:t>—</w:t>
            </w:r>
          </w:p>
        </w:tc>
        <w:tc>
          <w:tcPr>
            <w:tcW w:w="145" w:type="dxa"/>
            <w:tcBorders/>
            <w:vAlign w:val="center"/>
          </w:tcPr>
          <w:p>
            <w:pPr>
              <w:pStyle w:val="TableContents"/>
              <w:bidi w:val="0"/>
              <w:spacing w:before="0" w:after="283"/>
              <w:ind w:left="0" w:right="0" w:hanging="180"/>
              <w:jc w:val="left"/>
              <w:rPr/>
            </w:pPr>
            <w:r>
              <w:rPr/>
              <w:t> </w:t>
            </w:r>
          </w:p>
        </w:tc>
      </w:tr>
      <w:tr>
        <w:trPr/>
        <w:tc>
          <w:tcPr>
            <w:tcW w:w="3868" w:type="dxa"/>
            <w:tcBorders/>
            <w:shd w:fill="CCEEFF" w:val="clear"/>
            <w:vAlign w:val="center"/>
          </w:tcPr>
          <w:p>
            <w:pPr>
              <w:pStyle w:val="TableContents"/>
              <w:bidi w:val="0"/>
              <w:spacing w:before="0" w:after="283"/>
              <w:jc w:val="left"/>
              <w:rPr>
                <w:sz w:val="20"/>
              </w:rPr>
            </w:pPr>
            <w:r>
              <w:rPr>
                <w:sz w:val="20"/>
              </w:rPr>
              <w:t>Interest expense</w:t>
            </w:r>
            <w:r>
              <w:rPr>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(964</w:t>
            </w:r>
          </w:p>
        </w:tc>
        <w:tc>
          <w:tcPr>
            <w:tcW w:w="145" w:type="dxa"/>
            <w:tcBorders/>
            <w:shd w:fill="CCEEFF" w:val="clear"/>
            <w:vAlign w:val="center"/>
          </w:tcPr>
          <w:p>
            <w:pPr>
              <w:pStyle w:val="TableContents"/>
              <w:bidi w:val="0"/>
              <w:spacing w:before="0" w:after="283"/>
              <w:ind w:left="0" w:right="0" w:hanging="180"/>
              <w:jc w:val="left"/>
              <w:rPr/>
            </w:pPr>
            <w:r>
              <w:rPr/>
              <w:t>)</w:t>
            </w:r>
          </w:p>
        </w:tc>
      </w:tr>
      <w:tr>
        <w:trPr/>
        <w:tc>
          <w:tcPr>
            <w:tcW w:w="3868"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tcMar>
              <w:bottom w:w="28" w:type="dxa"/>
            </w:tcMar>
            <w:vAlign w:val="center"/>
          </w:tcPr>
          <w:p>
            <w:pPr>
              <w:pStyle w:val="TableContents"/>
              <w:bidi w:val="0"/>
              <w:spacing w:before="0" w:after="0"/>
              <w:jc w:val="right"/>
              <w:rPr/>
            </w:pPr>
            <w:r>
              <w:rPr/>
              <w:t>—</w:t>
            </w:r>
          </w:p>
        </w:tc>
        <w:tc>
          <w:tcPr>
            <w:tcW w:w="145" w:type="dxa"/>
            <w:tcBorders/>
            <w:vAlign w:val="center"/>
          </w:tcPr>
          <w:p>
            <w:pPr>
              <w:pStyle w:val="TableContents"/>
              <w:bidi w:val="0"/>
              <w:spacing w:before="0" w:after="283"/>
              <w:ind w:left="0" w:right="0" w:hanging="180"/>
              <w:jc w:val="left"/>
              <w:rPr/>
            </w:pPr>
            <w:r>
              <w:rPr/>
              <w:t> </w:t>
            </w:r>
          </w:p>
        </w:tc>
      </w:tr>
      <w:tr>
        <w:trPr/>
        <w:tc>
          <w:tcPr>
            <w:tcW w:w="3868"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3,855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283"/>
              <w:jc w:val="right"/>
              <w:rPr/>
            </w:pPr>
            <w:r>
              <w:rPr/>
              <w:t>(964</w:t>
            </w:r>
          </w:p>
        </w:tc>
        <w:tc>
          <w:tcPr>
            <w:tcW w:w="145" w:type="dxa"/>
            <w:tcBorders/>
            <w:shd w:fill="CCEEFF" w:val="clear"/>
            <w:vAlign w:val="center"/>
          </w:tcPr>
          <w:p>
            <w:pPr>
              <w:pStyle w:val="TableContents"/>
              <w:bidi w:val="0"/>
              <w:spacing w:before="0" w:after="283"/>
              <w:ind w:left="0" w:right="0" w:hanging="180"/>
              <w:jc w:val="left"/>
              <w:rPr/>
            </w:pPr>
            <w:r>
              <w:rPr/>
              <w:t>)</w:t>
            </w:r>
          </w:p>
        </w:tc>
      </w:tr>
      <w:tr>
        <w:trPr/>
        <w:tc>
          <w:tcPr>
            <w:tcW w:w="3868"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(24,574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(22,243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(45,573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(29,320</w:t>
            </w:r>
          </w:p>
        </w:tc>
        <w:tc>
          <w:tcPr>
            <w:tcW w:w="145" w:type="dxa"/>
            <w:tcBorders/>
            <w:vAlign w:val="center"/>
          </w:tcPr>
          <w:p>
            <w:pPr>
              <w:pStyle w:val="TableContents"/>
              <w:bidi w:val="0"/>
              <w:spacing w:before="0" w:after="283"/>
              <w:ind w:left="0" w:right="0" w:hanging="180"/>
              <w:jc w:val="left"/>
              <w:rPr/>
            </w:pPr>
            <w:r>
              <w:rPr/>
              <w:t>)</w:t>
            </w:r>
          </w:p>
        </w:tc>
      </w:tr>
      <w:tr>
        <w:trPr/>
        <w:tc>
          <w:tcPr>
            <w:tcW w:w="3868" w:type="dxa"/>
            <w:tcBorders/>
            <w:shd w:fill="CCEEFF" w:val="clear"/>
            <w:vAlign w:val="center"/>
          </w:tcPr>
          <w:p>
            <w:pPr>
              <w:pStyle w:val="TableContents"/>
              <w:bidi w:val="0"/>
              <w:spacing w:before="0" w:after="283"/>
              <w:jc w:val="left"/>
              <w:rPr/>
            </w:pPr>
            <w:r>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(24,595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bottom w:val="double" w:sz="10" w:space="0" w:color="000000"/>
            </w:tcBorders>
            <w:tcMar>
              <w:bottom w:w="28" w:type="dxa"/>
            </w:tcMar>
            <w:vAlign w:val="center"/>
          </w:tcPr>
          <w:p>
            <w:pPr>
              <w:pStyle w:val="TableContents"/>
              <w:bidi w:val="0"/>
              <w:spacing w:before="0" w:after="283"/>
              <w:jc w:val="left"/>
              <w:rPr/>
            </w:pPr>
            <w:r>
              <w:rPr/>
              <w:t>$</w:t>
            </w:r>
          </w:p>
        </w:tc>
        <w:tc>
          <w:tcPr>
            <w:tcW w:w="1170" w:type="dxa"/>
            <w:tcBorders>
              <w:bottom w:val="double" w:sz="10" w:space="0" w:color="000000"/>
            </w:tcBorders>
            <w:tcMar>
              <w:bottom w:w="28" w:type="dxa"/>
            </w:tcMar>
            <w:vAlign w:val="center"/>
          </w:tcPr>
          <w:p>
            <w:pPr>
              <w:pStyle w:val="TableContents"/>
              <w:bidi w:val="0"/>
              <w:spacing w:before="0" w:after="283"/>
              <w:jc w:val="right"/>
              <w:rPr/>
            </w:pPr>
            <w:r>
              <w:rPr/>
              <w:t>(22,243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tcMar>
              <w:bottom w:w="28" w:type="dxa"/>
            </w:tcMar>
            <w:vAlign w:val="center"/>
          </w:tcPr>
          <w:p>
            <w:pPr>
              <w:pStyle w:val="TableContents"/>
              <w:bidi w:val="0"/>
              <w:spacing w:before="0" w:after="283"/>
              <w:jc w:val="right"/>
              <w:rPr/>
            </w:pPr>
            <w:r>
              <w:rPr/>
              <w:t>(45,559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(29,320</w:t>
            </w:r>
          </w:p>
        </w:tc>
        <w:tc>
          <w:tcPr>
            <w:tcW w:w="145" w:type="dxa"/>
            <w:tcBorders/>
            <w:vAlign w:val="center"/>
          </w:tcPr>
          <w:p>
            <w:pPr>
              <w:pStyle w:val="TableContents"/>
              <w:bidi w:val="0"/>
              <w:spacing w:before="0" w:after="283"/>
              <w:ind w:left="0" w:right="0" w:hanging="180"/>
              <w:jc w:val="left"/>
              <w:rPr/>
            </w:pPr>
            <w:r>
              <w:rPr/>
              <w:t>)</w:t>
            </w:r>
          </w:p>
        </w:tc>
      </w:tr>
      <w:tr>
        <w:trPr/>
        <w:tc>
          <w:tcPr>
            <w:tcW w:w="386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6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Net loss per share attributable to common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(0.46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6" w:type="dxa"/>
            <w:tcBorders>
              <w:bottom w:val="double" w:sz="10" w:space="0" w:color="000000"/>
            </w:tcBorders>
            <w:tcMar>
              <w:bottom w:w="28" w:type="dxa"/>
            </w:tcMar>
            <w:vAlign w:val="center"/>
          </w:tcPr>
          <w:p>
            <w:pPr>
              <w:pStyle w:val="TableContents"/>
              <w:bidi w:val="0"/>
              <w:spacing w:before="0" w:after="283"/>
              <w:jc w:val="left"/>
              <w:rPr/>
            </w:pPr>
            <w:r>
              <w:rPr/>
              <w:t>$</w:t>
            </w:r>
          </w:p>
        </w:tc>
        <w:tc>
          <w:tcPr>
            <w:tcW w:w="1170" w:type="dxa"/>
            <w:tcBorders>
              <w:bottom w:val="double" w:sz="10" w:space="0" w:color="000000"/>
            </w:tcBorders>
            <w:tcMar>
              <w:bottom w:w="28" w:type="dxa"/>
            </w:tcMar>
            <w:vAlign w:val="center"/>
          </w:tcPr>
          <w:p>
            <w:pPr>
              <w:pStyle w:val="TableContents"/>
              <w:bidi w:val="0"/>
              <w:spacing w:before="0" w:after="283"/>
              <w:jc w:val="right"/>
              <w:rPr/>
            </w:pPr>
            <w:r>
              <w:rPr/>
              <w:t>(6.96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tcMar>
              <w:bottom w:w="28" w:type="dxa"/>
            </w:tcMar>
            <w:vAlign w:val="center"/>
          </w:tcPr>
          <w:p>
            <w:pPr>
              <w:pStyle w:val="TableContents"/>
              <w:bidi w:val="0"/>
              <w:spacing w:before="0" w:after="283"/>
              <w:jc w:val="right"/>
              <w:rPr/>
            </w:pPr>
            <w:r>
              <w:rPr/>
              <w:t>(0.85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tcMar>
              <w:bottom w:w="28" w:type="dxa"/>
            </w:tcMar>
            <w:vAlign w:val="center"/>
          </w:tcPr>
          <w:p>
            <w:pPr>
              <w:pStyle w:val="TableContents"/>
              <w:bidi w:val="0"/>
              <w:spacing w:before="0" w:after="283"/>
              <w:jc w:val="right"/>
              <w:rPr/>
            </w:pPr>
            <w:r>
              <w:rPr/>
              <w:t>(9.17</w:t>
            </w:r>
          </w:p>
        </w:tc>
        <w:tc>
          <w:tcPr>
            <w:tcW w:w="145" w:type="dxa"/>
            <w:tcBorders/>
            <w:vAlign w:val="center"/>
          </w:tcPr>
          <w:p>
            <w:pPr>
              <w:pStyle w:val="TableContents"/>
              <w:bidi w:val="0"/>
              <w:spacing w:before="0" w:after="283"/>
              <w:ind w:left="0" w:right="0" w:hanging="180"/>
              <w:jc w:val="left"/>
              <w:rPr/>
            </w:pPr>
            <w:r>
              <w:rPr/>
              <w:t>)</w:t>
            </w:r>
          </w:p>
        </w:tc>
      </w:tr>
      <w:tr>
        <w:trPr/>
        <w:tc>
          <w:tcPr>
            <w:tcW w:w="3868" w:type="dxa"/>
            <w:tcBorders/>
            <w:shd w:fill="CCEEFF" w:val="clear"/>
            <w:vAlign w:val="center"/>
          </w:tcPr>
          <w:p>
            <w:pPr>
              <w:pStyle w:val="TableContents"/>
              <w:bidi w:val="0"/>
              <w:spacing w:before="0" w:after="283"/>
              <w:jc w:val="left"/>
              <w:rPr/>
            </w:pPr>
            <w:r>
              <w:rPr/>
              <w:t>Net loss per share attributable to Series B non-voting convertible preferred stockholders, basic and diluted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(38.26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CCEEFF" w:val="clear"/>
            <w:tcMar>
              <w:bottom w:w="28" w:type="dxa"/>
            </w:tcMar>
            <w:vAlign w:val="center"/>
          </w:tcPr>
          <w:p>
            <w:pPr>
              <w:pStyle w:val="TableContents"/>
              <w:bidi w:val="0"/>
              <w:spacing w:before="0" w:after="283"/>
              <w:jc w:val="right"/>
              <w:rPr/>
            </w:pPr>
            <w:r>
              <w:rPr/>
              <w:t>(71.23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6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ind w:left="0" w:right="0" w:hanging="180"/>
              <w:jc w:val="left"/>
              <w:rPr/>
            </w:pPr>
            <w:r>
              <w:rPr/>
              <w:t> </w:t>
            </w:r>
          </w:p>
        </w:tc>
      </w:tr>
      <w:tr>
        <w:trPr/>
        <w:tc>
          <w:tcPr>
            <w:tcW w:w="3868" w:type="dxa"/>
            <w:tcBorders/>
            <w:shd w:fill="CCEEFF" w:val="clear"/>
            <w:vAlign w:val="center"/>
          </w:tcPr>
          <w:p>
            <w:pPr>
              <w:pStyle w:val="TableContents"/>
              <w:bidi w:val="0"/>
              <w:spacing w:before="0" w:after="283"/>
              <w:jc w:val="left"/>
              <w:rPr/>
            </w:pPr>
            <w:r>
              <w:rPr/>
              <w:t>Weighted-average shares used in computing net loss per share attributable to common stockholders, basic and diluted</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42,095,951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pPr>
            <w:r>
              <w:rPr/>
              <w:t>3,197,975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shd w:fill="CCEEFF" w:val="clear"/>
            <w:tcMar>
              <w:bottom w:w="28" w:type="dxa"/>
            </w:tcMar>
            <w:vAlign w:val="center"/>
          </w:tcPr>
          <w:p>
            <w:pPr>
              <w:pStyle w:val="TableContents"/>
              <w:bidi w:val="0"/>
              <w:spacing w:before="0" w:after="283"/>
              <w:jc w:val="right"/>
              <w:rPr/>
            </w:pPr>
            <w:r>
              <w:rPr/>
              <w:t>41,888,906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2" w:type="dxa"/>
            <w:tcBorders>
              <w:bottom w:val="double" w:sz="10" w:space="0" w:color="000000"/>
            </w:tcBorders>
            <w:shd w:fill="CCEEFF" w:val="clear"/>
            <w:tcMar>
              <w:bottom w:w="28" w:type="dxa"/>
            </w:tcMar>
            <w:vAlign w:val="center"/>
          </w:tcPr>
          <w:p>
            <w:pPr>
              <w:pStyle w:val="TableContents"/>
              <w:bidi w:val="0"/>
              <w:spacing w:before="0" w:after="283"/>
              <w:jc w:val="right"/>
              <w:rPr/>
            </w:pPr>
            <w:r>
              <w:rPr/>
              <w:t>3,197,975</w:t>
            </w:r>
          </w:p>
        </w:tc>
        <w:tc>
          <w:tcPr>
            <w:tcW w:w="145" w:type="dxa"/>
            <w:tcBorders/>
            <w:shd w:fill="CCEEFF" w:val="clear"/>
            <w:vAlign w:val="center"/>
          </w:tcPr>
          <w:p>
            <w:pPr>
              <w:pStyle w:val="TableContents"/>
              <w:bidi w:val="0"/>
              <w:spacing w:before="0" w:after="283"/>
              <w:ind w:left="0" w:right="0" w:hanging="180"/>
              <w:jc w:val="left"/>
              <w:rPr/>
            </w:pPr>
            <w:r>
              <w:rPr/>
              <w:t> </w:t>
            </w:r>
          </w:p>
        </w:tc>
      </w:tr>
      <w:tr>
        <w:trPr/>
        <w:tc>
          <w:tcPr>
            <w:tcW w:w="3868" w:type="dxa"/>
            <w:tcBorders/>
            <w:vAlign w:val="center"/>
          </w:tcPr>
          <w:p>
            <w:pPr>
              <w:pStyle w:val="TableContents"/>
              <w:bidi w:val="0"/>
              <w:spacing w:before="0" w:after="283"/>
              <w:jc w:val="left"/>
              <w:rPr/>
            </w:pPr>
            <w:r>
              <w:rPr/>
              <w:t>Weighted-average shares used in computing net loss per share attributable to Series B non-voting convertible preferred stockholders, basic and diluted</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66"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10" w:space="0" w:color="000000"/>
            </w:tcBorders>
            <w:tcMar>
              <w:bottom w:w="28" w:type="dxa"/>
            </w:tcMar>
            <w:vAlign w:val="center"/>
          </w:tcPr>
          <w:p>
            <w:pPr>
              <w:pStyle w:val="TableContents"/>
              <w:bidi w:val="0"/>
              <w:spacing w:before="0" w:after="283"/>
              <w:jc w:val="left"/>
              <w:rPr/>
            </w:pPr>
            <w:r>
              <w:rPr/>
              <w:t> </w:t>
            </w:r>
          </w:p>
        </w:tc>
        <w:tc>
          <w:tcPr>
            <w:tcW w:w="1223" w:type="dxa"/>
            <w:tcBorders>
              <w:bottom w:val="double" w:sz="10" w:space="0" w:color="000000"/>
            </w:tcBorders>
            <w:tcMar>
              <w:bottom w:w="28" w:type="dxa"/>
            </w:tcMar>
            <w:vAlign w:val="center"/>
          </w:tcPr>
          <w:p>
            <w:pPr>
              <w:pStyle w:val="TableContents"/>
              <w:bidi w:val="0"/>
              <w:spacing w:before="0" w:after="283"/>
              <w:jc w:val="right"/>
              <w:rPr/>
            </w:pPr>
            <w:r>
              <w:rPr/>
              <w:t>137,138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2" w:type="dxa"/>
            <w:tcBorders>
              <w:bottom w:val="double" w:sz="10" w:space="0" w:color="000000"/>
            </w:tcBorders>
            <w:tcMar>
              <w:bottom w:w="28" w:type="dxa"/>
            </w:tcMar>
            <w:vAlign w:val="center"/>
          </w:tcPr>
          <w:p>
            <w:pPr>
              <w:pStyle w:val="TableContents"/>
              <w:bidi w:val="0"/>
              <w:spacing w:before="0" w:after="0"/>
              <w:jc w:val="right"/>
              <w:rPr/>
            </w:pPr>
            <w:r>
              <w:rPr/>
              <w:t>—</w:t>
            </w:r>
          </w:p>
        </w:tc>
        <w:tc>
          <w:tcPr>
            <w:tcW w:w="1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sz w:val="20"/>
              </w:rPr>
            </w:pPr>
            <w:r>
              <w:rPr>
                <w:sz w:val="20"/>
              </w:rPr>
              <w:t>(1)</w:t>
            </w:r>
          </w:p>
        </w:tc>
        <w:tc>
          <w:tcPr>
            <w:tcW w:w="9950" w:type="dxa"/>
            <w:tcBorders/>
            <w:vAlign w:val="center"/>
          </w:tcPr>
          <w:p>
            <w:pPr>
              <w:pStyle w:val="TableContents"/>
              <w:bidi w:val="0"/>
              <w:spacing w:before="0" w:after="283"/>
              <w:jc w:val="both"/>
              <w:rPr>
                <w:sz w:val="20"/>
              </w:rPr>
            </w:pPr>
            <w:r>
              <w:rPr>
                <w:sz w:val="20"/>
              </w:rPr>
              <w:t>Includes related party amounts of $4,281 and $15,379 for the three months ended June 30, 2025 and June 30, 2024, respectively, and $6,403 and $20,430 for the six months ended June 30, 2025 and the period from February 6, 2024 (inception) to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sz w:val="20"/>
              </w:rPr>
            </w:pPr>
            <w:r>
              <w:rPr>
                <w:sz w:val="20"/>
              </w:rPr>
              <w:t>(2)</w:t>
            </w:r>
          </w:p>
        </w:tc>
        <w:tc>
          <w:tcPr>
            <w:tcW w:w="9949" w:type="dxa"/>
            <w:tcBorders/>
            <w:vAlign w:val="center"/>
          </w:tcPr>
          <w:p>
            <w:pPr>
              <w:pStyle w:val="TableContents"/>
              <w:bidi w:val="0"/>
              <w:spacing w:before="0" w:after="283"/>
              <w:jc w:val="both"/>
              <w:rPr>
                <w:sz w:val="20"/>
              </w:rPr>
            </w:pPr>
            <w:r>
              <w:rPr>
                <w:sz w:val="20"/>
              </w:rPr>
              <w:t>Includes related party amounts of $12 and $420 for the three months ended June 30, 2025 and June 30, 2024, respectively, and $122 and $1,268 for the six months ended June 30, 2025 and the period from February 6, 2024 (inception) to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sz w:val="20"/>
              </w:rPr>
            </w:pPr>
            <w:r>
              <w:rPr>
                <w:sz w:val="20"/>
              </w:rPr>
              <w:t>(3)</w:t>
            </w:r>
          </w:p>
        </w:tc>
        <w:tc>
          <w:tcPr>
            <w:tcW w:w="9949" w:type="dxa"/>
            <w:tcBorders/>
            <w:vAlign w:val="center"/>
          </w:tcPr>
          <w:p>
            <w:pPr>
              <w:pStyle w:val="TableContents"/>
              <w:bidi w:val="0"/>
              <w:spacing w:before="0" w:after="283"/>
              <w:jc w:val="both"/>
              <w:rPr>
                <w:sz w:val="20"/>
              </w:rPr>
            </w:pPr>
            <w:r>
              <w:rPr>
                <w:sz w:val="20"/>
              </w:rPr>
              <w:t>Includes related party amounts of nil and $750 for the three months ended June 30, 2025 and June 30, 2024, respectively, and nil and $964 for the six months ended June 30, 2025 and the period from February 6, 2024 (inception) to June 30, 2024,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6"/>
      <w:bookmarkEnd w:id="6"/>
      <w:r>
        <w:rPr>
          <w:rFonts w:ascii="Times New Roman;Times;Serif" w:hAnsi="Times New Roman;Times;Serif"/>
          <w:b/>
          <w:i w:val="false"/>
          <w:caps w:val="false"/>
          <w:smallCaps w:val="false"/>
          <w:sz w:val="20"/>
        </w:rPr>
        <w:t>ORUKA THERAPEUTICS, INC.</w:t>
        <w:br/>
        <w:t>CONDENSED CONSOLIDATED STATEMENTS OF CONVERTIBLE PREFERRED STOCK AND STOCKHOLDERS’ EQUITY (DEFICIT)</w:t>
        <w:br/>
        <w:t>(UNAUDITED)</w:t>
        <w:b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0690" w:type="dxa"/>
        <w:jc w:val="left"/>
        <w:tblInd w:w="0" w:type="dxa"/>
        <w:tblLayout w:type="fixed"/>
        <w:tblCellMar>
          <w:top w:w="0" w:type="dxa"/>
          <w:left w:w="0" w:type="dxa"/>
          <w:bottom w:w="0" w:type="dxa"/>
          <w:right w:w="0" w:type="dxa"/>
        </w:tblCellMar>
      </w:tblPr>
      <w:tblGrid>
        <w:gridCol w:w="1205"/>
        <w:gridCol w:w="90"/>
        <w:gridCol w:w="90"/>
        <w:gridCol w:w="725"/>
        <w:gridCol w:w="90"/>
        <w:gridCol w:w="90"/>
        <w:gridCol w:w="167"/>
        <w:gridCol w:w="558"/>
        <w:gridCol w:w="90"/>
        <w:gridCol w:w="90"/>
        <w:gridCol w:w="90"/>
        <w:gridCol w:w="980"/>
        <w:gridCol w:w="90"/>
        <w:gridCol w:w="90"/>
        <w:gridCol w:w="252"/>
        <w:gridCol w:w="473"/>
        <w:gridCol w:w="90"/>
        <w:gridCol w:w="90"/>
        <w:gridCol w:w="167"/>
        <w:gridCol w:w="783"/>
        <w:gridCol w:w="90"/>
        <w:gridCol w:w="90"/>
        <w:gridCol w:w="447"/>
        <w:gridCol w:w="923"/>
        <w:gridCol w:w="110"/>
        <w:gridCol w:w="90"/>
        <w:gridCol w:w="191"/>
        <w:gridCol w:w="969"/>
        <w:gridCol w:w="110"/>
        <w:gridCol w:w="90"/>
        <w:gridCol w:w="201"/>
        <w:gridCol w:w="944"/>
        <w:gridCol w:w="135"/>
      </w:tblGrid>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B</w:t>
              <w:br/>
              <w:t>Non-Voting</w:t>
              <w:br/>
              <w:t>Convertible</w:t>
              <w:br/>
              <w:t>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Additional</w:t>
              <w:b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sz w:val="20"/>
              </w:rPr>
            </w:pPr>
            <w:r>
              <w:rPr>
                <w:b/>
                <w:sz w:val="20"/>
              </w:rPr>
              <w:t>Accumulated</w:t>
              <w:br/>
              <w:t>Other</w:t>
              <w:br/>
              <w:t>Comprehensive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20"/>
              </w:rPr>
            </w:pPr>
            <w:r>
              <w:rPr>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z w:val="20"/>
              </w:rPr>
            </w:pPr>
            <w:r>
              <w:rPr>
                <w:b/>
                <w:sz w:val="20"/>
              </w:rPr>
              <w:t>Total</w:t>
              <w:br/>
              <w:t>Stockholders’</w:t>
            </w:r>
          </w:p>
        </w:tc>
        <w:tc>
          <w:tcPr>
            <w:tcW w:w="13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Gain (Loss)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Equity</w:t>
            </w:r>
          </w:p>
        </w:tc>
        <w:tc>
          <w:tcPr>
            <w:tcW w:w="13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b/>
                <w:sz w:val="20"/>
              </w:rPr>
            </w:pPr>
            <w:r>
              <w:rPr>
                <w:b/>
                <w:sz w:val="20"/>
              </w:rPr>
              <w:t>Balances 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558" w:type="dxa"/>
            <w:tcBorders/>
            <w:shd w:fill="CCEEFF" w:val="clear"/>
            <w:vAlign w:val="center"/>
          </w:tcPr>
          <w:p>
            <w:pPr>
              <w:pStyle w:val="TableContents"/>
              <w:bidi w:val="0"/>
              <w:spacing w:before="0" w:after="283"/>
              <w:jc w:val="right"/>
              <w:rPr>
                <w:sz w:val="20"/>
              </w:rPr>
            </w:pPr>
            <w:r>
              <w:rPr>
                <w:sz w:val="20"/>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20"/>
              </w:rPr>
            </w:pPr>
            <w:r>
              <w:rPr>
                <w:sz w:val="20"/>
              </w:rPr>
              <w:t>$</w:t>
            </w:r>
          </w:p>
        </w:tc>
        <w:tc>
          <w:tcPr>
            <w:tcW w:w="473" w:type="dxa"/>
            <w:tcBorders/>
            <w:shd w:fill="CCEEFF" w:val="clear"/>
            <w:vAlign w:val="center"/>
          </w:tcPr>
          <w:p>
            <w:pPr>
              <w:pStyle w:val="TableContents"/>
              <w:bidi w:val="0"/>
              <w:spacing w:before="0" w:after="283"/>
              <w:jc w:val="right"/>
              <w:rPr>
                <w:sz w:val="20"/>
              </w:rPr>
            </w:pPr>
            <w:r>
              <w:rPr>
                <w:sz w:val="20"/>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r>
              <w:rPr>
                <w:sz w:val="20"/>
              </w:rPr>
              <w:t>463,018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sz w:val="20"/>
              </w:rPr>
            </w:pPr>
            <w:r>
              <w:rPr>
                <w:sz w:val="20"/>
              </w:rPr>
              <w:t>$</w:t>
            </w:r>
          </w:p>
        </w:tc>
        <w:tc>
          <w:tcPr>
            <w:tcW w:w="923" w:type="dxa"/>
            <w:tcBorders/>
            <w:shd w:fill="CCEEFF" w:val="clear"/>
            <w:vAlign w:val="center"/>
          </w:tcPr>
          <w:p>
            <w:pPr>
              <w:pStyle w:val="TableContents"/>
              <w:bidi w:val="0"/>
              <w:spacing w:before="0" w:after="283"/>
              <w:jc w:val="right"/>
              <w:rPr>
                <w:sz w:val="20"/>
              </w:rPr>
            </w:pPr>
            <w:r>
              <w:rPr>
                <w:sz w:val="20"/>
              </w:rPr>
              <w:t>(41</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20"/>
              </w:rPr>
            </w:pPr>
            <w:r>
              <w:rPr>
                <w:sz w:val="20"/>
              </w:rPr>
              <w:t>$</w:t>
            </w:r>
          </w:p>
        </w:tc>
        <w:tc>
          <w:tcPr>
            <w:tcW w:w="969" w:type="dxa"/>
            <w:tcBorders/>
            <w:shd w:fill="CCEEFF" w:val="clear"/>
            <w:vAlign w:val="center"/>
          </w:tcPr>
          <w:p>
            <w:pPr>
              <w:pStyle w:val="TableContents"/>
              <w:bidi w:val="0"/>
              <w:spacing w:before="0" w:after="283"/>
              <w:jc w:val="right"/>
              <w:rPr>
                <w:sz w:val="20"/>
              </w:rPr>
            </w:pPr>
            <w:r>
              <w:rPr>
                <w:sz w:val="20"/>
              </w:rPr>
              <w:t>(83,724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944" w:type="dxa"/>
            <w:tcBorders/>
            <w:shd w:fill="CCEEFF" w:val="clear"/>
            <w:vAlign w:val="center"/>
          </w:tcPr>
          <w:p>
            <w:pPr>
              <w:pStyle w:val="TableContents"/>
              <w:bidi w:val="0"/>
              <w:spacing w:before="0" w:after="283"/>
              <w:jc w:val="right"/>
              <w:rPr>
                <w:sz w:val="20"/>
              </w:rPr>
            </w:pPr>
            <w:r>
              <w:rPr>
                <w:sz w:val="20"/>
              </w:rPr>
              <w:t>382,221</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3,468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sz w:val="20"/>
              </w:rPr>
            </w:pPr>
            <w:r>
              <w:rPr>
                <w:sz w:val="20"/>
              </w:rPr>
              <w:t>3,468</w:t>
            </w:r>
          </w:p>
        </w:tc>
        <w:tc>
          <w:tcPr>
            <w:tcW w:w="13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sz w:val="20"/>
              </w:rPr>
            </w:pPr>
            <w:r>
              <w:rPr>
                <w:sz w:val="20"/>
              </w:rPr>
              <w:t>Net change in unrealized gains (losses) on marketable securities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sz w:val="20"/>
              </w:rPr>
            </w:pPr>
            <w:r>
              <w:rPr>
                <w:sz w:val="20"/>
              </w:rPr>
              <w:t>35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35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7" w:type="dxa"/>
            <w:tcBorders>
              <w:bottom w:val="single" w:sz="12" w:space="0" w:color="000000"/>
            </w:tcBorders>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(20,999</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01" w:type="dxa"/>
            <w:tcBorders>
              <w:bottom w:val="single" w:sz="12" w:space="0" w:color="000000"/>
            </w:tcBorders>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(20,999</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205" w:type="dxa"/>
            <w:tcBorders/>
            <w:shd w:fill="CCEEFF" w:val="clear"/>
            <w:vAlign w:val="center"/>
          </w:tcPr>
          <w:p>
            <w:pPr>
              <w:pStyle w:val="TableContents"/>
              <w:bidi w:val="0"/>
              <w:spacing w:before="0" w:after="283"/>
              <w:jc w:val="left"/>
              <w:rPr>
                <w:b/>
                <w:sz w:val="20"/>
              </w:rPr>
            </w:pPr>
            <w:r>
              <w:rPr>
                <w:b/>
                <w:sz w:val="20"/>
              </w:rPr>
              <w:t>Balances as of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558" w:type="dxa"/>
            <w:tcBorders/>
            <w:shd w:fill="CCEEFF" w:val="clear"/>
            <w:vAlign w:val="center"/>
          </w:tcPr>
          <w:p>
            <w:pPr>
              <w:pStyle w:val="TableContents"/>
              <w:bidi w:val="0"/>
              <w:spacing w:before="0" w:after="283"/>
              <w:jc w:val="right"/>
              <w:rPr>
                <w:sz w:val="20"/>
              </w:rPr>
            </w:pPr>
            <w:r>
              <w:rPr>
                <w:sz w:val="20"/>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37,440,510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20"/>
              </w:rPr>
            </w:pPr>
            <w:r>
              <w:rPr>
                <w:sz w:val="20"/>
              </w:rPr>
              <w:t>$</w:t>
            </w:r>
          </w:p>
        </w:tc>
        <w:tc>
          <w:tcPr>
            <w:tcW w:w="473" w:type="dxa"/>
            <w:tcBorders/>
            <w:shd w:fill="CCEEFF" w:val="clear"/>
            <w:vAlign w:val="center"/>
          </w:tcPr>
          <w:p>
            <w:pPr>
              <w:pStyle w:val="TableContents"/>
              <w:bidi w:val="0"/>
              <w:spacing w:before="0" w:after="283"/>
              <w:jc w:val="right"/>
              <w:rPr>
                <w:sz w:val="20"/>
              </w:rPr>
            </w:pPr>
            <w:r>
              <w:rPr>
                <w:sz w:val="20"/>
              </w:rPr>
              <w:t>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20"/>
              </w:rPr>
            </w:pPr>
            <w:r>
              <w:rPr>
                <w:sz w:val="20"/>
              </w:rPr>
              <w:t>$</w:t>
            </w:r>
          </w:p>
        </w:tc>
        <w:tc>
          <w:tcPr>
            <w:tcW w:w="783" w:type="dxa"/>
            <w:tcBorders/>
            <w:shd w:fill="CCEEFF" w:val="clear"/>
            <w:vAlign w:val="center"/>
          </w:tcPr>
          <w:p>
            <w:pPr>
              <w:pStyle w:val="TableContents"/>
              <w:bidi w:val="0"/>
              <w:spacing w:before="0" w:after="283"/>
              <w:jc w:val="right"/>
              <w:rPr>
                <w:sz w:val="20"/>
              </w:rPr>
            </w:pPr>
            <w:r>
              <w:rPr>
                <w:sz w:val="20"/>
              </w:rPr>
              <w:t>466,486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sz w:val="20"/>
              </w:rPr>
            </w:pPr>
            <w:r>
              <w:rPr>
                <w:sz w:val="20"/>
              </w:rPr>
              <w:t>$</w:t>
            </w:r>
          </w:p>
        </w:tc>
        <w:tc>
          <w:tcPr>
            <w:tcW w:w="923" w:type="dxa"/>
            <w:tcBorders/>
            <w:shd w:fill="CCEEFF" w:val="clear"/>
            <w:vAlign w:val="center"/>
          </w:tcPr>
          <w:p>
            <w:pPr>
              <w:pStyle w:val="TableContents"/>
              <w:bidi w:val="0"/>
              <w:spacing w:before="0" w:after="283"/>
              <w:jc w:val="right"/>
              <w:rPr>
                <w:sz w:val="20"/>
              </w:rPr>
            </w:pPr>
            <w:r>
              <w:rPr>
                <w:sz w:val="20"/>
              </w:rPr>
              <w:t>(6</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sz w:val="20"/>
              </w:rPr>
            </w:pPr>
            <w:r>
              <w:rPr>
                <w:sz w:val="20"/>
              </w:rPr>
              <w:t>$</w:t>
            </w:r>
          </w:p>
        </w:tc>
        <w:tc>
          <w:tcPr>
            <w:tcW w:w="969" w:type="dxa"/>
            <w:tcBorders/>
            <w:shd w:fill="CCEEFF" w:val="clear"/>
            <w:vAlign w:val="center"/>
          </w:tcPr>
          <w:p>
            <w:pPr>
              <w:pStyle w:val="TableContents"/>
              <w:bidi w:val="0"/>
              <w:spacing w:before="0" w:after="283"/>
              <w:jc w:val="right"/>
              <w:rPr>
                <w:sz w:val="20"/>
              </w:rPr>
            </w:pPr>
            <w:r>
              <w:rPr>
                <w:sz w:val="20"/>
              </w:rPr>
              <w:t>(104,723</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sz w:val="20"/>
              </w:rPr>
            </w:pPr>
            <w:r>
              <w:rPr>
                <w:sz w:val="20"/>
              </w:rPr>
              <w:t>$</w:t>
            </w:r>
          </w:p>
        </w:tc>
        <w:tc>
          <w:tcPr>
            <w:tcW w:w="944" w:type="dxa"/>
            <w:tcBorders/>
            <w:shd w:fill="CCEEFF" w:val="clear"/>
            <w:vAlign w:val="center"/>
          </w:tcPr>
          <w:p>
            <w:pPr>
              <w:pStyle w:val="TableContents"/>
              <w:bidi w:val="0"/>
              <w:spacing w:before="0" w:after="283"/>
              <w:jc w:val="right"/>
              <w:rPr>
                <w:sz w:val="20"/>
              </w:rPr>
            </w:pPr>
            <w:r>
              <w:rPr>
                <w:sz w:val="20"/>
              </w:rPr>
              <w:t>364,725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Issuance of common stock under employee stock purchase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10,235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sz w:val="20"/>
              </w:rPr>
            </w:pPr>
            <w:r>
              <w:rPr>
                <w:sz w:val="20"/>
              </w:rPr>
              <w:t>109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sz w:val="20"/>
              </w:rPr>
            </w:pPr>
            <w:r>
              <w:rPr>
                <w:sz w:val="20"/>
              </w:rPr>
              <w:t>109</w:t>
            </w:r>
          </w:p>
        </w:tc>
        <w:tc>
          <w:tcPr>
            <w:tcW w:w="13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sz w:val="20"/>
              </w:rPr>
            </w:pPr>
            <w:r>
              <w:rPr>
                <w:sz w:val="20"/>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sz w:val="20"/>
              </w:rPr>
            </w:pPr>
            <w:r>
              <w:rPr>
                <w:sz w:val="20"/>
              </w:rPr>
              <w:t>3,403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sz w:val="20"/>
              </w:rPr>
            </w:pPr>
            <w:r>
              <w:rPr>
                <w:sz w:val="20"/>
              </w:rPr>
              <w:t>3,403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Net change in unrealized gains (losses) on marketable securities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sz w:val="20"/>
              </w:rPr>
            </w:pPr>
            <w:r>
              <w:rPr>
                <w:sz w:val="20"/>
              </w:rPr>
              <w:t>(21</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969"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sz w:val="20"/>
              </w:rPr>
            </w:pPr>
            <w:r>
              <w:rPr>
                <w:sz w:val="20"/>
              </w:rPr>
              <w:t>(21</w:t>
            </w:r>
          </w:p>
        </w:tc>
        <w:tc>
          <w:tcPr>
            <w:tcW w:w="135" w:type="dxa"/>
            <w:tcBorders/>
            <w:vAlign w:val="center"/>
          </w:tcPr>
          <w:p>
            <w:pPr>
              <w:pStyle w:val="TableContents"/>
              <w:bidi w:val="0"/>
              <w:spacing w:before="0" w:after="283"/>
              <w:ind w:left="0" w:right="0" w:hanging="180"/>
              <w:jc w:val="left"/>
              <w:rPr>
                <w:sz w:val="20"/>
              </w:rPr>
            </w:pPr>
            <w:r>
              <w:rPr>
                <w:sz w:val="20"/>
              </w:rPr>
              <w:t>)</w:t>
            </w:r>
          </w:p>
        </w:tc>
      </w:tr>
      <w:tr>
        <w:trPr/>
        <w:tc>
          <w:tcPr>
            <w:tcW w:w="1205"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(24,574</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(24,574</w:t>
            </w:r>
          </w:p>
        </w:tc>
        <w:tc>
          <w:tcPr>
            <w:tcW w:w="13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205" w:type="dxa"/>
            <w:tcBorders/>
            <w:vAlign w:val="center"/>
          </w:tcPr>
          <w:p>
            <w:pPr>
              <w:pStyle w:val="TableContents"/>
              <w:bidi w:val="0"/>
              <w:spacing w:before="0" w:after="283"/>
              <w:jc w:val="left"/>
              <w:rPr>
                <w:b/>
                <w:sz w:val="20"/>
              </w:rPr>
            </w:pPr>
            <w:r>
              <w:rPr>
                <w:b/>
                <w:sz w:val="20"/>
              </w:rPr>
              <w:t>Balances as of June 30, 2025</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25"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137,138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558"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37,450,745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47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78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469,998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47"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23" w:type="dxa"/>
            <w:tcBorders>
              <w:bottom w:val="double" w:sz="10" w:space="0" w:color="000000"/>
            </w:tcBorders>
            <w:tcMar>
              <w:bottom w:w="28" w:type="dxa"/>
            </w:tcMar>
            <w:vAlign w:val="center"/>
          </w:tcPr>
          <w:p>
            <w:pPr>
              <w:pStyle w:val="TableContents"/>
              <w:bidi w:val="0"/>
              <w:spacing w:before="0" w:after="283"/>
              <w:jc w:val="right"/>
              <w:rPr>
                <w:sz w:val="20"/>
              </w:rPr>
            </w:pPr>
            <w:r>
              <w:rPr>
                <w:sz w:val="20"/>
              </w:rPr>
              <w:t>(27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191"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69" w:type="dxa"/>
            <w:tcBorders>
              <w:bottom w:val="double" w:sz="10" w:space="0" w:color="000000"/>
            </w:tcBorders>
            <w:tcMar>
              <w:bottom w:w="28" w:type="dxa"/>
            </w:tcMar>
            <w:vAlign w:val="center"/>
          </w:tcPr>
          <w:p>
            <w:pPr>
              <w:pStyle w:val="TableContents"/>
              <w:bidi w:val="0"/>
              <w:spacing w:before="0" w:after="283"/>
              <w:jc w:val="right"/>
              <w:rPr>
                <w:sz w:val="20"/>
              </w:rPr>
            </w:pPr>
            <w:r>
              <w:rPr>
                <w:sz w:val="20"/>
              </w:rPr>
              <w:t>(129,297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01" w:type="dxa"/>
            <w:tcBorders>
              <w:bottom w:val="double" w:sz="10" w:space="0" w:color="000000"/>
            </w:tcBorders>
            <w:tcMar>
              <w:bottom w:w="28" w:type="dxa"/>
            </w:tcMar>
            <w:vAlign w:val="center"/>
          </w:tcPr>
          <w:p>
            <w:pPr>
              <w:pStyle w:val="TableContents"/>
              <w:bidi w:val="0"/>
              <w:spacing w:before="0" w:after="283"/>
              <w:jc w:val="left"/>
              <w:rPr>
                <w:sz w:val="20"/>
              </w:rPr>
            </w:pPr>
            <w:r>
              <w:rPr>
                <w:sz w:val="20"/>
              </w:rPr>
              <w:t>$</w:t>
            </w:r>
          </w:p>
        </w:tc>
        <w:tc>
          <w:tcPr>
            <w:tcW w:w="944" w:type="dxa"/>
            <w:tcBorders>
              <w:bottom w:val="double" w:sz="10" w:space="0" w:color="000000"/>
            </w:tcBorders>
            <w:tcMar>
              <w:bottom w:w="28" w:type="dxa"/>
            </w:tcMar>
            <w:vAlign w:val="center"/>
          </w:tcPr>
          <w:p>
            <w:pPr>
              <w:pStyle w:val="TableContents"/>
              <w:bidi w:val="0"/>
              <w:spacing w:before="0" w:after="283"/>
              <w:jc w:val="right"/>
              <w:rPr>
                <w:sz w:val="20"/>
              </w:rPr>
            </w:pPr>
            <w:r>
              <w:rPr>
                <w:sz w:val="20"/>
              </w:rPr>
              <w:t>343,642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2645" w:type="dxa"/>
        <w:jc w:val="left"/>
        <w:tblInd w:w="0" w:type="dxa"/>
        <w:tblLayout w:type="fixed"/>
        <w:tblCellMar>
          <w:top w:w="0" w:type="dxa"/>
          <w:left w:w="0" w:type="dxa"/>
          <w:bottom w:w="0" w:type="dxa"/>
          <w:right w:w="0" w:type="dxa"/>
        </w:tblCellMar>
      </w:tblPr>
      <w:tblGrid>
        <w:gridCol w:w="1205"/>
        <w:gridCol w:w="90"/>
        <w:gridCol w:w="90"/>
        <w:gridCol w:w="980"/>
        <w:gridCol w:w="90"/>
        <w:gridCol w:w="90"/>
        <w:gridCol w:w="196"/>
        <w:gridCol w:w="529"/>
        <w:gridCol w:w="90"/>
        <w:gridCol w:w="90"/>
        <w:gridCol w:w="90"/>
        <w:gridCol w:w="590"/>
        <w:gridCol w:w="90"/>
        <w:gridCol w:w="90"/>
        <w:gridCol w:w="155"/>
        <w:gridCol w:w="590"/>
        <w:gridCol w:w="90"/>
        <w:gridCol w:w="90"/>
        <w:gridCol w:w="90"/>
        <w:gridCol w:w="875"/>
        <w:gridCol w:w="90"/>
        <w:gridCol w:w="90"/>
        <w:gridCol w:w="252"/>
        <w:gridCol w:w="473"/>
        <w:gridCol w:w="90"/>
        <w:gridCol w:w="90"/>
        <w:gridCol w:w="283"/>
        <w:gridCol w:w="667"/>
        <w:gridCol w:w="110"/>
        <w:gridCol w:w="90"/>
        <w:gridCol w:w="263"/>
        <w:gridCol w:w="1107"/>
        <w:gridCol w:w="90"/>
        <w:gridCol w:w="90"/>
        <w:gridCol w:w="215"/>
        <w:gridCol w:w="945"/>
        <w:gridCol w:w="110"/>
        <w:gridCol w:w="90"/>
        <w:gridCol w:w="212"/>
        <w:gridCol w:w="933"/>
        <w:gridCol w:w="155"/>
      </w:tblGrid>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A</w:t>
              <w:br/>
              <w:t>Convertible Preferred Stock</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5"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Series B Non-Voting</w:t>
              <w:br/>
              <w:t>Convertible Preferred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sz w:val="20"/>
              </w:rPr>
            </w:pPr>
            <w:r>
              <w:rPr>
                <w:b/>
                <w:sz w:val="20"/>
              </w:rPr>
              <w:t>Additional 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sz w:val="20"/>
              </w:rPr>
            </w:pPr>
            <w:r>
              <w:rPr>
                <w:b/>
                <w:sz w:val="20"/>
              </w:rPr>
              <w:t>Accumulated Other 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sz w:val="20"/>
              </w:rPr>
            </w:pPr>
            <w:r>
              <w:rPr>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sz w:val="20"/>
              </w:rPr>
            </w:pPr>
            <w:r>
              <w:rPr>
                <w:b/>
                <w:sz w:val="20"/>
              </w:rPr>
              <w:t>Total</w:t>
              <w:br/>
              <w:t>Stockholders’</w:t>
            </w:r>
          </w:p>
        </w:tc>
        <w:tc>
          <w:tcPr>
            <w:tcW w:w="15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Gain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5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b/>
                <w:sz w:val="20"/>
              </w:rPr>
            </w:pPr>
            <w:r>
              <w:rPr>
                <w:b/>
                <w:sz w:val="20"/>
              </w:rPr>
              <w:t>Balances as of February 6, 2024 (Inception)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sz w:val="20"/>
              </w:rPr>
            </w:pPr>
            <w:r>
              <w:rPr>
                <w:sz w:val="20"/>
              </w:rPr>
              <w:t>$</w:t>
            </w:r>
          </w:p>
        </w:tc>
        <w:tc>
          <w:tcPr>
            <w:tcW w:w="529" w:type="dxa"/>
            <w:tcBorders/>
            <w:shd w:fill="CCEEFF" w:val="clear"/>
            <w:vAlign w:val="center"/>
          </w:tcPr>
          <w:p>
            <w:pPr>
              <w:pStyle w:val="TableContents"/>
              <w:bidi w:val="0"/>
              <w:spacing w:before="0" w:after="283"/>
              <w:jc w:val="right"/>
              <w:rPr/>
            </w:pPr>
            <w:r>
              <w:rPr/>
              <w:t>—</w:t>
            </w:r>
          </w:p>
        </w:tc>
        <w:tc>
          <w:tcPr>
            <w:tcW w:w="9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3,197,975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sz w:val="20"/>
              </w:rPr>
            </w:pPr>
            <w:r>
              <w:rPr>
                <w:sz w:val="20"/>
              </w:rPr>
              <w:t>$</w:t>
            </w:r>
          </w:p>
        </w:tc>
        <w:tc>
          <w:tcPr>
            <w:tcW w:w="473" w:type="dxa"/>
            <w:tcBorders/>
            <w:shd w:fill="CCEEFF" w:val="clear"/>
            <w:vAlign w:val="center"/>
          </w:tcPr>
          <w:p>
            <w:pPr>
              <w:pStyle w:val="TableContents"/>
              <w:bidi w:val="0"/>
              <w:spacing w:before="0" w:after="283"/>
              <w:jc w:val="right"/>
              <w:rPr>
                <w:sz w:val="20"/>
              </w:rPr>
            </w:pPr>
            <w:r>
              <w:rPr>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sz w:val="20"/>
              </w:rPr>
            </w:pPr>
            <w:r>
              <w:rPr>
                <w:sz w:val="20"/>
              </w:rPr>
              <w:t>$</w:t>
            </w:r>
          </w:p>
        </w:tc>
        <w:tc>
          <w:tcPr>
            <w:tcW w:w="667" w:type="dxa"/>
            <w:tcBorders/>
            <w:shd w:fill="CCEEFF" w:val="clear"/>
            <w:vAlign w:val="center"/>
          </w:tcPr>
          <w:p>
            <w:pPr>
              <w:pStyle w:val="TableContents"/>
              <w:bidi w:val="0"/>
              <w:spacing w:before="0" w:after="283"/>
              <w:jc w:val="right"/>
              <w:rPr>
                <w:sz w:val="20"/>
              </w:rPr>
            </w:pPr>
            <w:r>
              <w:rPr>
                <w:sz w:val="20"/>
              </w:rPr>
              <w:t>(2</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sz w:val="20"/>
              </w:rPr>
            </w:pPr>
            <w:r>
              <w:rPr>
                <w:sz w:val="20"/>
              </w:rPr>
              <w:t>$</w:t>
            </w:r>
          </w:p>
        </w:tc>
        <w:tc>
          <w:tcPr>
            <w:tcW w:w="11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sz w:val="20"/>
              </w:rPr>
            </w:pPr>
            <w:r>
              <w:rPr>
                <w:sz w:val="20"/>
              </w:rPr>
              <w:t>$</w:t>
            </w:r>
          </w:p>
        </w:tc>
        <w:tc>
          <w:tcPr>
            <w:tcW w:w="933" w:type="dxa"/>
            <w:tcBorders/>
            <w:shd w:fill="CCEEFF" w:val="clear"/>
            <w:vAlign w:val="center"/>
          </w:tcPr>
          <w:p>
            <w:pPr>
              <w:pStyle w:val="TableContents"/>
              <w:bidi w:val="0"/>
              <w:spacing w:before="0" w:after="283"/>
              <w:jc w:val="right"/>
              <w:rPr>
                <w:sz w:val="20"/>
              </w:rPr>
            </w:pPr>
            <w:r>
              <w:rPr>
                <w:sz w:val="20"/>
              </w:rPr>
              <w:t>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Issuance of 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2,207,553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sz w:val="20"/>
              </w:rPr>
            </w:pPr>
            <w:r>
              <w:rPr>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sz w:val="20"/>
              </w:rPr>
            </w:pPr>
            <w:r>
              <w:rPr>
                <w:sz w:val="20"/>
              </w:rPr>
              <w:t>(2</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1205" w:type="dxa"/>
            <w:tcBorders/>
            <w:shd w:fill="CCEEFF" w:val="clear"/>
            <w:vAlign w:val="center"/>
          </w:tcPr>
          <w:p>
            <w:pPr>
              <w:pStyle w:val="TableContents"/>
              <w:bidi w:val="0"/>
              <w:spacing w:before="0" w:after="283"/>
              <w:jc w:val="left"/>
              <w:rPr>
                <w:sz w:val="20"/>
              </w:rPr>
            </w:pPr>
            <w:r>
              <w:rPr>
                <w:sz w:val="20"/>
              </w:rPr>
              <w:t>Issuance of Series A convertible preferred stock, net of issuance costs of $69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20,000,000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sz w:val="20"/>
              </w:rPr>
            </w:pPr>
            <w:r>
              <w:rPr>
                <w:sz w:val="20"/>
              </w:rPr>
              <w:t>2,931</w:t>
            </w:r>
          </w:p>
        </w:tc>
        <w:tc>
          <w:tcPr>
            <w:tcW w:w="9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1205" w:type="dxa"/>
            <w:tcBorders/>
            <w:vAlign w:val="center"/>
          </w:tcPr>
          <w:p>
            <w:pPr>
              <w:pStyle w:val="TableContents"/>
              <w:bidi w:val="0"/>
              <w:spacing w:before="0" w:after="283"/>
              <w:jc w:val="left"/>
              <w:rPr>
                <w:sz w:val="20"/>
              </w:rPr>
            </w:pPr>
            <w:r>
              <w:rPr>
                <w:sz w:val="20"/>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529" w:type="dxa"/>
            <w:tcBorders/>
            <w:vAlign w:val="center"/>
          </w:tcPr>
          <w:p>
            <w:pPr>
              <w:pStyle w:val="TableContents"/>
              <w:bidi w:val="0"/>
              <w:spacing w:before="0" w:after="283"/>
              <w:jc w:val="right"/>
              <w:rPr/>
            </w:pPr>
            <w:r>
              <w:rPr/>
              <w:t>—</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sz w:val="20"/>
              </w:rPr>
            </w:pPr>
            <w:r>
              <w:rPr>
                <w:sz w:val="20"/>
              </w:rPr>
              <w:t>17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c>
          <w:tcPr>
            <w:tcW w:w="110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sz w:val="20"/>
              </w:rPr>
            </w:pPr>
            <w:r>
              <w:rPr>
                <w:sz w:val="20"/>
              </w:rPr>
              <w:t>17</w:t>
            </w:r>
          </w:p>
        </w:tc>
        <w:tc>
          <w:tcPr>
            <w:tcW w:w="15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(7,077</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(7,077</w:t>
            </w:r>
          </w:p>
        </w:tc>
        <w:tc>
          <w:tcPr>
            <w:tcW w:w="155" w:type="dxa"/>
            <w:tcBorders/>
            <w:shd w:fill="CCEEFF" w:val="clear"/>
            <w:vAlign w:val="center"/>
          </w:tcPr>
          <w:p>
            <w:pPr>
              <w:pStyle w:val="TableContents"/>
              <w:bidi w:val="0"/>
              <w:spacing w:before="0" w:after="283"/>
              <w:ind w:left="0" w:right="0" w:hanging="180"/>
              <w:jc w:val="left"/>
              <w:rPr>
                <w:sz w:val="20"/>
              </w:rPr>
            </w:pPr>
            <w:r>
              <w:rPr>
                <w:sz w:val="20"/>
              </w:rPr>
              <w:t>)</w:t>
            </w:r>
          </w:p>
        </w:tc>
      </w:tr>
      <w:tr>
        <w:trPr/>
        <w:tc>
          <w:tcPr>
            <w:tcW w:w="1205" w:type="dxa"/>
            <w:tcBorders/>
            <w:vAlign w:val="center"/>
          </w:tcPr>
          <w:p>
            <w:pPr>
              <w:pStyle w:val="TableContents"/>
              <w:bidi w:val="0"/>
              <w:spacing w:before="0" w:after="283"/>
              <w:jc w:val="left"/>
              <w:rPr>
                <w:b/>
                <w:sz w:val="20"/>
              </w:rPr>
            </w:pPr>
            <w:r>
              <w:rPr>
                <w:b/>
                <w:sz w:val="20"/>
              </w:rPr>
              <w:t>Balances as of March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20,000,000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w:t>
            </w:r>
          </w:p>
        </w:tc>
        <w:tc>
          <w:tcPr>
            <w:tcW w:w="529" w:type="dxa"/>
            <w:tcBorders/>
            <w:vAlign w:val="center"/>
          </w:tcPr>
          <w:p>
            <w:pPr>
              <w:pStyle w:val="TableContents"/>
              <w:bidi w:val="0"/>
              <w:spacing w:before="0" w:after="283"/>
              <w:jc w:val="right"/>
              <w:rPr>
                <w:sz w:val="20"/>
              </w:rPr>
            </w:pPr>
            <w:r>
              <w:rPr>
                <w:sz w:val="20"/>
              </w:rPr>
              <w:t>2,931</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5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5,405,528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sz w:val="20"/>
              </w:rPr>
            </w:pPr>
            <w:r>
              <w:rPr>
                <w:sz w:val="20"/>
              </w:rPr>
              <w:t>$</w:t>
            </w:r>
          </w:p>
        </w:tc>
        <w:tc>
          <w:tcPr>
            <w:tcW w:w="473" w:type="dxa"/>
            <w:tcBorders/>
            <w:vAlign w:val="center"/>
          </w:tcPr>
          <w:p>
            <w:pPr>
              <w:pStyle w:val="TableContents"/>
              <w:bidi w:val="0"/>
              <w:spacing w:before="0" w:after="283"/>
              <w:jc w:val="right"/>
              <w:rPr>
                <w:sz w:val="20"/>
              </w:rPr>
            </w:pPr>
            <w:r>
              <w:rPr>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sz w:val="20"/>
              </w:rPr>
            </w:pPr>
            <w:r>
              <w:rPr>
                <w:sz w:val="20"/>
              </w:rPr>
              <w:t>$</w:t>
            </w:r>
          </w:p>
        </w:tc>
        <w:tc>
          <w:tcPr>
            <w:tcW w:w="667" w:type="dxa"/>
            <w:tcBorders/>
            <w:vAlign w:val="center"/>
          </w:tcPr>
          <w:p>
            <w:pPr>
              <w:pStyle w:val="TableContents"/>
              <w:bidi w:val="0"/>
              <w:spacing w:before="0" w:after="283"/>
              <w:jc w:val="right"/>
              <w:rPr>
                <w:sz w:val="20"/>
              </w:rPr>
            </w:pPr>
            <w:r>
              <w:rPr>
                <w:sz w:val="20"/>
              </w:rPr>
              <w:t>13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sz w:val="20"/>
              </w:rPr>
            </w:pPr>
            <w:r>
              <w:rPr>
                <w:sz w:val="20"/>
              </w:rPr>
              <w:t>$</w:t>
            </w:r>
          </w:p>
        </w:tc>
        <w:tc>
          <w:tcPr>
            <w:tcW w:w="110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20"/>
              </w:rPr>
            </w:pPr>
            <w:r>
              <w:rPr>
                <w:sz w:val="20"/>
              </w:rPr>
              <w:t>$</w:t>
            </w:r>
          </w:p>
        </w:tc>
        <w:tc>
          <w:tcPr>
            <w:tcW w:w="945" w:type="dxa"/>
            <w:tcBorders/>
            <w:vAlign w:val="center"/>
          </w:tcPr>
          <w:p>
            <w:pPr>
              <w:pStyle w:val="TableContents"/>
              <w:bidi w:val="0"/>
              <w:spacing w:before="0" w:after="283"/>
              <w:jc w:val="right"/>
              <w:rPr>
                <w:sz w:val="20"/>
              </w:rPr>
            </w:pPr>
            <w:r>
              <w:rPr>
                <w:sz w:val="20"/>
              </w:rPr>
              <w:t>(7,077</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sz w:val="20"/>
              </w:rPr>
            </w:pPr>
            <w:r>
              <w:rPr>
                <w:sz w:val="20"/>
              </w:rPr>
              <w:t>$</w:t>
            </w:r>
          </w:p>
        </w:tc>
        <w:tc>
          <w:tcPr>
            <w:tcW w:w="933" w:type="dxa"/>
            <w:tcBorders/>
            <w:vAlign w:val="center"/>
          </w:tcPr>
          <w:p>
            <w:pPr>
              <w:pStyle w:val="TableContents"/>
              <w:bidi w:val="0"/>
              <w:spacing w:before="0" w:after="283"/>
              <w:jc w:val="right"/>
              <w:rPr>
                <w:sz w:val="20"/>
              </w:rPr>
            </w:pPr>
            <w:r>
              <w:rPr>
                <w:sz w:val="20"/>
              </w:rPr>
              <w:t>(7,059</w:t>
            </w:r>
          </w:p>
        </w:tc>
        <w:tc>
          <w:tcPr>
            <w:tcW w:w="155" w:type="dxa"/>
            <w:tcBorders/>
            <w:vAlign w:val="center"/>
          </w:tcPr>
          <w:p>
            <w:pPr>
              <w:pStyle w:val="TableContents"/>
              <w:bidi w:val="0"/>
              <w:spacing w:before="0" w:after="283"/>
              <w:ind w:left="0" w:right="0" w:hanging="180"/>
              <w:jc w:val="left"/>
              <w:rPr>
                <w:sz w:val="20"/>
              </w:rPr>
            </w:pPr>
            <w:r>
              <w:rPr>
                <w:sz w:val="20"/>
              </w:rPr>
              <w:t>)</w:t>
            </w:r>
          </w:p>
        </w:tc>
      </w:tr>
      <w:tr>
        <w:trPr/>
        <w:tc>
          <w:tcPr>
            <w:tcW w:w="1205" w:type="dxa"/>
            <w:tcBorders/>
            <w:shd w:fill="CCEEFF" w:val="clear"/>
            <w:vAlign w:val="center"/>
          </w:tcPr>
          <w:p>
            <w:pPr>
              <w:pStyle w:val="TableContents"/>
              <w:bidi w:val="0"/>
              <w:spacing w:before="0" w:after="283"/>
              <w:jc w:val="left"/>
              <w:rPr>
                <w:sz w:val="20"/>
              </w:rPr>
            </w:pPr>
            <w:r>
              <w:rPr>
                <w:sz w:val="20"/>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w:t>
            </w:r>
          </w:p>
        </w:tc>
        <w:tc>
          <w:tcPr>
            <w:tcW w:w="9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sz w:val="20"/>
              </w:rPr>
            </w:pPr>
            <w:r>
              <w:rPr>
                <w:sz w:val="20"/>
              </w:rPr>
              <w:t>321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sz w:val="20"/>
              </w:rPr>
            </w:pPr>
            <w:r>
              <w:rPr>
                <w:sz w:val="20"/>
              </w:rPr>
              <w:t>321</w:t>
            </w:r>
          </w:p>
        </w:tc>
        <w:tc>
          <w:tcPr>
            <w:tcW w:w="155" w:type="dxa"/>
            <w:tcBorders/>
            <w:shd w:fill="CCEEFF" w:val="clear"/>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sz w:val="20"/>
              </w:rPr>
            </w:pPr>
            <w:r>
              <w:rPr>
                <w:sz w:val="20"/>
              </w:rPr>
              <w:t>Net loss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12" w:space="0" w:color="000000"/>
            </w:tcBorders>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right w:val="single" w:sz="12" w:space="0" w:color="000000"/>
            </w:tcBorders>
            <w:tcMar>
              <w:right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2" w:type="dxa"/>
            <w:tcBorders>
              <w:bottom w:val="single" w:sz="12" w:space="0" w:color="000000"/>
            </w:tcBorders>
            <w:tcMar>
              <w:bottom w:w="28" w:type="dxa"/>
            </w:tcMar>
            <w:vAlign w:val="center"/>
          </w:tcPr>
          <w:p>
            <w:pPr>
              <w:pStyle w:val="TableContents"/>
              <w:bidi w:val="0"/>
              <w:spacing w:before="0" w:after="283"/>
              <w:jc w:val="left"/>
              <w:rPr/>
            </w:pPr>
            <w:r>
              <w:rPr/>
              <w:t> </w:t>
            </w:r>
          </w:p>
        </w:tc>
        <w:tc>
          <w:tcPr>
            <w:tcW w:w="473"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3" w:type="dxa"/>
            <w:tcBorders>
              <w:bottom w:val="single" w:sz="12" w:space="0" w:color="000000"/>
            </w:tcBorders>
            <w:tcMar>
              <w:bottom w:w="28" w:type="dxa"/>
            </w:tcMar>
            <w:vAlign w:val="center"/>
          </w:tcPr>
          <w:p>
            <w:pPr>
              <w:pStyle w:val="TableContents"/>
              <w:bidi w:val="0"/>
              <w:spacing w:before="0" w:after="283"/>
              <w:jc w:val="left"/>
              <w:rPr/>
            </w:pPr>
            <w:r>
              <w:rPr/>
              <w:t> </w:t>
            </w:r>
          </w:p>
        </w:tc>
        <w:tc>
          <w:tcPr>
            <w:tcW w:w="667"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(22,243</w:t>
            </w:r>
          </w:p>
        </w:tc>
        <w:tc>
          <w:tcPr>
            <w:tcW w:w="110" w:type="dxa"/>
            <w:tcBorders/>
            <w:vAlign w:val="center"/>
          </w:tcPr>
          <w:p>
            <w:pPr>
              <w:pStyle w:val="TableContents"/>
              <w:bidi w:val="0"/>
              <w:spacing w:before="0" w:after="283"/>
              <w:jc w:val="left"/>
              <w:rPr>
                <w:sz w:val="20"/>
              </w:rPr>
            </w:pPr>
            <w:r>
              <w:rPr>
                <w:sz w:val="20"/>
              </w:rPr>
              <w:t>)</w:t>
            </w:r>
          </w:p>
        </w:tc>
        <w:tc>
          <w:tcPr>
            <w:tcW w:w="90" w:type="dxa"/>
            <w:tcBorders/>
            <w:vAlign w:val="center"/>
          </w:tcPr>
          <w:p>
            <w:pPr>
              <w:pStyle w:val="TableContents"/>
              <w:bidi w:val="0"/>
              <w:spacing w:before="0" w:after="283"/>
              <w:jc w:val="left"/>
              <w:rPr/>
            </w:pPr>
            <w:r>
              <w:rPr/>
              <w:t> </w:t>
            </w:r>
          </w:p>
        </w:tc>
        <w:tc>
          <w:tcPr>
            <w:tcW w:w="212" w:type="dxa"/>
            <w:tcBorders>
              <w:bottom w:val="single" w:sz="12" w:space="0" w:color="000000"/>
            </w:tcBorders>
            <w:tcMar>
              <w:bottom w:w="28" w:type="dxa"/>
            </w:tcMar>
            <w:vAlign w:val="center"/>
          </w:tcPr>
          <w:p>
            <w:pPr>
              <w:pStyle w:val="TableContents"/>
              <w:bidi w:val="0"/>
              <w:spacing w:before="0" w:after="283"/>
              <w:jc w:val="left"/>
              <w:rPr/>
            </w:pPr>
            <w:r>
              <w:rPr/>
              <w:t> </w:t>
            </w:r>
          </w:p>
        </w:tc>
        <w:tc>
          <w:tcPr>
            <w:tcW w:w="933" w:type="dxa"/>
            <w:tcBorders>
              <w:bottom w:val="single" w:sz="12" w:space="0" w:color="000000"/>
            </w:tcBorders>
            <w:tcMar>
              <w:bottom w:w="28" w:type="dxa"/>
            </w:tcMar>
            <w:vAlign w:val="center"/>
          </w:tcPr>
          <w:p>
            <w:pPr>
              <w:pStyle w:val="TableContents"/>
              <w:bidi w:val="0"/>
              <w:spacing w:before="0" w:after="283"/>
              <w:jc w:val="right"/>
              <w:rPr>
                <w:sz w:val="20"/>
              </w:rPr>
            </w:pPr>
            <w:r>
              <w:rPr>
                <w:sz w:val="20"/>
              </w:rPr>
              <w:t>(22,243</w:t>
            </w:r>
          </w:p>
        </w:tc>
        <w:tc>
          <w:tcPr>
            <w:tcW w:w="155" w:type="dxa"/>
            <w:tcBorders/>
            <w:vAlign w:val="center"/>
          </w:tcPr>
          <w:p>
            <w:pPr>
              <w:pStyle w:val="TableContents"/>
              <w:bidi w:val="0"/>
              <w:spacing w:before="0" w:after="283"/>
              <w:ind w:left="0" w:right="0" w:hanging="180"/>
              <w:jc w:val="left"/>
              <w:rPr>
                <w:sz w:val="20"/>
              </w:rPr>
            </w:pPr>
            <w:r>
              <w:rPr>
                <w:sz w:val="20"/>
              </w:rPr>
              <w:t>)</w:t>
            </w:r>
          </w:p>
        </w:tc>
      </w:tr>
      <w:tr>
        <w:trPr/>
        <w:tc>
          <w:tcPr>
            <w:tcW w:w="1205" w:type="dxa"/>
            <w:tcBorders/>
            <w:shd w:fill="CCEEFF" w:val="clear"/>
            <w:vAlign w:val="center"/>
          </w:tcPr>
          <w:p>
            <w:pPr>
              <w:pStyle w:val="TableContents"/>
              <w:bidi w:val="0"/>
              <w:spacing w:before="0" w:after="283"/>
              <w:jc w:val="left"/>
              <w:rPr>
                <w:b/>
                <w:sz w:val="20"/>
              </w:rPr>
            </w:pPr>
            <w:r>
              <w:rPr>
                <w:b/>
                <w:sz w:val="20"/>
              </w:rPr>
              <w:t>Balances as of June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20,000,000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2,931</w:t>
            </w:r>
          </w:p>
        </w:tc>
        <w:tc>
          <w:tcPr>
            <w:tcW w:w="90" w:type="dxa"/>
            <w:tcBorders>
              <w:right w:val="single" w:sz="12" w:space="0" w:color="000000"/>
            </w:tcBorders>
            <w:shd w:fill="CCEEFF" w:val="clear"/>
            <w:tcMar>
              <w:right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5,405,528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2"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67"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334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3"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0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45"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(29,320</w:t>
            </w:r>
          </w:p>
        </w:tc>
        <w:tc>
          <w:tcPr>
            <w:tcW w:w="110"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3" w:type="dxa"/>
            <w:tcBorders>
              <w:bottom w:val="double" w:sz="10" w:space="0" w:color="000000"/>
            </w:tcBorders>
            <w:shd w:fill="CCEEFF" w:val="clear"/>
            <w:tcMar>
              <w:bottom w:w="28" w:type="dxa"/>
            </w:tcMar>
            <w:vAlign w:val="center"/>
          </w:tcPr>
          <w:p>
            <w:pPr>
              <w:pStyle w:val="TableContents"/>
              <w:bidi w:val="0"/>
              <w:spacing w:before="0" w:after="283"/>
              <w:jc w:val="right"/>
              <w:rPr>
                <w:sz w:val="20"/>
              </w:rPr>
            </w:pPr>
            <w:r>
              <w:rPr>
                <w:sz w:val="20"/>
              </w:rPr>
              <w:t>(28,981</w:t>
            </w:r>
          </w:p>
        </w:tc>
        <w:tc>
          <w:tcPr>
            <w:tcW w:w="15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ORUKA THERAPEUTICS, INC.</w:t>
        <w:br/>
        <w:t>CONDENSED CONSOLIDATED STATEMENTS OF CASH FLOWS</w:t>
        <w:br/>
        <w:t>(UNAUDITED)</w:t>
        <w:b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01"/>
        <w:gridCol w:w="90"/>
        <w:gridCol w:w="261"/>
        <w:gridCol w:w="1395"/>
        <w:gridCol w:w="125"/>
        <w:gridCol w:w="90"/>
        <w:gridCol w:w="243"/>
        <w:gridCol w:w="1128"/>
        <w:gridCol w:w="172"/>
      </w:tblGrid>
      <w:tr>
        <w:trPr/>
        <w:tc>
          <w:tcPr>
            <w:tcW w:w="67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 xml:space="preserve">February 6, </w:t>
              <w:br/>
              <w:t xml:space="preserve">2024 </w:t>
              <w:br/>
              <w:t xml:space="preserve">(Inception) to </w:t>
              <w:br/>
              <w:t>June 30,</w:t>
              <w:br/>
              <w:t>2024</w:t>
            </w:r>
          </w:p>
        </w:tc>
        <w:tc>
          <w:tcPr>
            <w:tcW w:w="172" w:type="dxa"/>
            <w:tcBorders/>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656"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1" w:type="dxa"/>
            <w:gridSpan w:val="2"/>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283"/>
              <w:jc w:val="right"/>
              <w:rPr/>
            </w:pPr>
            <w:r>
              <w:rPr/>
              <w:t>(45,573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(29,320</w:t>
            </w:r>
          </w:p>
        </w:tc>
        <w:tc>
          <w:tcPr>
            <w:tcW w:w="172" w:type="dxa"/>
            <w:tcBorders/>
            <w:shd w:fill="CCEEFF" w:val="clear"/>
            <w:vAlign w:val="center"/>
          </w:tcPr>
          <w:p>
            <w:pPr>
              <w:pStyle w:val="TableContents"/>
              <w:bidi w:val="0"/>
              <w:spacing w:before="0" w:after="283"/>
              <w:jc w:val="left"/>
              <w:rPr/>
            </w:pPr>
            <w:r>
              <w:rPr/>
              <w:t>)</w:t>
            </w:r>
          </w:p>
        </w:tc>
      </w:tr>
      <w:tr>
        <w:trPr/>
        <w:tc>
          <w:tcPr>
            <w:tcW w:w="6701" w:type="dxa"/>
            <w:tcBorders/>
            <w:vAlign w:val="center"/>
          </w:tcPr>
          <w:p>
            <w:pPr>
              <w:pStyle w:val="TableContents"/>
              <w:bidi w:val="0"/>
              <w:spacing w:before="0" w:after="283"/>
              <w:jc w:val="left"/>
              <w:rPr/>
            </w:pPr>
            <w:r>
              <w:rPr/>
              <w:t>Adjustments to reconcile net loss to net cash used in operating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9,960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768</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Net accretion of premiums and discounts on marketable securities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(3,300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Non-cash interest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3</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Non-cash lease expense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Depreciation expense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35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Changes in operating assets and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Subscription receivable</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(765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(1,721</w:t>
            </w:r>
          </w:p>
        </w:tc>
        <w:tc>
          <w:tcPr>
            <w:tcW w:w="172" w:type="dxa"/>
            <w:tcBorders/>
            <w:vAlign w:val="center"/>
          </w:tcPr>
          <w:p>
            <w:pPr>
              <w:pStyle w:val="TableContents"/>
              <w:bidi w:val="0"/>
              <w:spacing w:before="0" w:after="283"/>
              <w:jc w:val="left"/>
              <w:rPr/>
            </w:pPr>
            <w:r>
              <w:rPr/>
              <w:t>)</w:t>
            </w:r>
          </w:p>
        </w:tc>
      </w:tr>
      <w:tr>
        <w:trPr/>
        <w:tc>
          <w:tcPr>
            <w:tcW w:w="6701" w:type="dxa"/>
            <w:tcBorders/>
            <w:shd w:fill="CCEEFF" w:val="clear"/>
            <w:vAlign w:val="center"/>
          </w:tcPr>
          <w:p>
            <w:pPr>
              <w:pStyle w:val="TableContents"/>
              <w:bidi w:val="0"/>
              <w:spacing w:before="0" w:after="283"/>
              <w:jc w:val="left"/>
              <w:rPr/>
            </w:pPr>
            <w:r>
              <w:rPr/>
              <w:t>Other non-current assets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(43</w:t>
            </w:r>
          </w:p>
        </w:tc>
        <w:tc>
          <w:tcPr>
            <w:tcW w:w="172" w:type="dxa"/>
            <w:tcBorders/>
            <w:shd w:fill="CCEEFF" w:val="clear"/>
            <w:vAlign w:val="center"/>
          </w:tcPr>
          <w:p>
            <w:pPr>
              <w:pStyle w:val="TableContents"/>
              <w:bidi w:val="0"/>
              <w:spacing w:before="0" w:after="283"/>
              <w:jc w:val="left"/>
              <w:rPr/>
            </w:pPr>
            <w:r>
              <w:rPr/>
              <w:t>)</w:t>
            </w:r>
          </w:p>
        </w:tc>
      </w:tr>
      <w:tr>
        <w:trPr/>
        <w:tc>
          <w:tcPr>
            <w:tcW w:w="6701"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1,202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2,022</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Accrued expenses and other current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683</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Operating lease liability</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Related party accounts payable and other current liabilities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(5,903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15,437</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Accrued interest payable, related party</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tcMar>
              <w:bottom w:w="28" w:type="dxa"/>
            </w:tcMar>
            <w:vAlign w:val="center"/>
          </w:tcPr>
          <w:p>
            <w:pPr>
              <w:pStyle w:val="TableContents"/>
              <w:bidi w:val="0"/>
              <w:spacing w:before="0" w:after="283"/>
              <w:jc w:val="right"/>
              <w:rPr/>
            </w:pPr>
            <w:r>
              <w:rPr/>
              <w:t>961</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(44,014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283"/>
              <w:jc w:val="right"/>
              <w:rPr/>
            </w:pPr>
            <w:r>
              <w:rPr/>
              <w:t>(11,201</w:t>
            </w:r>
          </w:p>
        </w:tc>
        <w:tc>
          <w:tcPr>
            <w:tcW w:w="172" w:type="dxa"/>
            <w:tcBorders/>
            <w:shd w:fill="CCEEFF" w:val="clear"/>
            <w:vAlign w:val="center"/>
          </w:tcPr>
          <w:p>
            <w:pPr>
              <w:pStyle w:val="TableContents"/>
              <w:bidi w:val="0"/>
              <w:spacing w:before="0" w:after="283"/>
              <w:jc w:val="left"/>
              <w:rPr/>
            </w:pPr>
            <w:r>
              <w:rPr/>
              <w:t>)</w:t>
            </w:r>
          </w:p>
        </w:tc>
      </w:tr>
      <w:tr>
        <w:trPr/>
        <w:tc>
          <w:tcPr>
            <w:tcW w:w="6701"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Purchases of marketable securities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(152,289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Proceeds from maturities of marketable securities</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200,062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Net cash provided by investing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47,726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01" w:type="dxa"/>
            <w:tcBorders/>
            <w:vAlign w:val="center"/>
          </w:tcPr>
          <w:p>
            <w:pPr>
              <w:pStyle w:val="TableContents"/>
              <w:bidi w:val="0"/>
              <w:spacing w:before="0" w:after="283"/>
              <w:jc w:val="left"/>
              <w:rPr/>
            </w:pPr>
            <w:r>
              <w:rPr/>
              <w:t>Proceeds from issuance of Pre-Merger Oruka Series A Preferred Stock, net of issuance costs paid</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2,931</w:t>
            </w:r>
          </w:p>
        </w:tc>
        <w:tc>
          <w:tcPr>
            <w:tcW w:w="172" w:type="dxa"/>
            <w:tcBorders/>
            <w:vAlign w:val="center"/>
          </w:tcPr>
          <w:p>
            <w:pPr>
              <w:pStyle w:val="TableContents"/>
              <w:bidi w:val="0"/>
              <w:spacing w:before="0" w:after="283"/>
              <w:ind w:left="0" w:right="0" w:hanging="180"/>
              <w:jc w:val="left"/>
              <w:rPr/>
            </w:pPr>
            <w:r>
              <w:rPr/>
              <w:t> </w:t>
            </w:r>
          </w:p>
        </w:tc>
      </w:tr>
      <w:tr>
        <w:trPr/>
        <w:tc>
          <w:tcPr>
            <w:tcW w:w="6701" w:type="dxa"/>
            <w:tcBorders/>
            <w:shd w:fill="CCEEFF" w:val="clear"/>
            <w:vAlign w:val="center"/>
          </w:tcPr>
          <w:p>
            <w:pPr>
              <w:pStyle w:val="TableContents"/>
              <w:bidi w:val="0"/>
              <w:spacing w:before="0" w:after="283"/>
              <w:jc w:val="left"/>
              <w:rPr/>
            </w:pPr>
            <w:r>
              <w:rPr/>
              <w:t>Proceeds from issuance of notes payable to related party, net of issuance costs paid</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24,980</w:t>
            </w:r>
          </w:p>
        </w:tc>
        <w:tc>
          <w:tcPr>
            <w:tcW w:w="172" w:type="dxa"/>
            <w:tcBorders/>
            <w:shd w:fill="CCEEFF" w:val="clear"/>
            <w:vAlign w:val="center"/>
          </w:tcPr>
          <w:p>
            <w:pPr>
              <w:pStyle w:val="TableContents"/>
              <w:bidi w:val="0"/>
              <w:spacing w:before="0" w:after="283"/>
              <w:ind w:left="0" w:right="0" w:hanging="180"/>
              <w:jc w:val="left"/>
              <w:rPr/>
            </w:pPr>
            <w:r>
              <w:rPr/>
              <w:t> </w:t>
            </w:r>
          </w:p>
        </w:tc>
      </w:tr>
      <w:tr>
        <w:trPr/>
        <w:tc>
          <w:tcPr>
            <w:tcW w:w="6701" w:type="dxa"/>
            <w:tcBorders/>
            <w:vAlign w:val="center"/>
          </w:tcPr>
          <w:p>
            <w:pPr>
              <w:pStyle w:val="TableContents"/>
              <w:bidi w:val="0"/>
              <w:spacing w:before="0" w:after="283"/>
              <w:jc w:val="left"/>
              <w:rPr/>
            </w:pPr>
            <w:r>
              <w:rPr/>
              <w:t>Payment of deferred offering costs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(1,589</w:t>
            </w:r>
          </w:p>
        </w:tc>
        <w:tc>
          <w:tcPr>
            <w:tcW w:w="172" w:type="dxa"/>
            <w:tcBorders/>
            <w:vAlign w:val="center"/>
          </w:tcPr>
          <w:p>
            <w:pPr>
              <w:pStyle w:val="TableContents"/>
              <w:bidi w:val="0"/>
              <w:spacing w:before="0" w:after="283"/>
              <w:ind w:left="0" w:right="0" w:hanging="180"/>
              <w:jc w:val="left"/>
              <w:rPr/>
            </w:pPr>
            <w:r>
              <w:rPr/>
              <w:t>)</w:t>
            </w:r>
          </w:p>
        </w:tc>
      </w:tr>
      <w:tr>
        <w:trPr/>
        <w:tc>
          <w:tcPr>
            <w:tcW w:w="6701" w:type="dxa"/>
            <w:tcBorders/>
            <w:shd w:fill="CCEEFF" w:val="clear"/>
            <w:vAlign w:val="center"/>
          </w:tcPr>
          <w:p>
            <w:pPr>
              <w:pStyle w:val="TableContents"/>
              <w:bidi w:val="0"/>
              <w:spacing w:before="0" w:after="283"/>
              <w:jc w:val="left"/>
              <w:rPr/>
            </w:pPr>
            <w:r>
              <w:rPr/>
              <w:t>Proceeds from issuance of common stock</w:t>
            </w:r>
          </w:p>
        </w:tc>
        <w:tc>
          <w:tcPr>
            <w:tcW w:w="90" w:type="dxa"/>
            <w:tcBorders/>
            <w:shd w:fill="CCEEFF" w:val="clear"/>
            <w:vAlign w:val="center"/>
          </w:tcPr>
          <w:p>
            <w:pPr>
              <w:pStyle w:val="TableContents"/>
              <w:bidi w:val="0"/>
              <w:spacing w:before="0" w:after="283"/>
              <w:jc w:val="left"/>
              <w:rPr/>
            </w:pPr>
            <w:r>
              <w:rPr/>
              <w:t> </w:t>
            </w:r>
          </w:p>
        </w:tc>
        <w:tc>
          <w:tcPr>
            <w:tcW w:w="2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Net cash provided by financing activities</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109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tcMar>
              <w:bottom w:w="28" w:type="dxa"/>
            </w:tcMar>
            <w:vAlign w:val="center"/>
          </w:tcPr>
          <w:p>
            <w:pPr>
              <w:pStyle w:val="TableContents"/>
              <w:bidi w:val="0"/>
              <w:spacing w:before="0" w:after="283"/>
              <w:jc w:val="right"/>
              <w:rPr/>
            </w:pPr>
            <w:r>
              <w:rPr/>
              <w:t>26,322</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b/>
              </w:rPr>
            </w:pPr>
            <w:r>
              <w:rPr>
                <w:b/>
              </w:rPr>
              <w:t>Net increase in cash and cash equivalents</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3,821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15,121</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261"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61,575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8" w:type="dxa"/>
            <w:tcBorders>
              <w:bottom w:val="single" w:sz="12" w:space="0" w:color="000000"/>
            </w:tcBorders>
            <w:tcMar>
              <w:bottom w:w="28" w:type="dxa"/>
            </w:tcMar>
            <w:vAlign w:val="center"/>
          </w:tcPr>
          <w:p>
            <w:pPr>
              <w:pStyle w:val="TableContents"/>
              <w:bidi w:val="0"/>
              <w:spacing w:before="0" w:after="0"/>
              <w:jc w:val="right"/>
              <w:rPr/>
            </w:pPr>
            <w:r>
              <w:rPr/>
              <w:t>—</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Cash and cash equivalents at end of period</w:t>
            </w:r>
          </w:p>
        </w:tc>
        <w:tc>
          <w:tcPr>
            <w:tcW w:w="90" w:type="dxa"/>
            <w:tcBorders/>
            <w:shd w:fill="CCEEFF" w:val="clear"/>
            <w:vAlign w:val="center"/>
          </w:tcPr>
          <w:p>
            <w:pPr>
              <w:pStyle w:val="TableContents"/>
              <w:bidi w:val="0"/>
              <w:spacing w:before="0" w:after="283"/>
              <w:jc w:val="left"/>
              <w:rPr/>
            </w:pPr>
            <w:r>
              <w:rPr/>
              <w:t> </w:t>
            </w:r>
          </w:p>
        </w:tc>
        <w:tc>
          <w:tcPr>
            <w:tcW w:w="26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65,396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10" w:space="0" w:color="000000"/>
            </w:tcBorders>
            <w:shd w:fill="CCEEFF" w:val="clear"/>
            <w:tcMar>
              <w:bottom w:w="28" w:type="dxa"/>
            </w:tcMar>
            <w:vAlign w:val="center"/>
          </w:tcPr>
          <w:p>
            <w:pPr>
              <w:pStyle w:val="TableContents"/>
              <w:bidi w:val="0"/>
              <w:spacing w:before="0" w:after="283"/>
              <w:jc w:val="right"/>
              <w:rPr/>
            </w:pPr>
            <w:r>
              <w:rPr/>
              <w:t>15,121</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b/>
              </w:rPr>
            </w:pPr>
            <w:r>
              <w:rPr>
                <w:b/>
              </w:rPr>
              <w:t>Supplemental disclosures of non-cash operating and financing activities: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01" w:type="dxa"/>
            <w:tcBorders/>
            <w:shd w:fill="CCEEFF" w:val="clear"/>
            <w:vAlign w:val="center"/>
          </w:tcPr>
          <w:p>
            <w:pPr>
              <w:pStyle w:val="TableContents"/>
              <w:bidi w:val="0"/>
              <w:spacing w:before="0" w:after="283"/>
              <w:jc w:val="left"/>
              <w:rPr/>
            </w:pPr>
            <w:r>
              <w:rPr/>
              <w:t>Operating lease liability arising from obtaining operating right-of-use asset</w:t>
            </w:r>
          </w:p>
        </w:tc>
        <w:tc>
          <w:tcPr>
            <w:tcW w:w="9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283"/>
              <w:jc w:val="right"/>
              <w:rPr/>
            </w:pPr>
            <w:r>
              <w:rPr/>
              <w:t>1,387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982</w:t>
            </w:r>
          </w:p>
        </w:tc>
        <w:tc>
          <w:tcPr>
            <w:tcW w:w="172" w:type="dxa"/>
            <w:tcBorders/>
            <w:shd w:fill="CCEEFF" w:val="clear"/>
            <w:vAlign w:val="center"/>
          </w:tcPr>
          <w:p>
            <w:pPr>
              <w:pStyle w:val="TableContents"/>
              <w:bidi w:val="0"/>
              <w:spacing w:before="0" w:after="283"/>
              <w:jc w:val="left"/>
              <w:rPr/>
            </w:pPr>
            <w:r>
              <w:rPr/>
              <w:t> </w:t>
            </w:r>
          </w:p>
        </w:tc>
      </w:tr>
      <w:tr>
        <w:trPr/>
        <w:tc>
          <w:tcPr>
            <w:tcW w:w="6701" w:type="dxa"/>
            <w:tcBorders/>
            <w:vAlign w:val="center"/>
          </w:tcPr>
          <w:p>
            <w:pPr>
              <w:pStyle w:val="TableContents"/>
              <w:bidi w:val="0"/>
              <w:spacing w:before="0" w:after="283"/>
              <w:jc w:val="left"/>
              <w:rPr/>
            </w:pPr>
            <w:r>
              <w:rPr/>
              <w:t>Deferred offering costs in accrued expenses and other current liabilities</w:t>
            </w:r>
          </w:p>
        </w:tc>
        <w:tc>
          <w:tcPr>
            <w:tcW w:w="90"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w:t>
            </w:r>
          </w:p>
        </w:tc>
        <w:tc>
          <w:tcPr>
            <w:tcW w:w="1128" w:type="dxa"/>
            <w:tcBorders/>
            <w:vAlign w:val="center"/>
          </w:tcPr>
          <w:p>
            <w:pPr>
              <w:pStyle w:val="TableContents"/>
              <w:bidi w:val="0"/>
              <w:spacing w:before="0" w:after="283"/>
              <w:jc w:val="right"/>
              <w:rPr/>
            </w:pPr>
            <w:r>
              <w:rPr/>
              <w:t>726</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ORUKA THERAPEUTICS, INC.</w:t>
        <w:br/>
        <w:t>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Background and Basis of Presentation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Oruka Therapeutics, Inc., together with its subsidiaries (collectively, the “Company”), formerly known as ARCA biopharma, Inc. (“ARCA”), is a clinical-stage biopharmaceutical company that is the result of the reverse recapitalization discussed below. Prior to the reverse recapitalization, the private company Oruka Therapeutics, Inc. (“Pre-Merger Oruka”) was established and incorporated under the laws of the state of Delaware on February 6, 2024 (referred to in the Notes as the inception of the Company). The Company is headquartered in Menlo Park, California. The Company is led by the Pre-Merger Oruka management team and is focused on developing biologics for psoriasis and other inflammatory and immunology indications.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and accompanying notes are prepared in accordance with United States (“U.S.”) generally accepted accounting principles (“GAAP”) for interim financial reporting and the rules and regulations of the U.S. Securities and Exchange Commission (the “SEC”) and therefore do not include all information and disclosures normally included in the annual consolidated financial statements. The accompanying condensed consolidated financial statements reflect the operations of the Company and its wholly-owned subsidiaries. Intercompany balances and transactions have been eliminated in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and footnote disclosures normally included in the financial statements prepared in accordance with U.S. GAAP have been condensed or omitted pursuant to such rules and regulations. Accordingly, these condensed consolidated financial statements should be read in conjunction with the audited financial statements and the related notes thereto for the period ended December 31, 2024 included in the Company’s Annual Report on Form 10-K for the year ended December 31, 2024 filed with the SEC on March 6, 2025 (the “Annual Report”). The information as of December 31, 2024, included in the condensed consolidated balance sheets was derived from the Company’s audited financial statements. These unaudited interim condensed consolidated financial statements have been prepared on the same basis as the Company’s annual consolidated financial statements, and in the opinion of the Company’s management, reflect all adjustments, which include only normal recurring adjustments necessary for a fair statement of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for the three and six months ended June 30, 2025 are not necessarily indicative of results that may be expected for the year ending December 31, 2025 or for any other interim period or for any other future year.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Reverse Recapitalization, Pre-Closing Financing, and Reverse Stock Split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the Company completed the acquisition (the “Merger”) of Pre-Merger Oruka pursuant to an Agreement and Plan of Merger and Reorganization, dated as of April 3, 2024 (the “Merger Agreement”). Following the transactions contemplated by the Merger Agreement, on August 29, 2024, the Company changed its name from “ARCA biopharma, Inc.” to “Oruka Therapeutics, Inc.” and the Company effected a 1-for-12 reverse stock split (the “Reverse Stock Split”) of the common stock, par value $0.001 per share, of the Company (“Company Common Stock”), which became effective on September 3, 2024. All references to common stock, options to purchase common stock, outstanding common stock warrants, common stock share data, per share data, and related information contained in the condensed consolidated financial statements have been retrospectively adjusted to reflect the effect of the Reverse Stock Split for all periods presented, unless otherwise specifically indicated or the context otherwise requires.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and delivery of the Merger Agreement, certain new and existing investors of Pre-Merger Oruka entered into a subscription agreement with Pre-Merger Oruka (that was subsequently amended and restated in July 2024, the “Subscription Agreement”), pursuant to which, and on the terms and subject to the conditions of which, immediately prior to the Closing, those investors purchased shares of common stock of Pre-Merger Oruka (“Pre-Merger Oruka Common Stock”) and Pre-Merger Oruka pre-funded warrants for gross proceeds of approximately $275.0 million (which includes $25.0 million of proceeds previously received from the issuance of the Convertible Note (as defined in Note 6) and accrued interest on such note which converted to shares of Pre-Merger Oruka Common Stock) (the “Pre-Closing Financing”). The Company incurred transaction costs of $20.5 million which were recorded as a reduction to additional paid-in capital in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the shares of Pre-Merger Oruka Common Stock were converted into shares of Company Common Stock and pre-funded warrants of Company Common Stock in accordance with the Exchange Ratio (as defined below and determined by the terms of the Merger Agreement). Moreover, as part of the Closing, (i) then-issued and outstanding shares of Pre-Merger Oruka Common Stock (including outstanding and unvested Pre-Merger Oruka restricted stock and shares of Pre-Merger Oruka Common Stock issued in connection with the Subscription Agreement) were converted into the right to receive a number of shares of Company Common Stock, equal to the exchange ratio of 6.8569 shares of Company Common Stock (the “Exchange Ratio”), which were subject to the same vesting provisions as those immediately prior to the Merger; (ii) each share of Pre-Merger Oruka Series A convertible preferred stock, par value $0.0001 (“Pre-Merger Oruka Series A Preferred Stock”) was converted into the right to receive a number of shares of ARCA Series B non-voting convertible preferred stock, par value $0.001 per share (“Company Series B Preferred Stock”), which are convertible into shares of Company Common Stock at a conversion ratio of approximately 83.3332:1 after the Reverse Stock Split, (iii) each outstanding option to purchase Pre-Merger Oruka Common Stock was converted into an option to purchase shares of Company Common Stock, and (iv) each outstanding warrant to purchase shares of Pre-Merger Oruka Common Stock was converted into a warrant to purchase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was accounted for as a reverse recapitalization in accordance with U.S. GAAP. Under this method of accounting, Pre-Merger Oruka was deemed to be the accounting acquirer for financial reporting purposes. This determination was primarily based on the fact that, immediately following the Merger: (i) Pre-Merger Oruka stockholders owned a substantial majority of the voting rights in the combined company; (ii) Pre-Merger Oruka’s largest stockholders retained the largest interest in the combined company; (iii) Pre-Merger Oruka designated a majority of the initial members of the board of directors of the combined company; and (iv) Pre-Merger Oruka’s executive management team became the management team of the combined company. Accordingly, for accounting purposes: (a) the Merger was treated as the equivalent of Pre-Merger Oruka issuing stock to acquire the net assets of ARCA, and (b) the reported historical operating results of the combined company prior to the Merger are those of Pre-Merger Oruka. As part of the reverse recapitalization, the Company acquired a cash balance of $4.94 million from ARCA.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the Company’s Series A non-voting convertible preferred stock, par value $0.001 per share (“Company Series A Preferred Stock”), at a purchase price of $23,000.00 per share (each share of Company Series A Preferred Stock was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 In November 2024, the 2,439 shares of the Company Series A Preferred Stock were converted to 2,439,000 shares of Company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its inception, the Company has devoted substantially all of its resources to advancing the development of its portfolio of programs, organizing and staffing the Company, business planning, raising capital, and providing general and administrative support for these operations. Current and future programs will require significant research and development efforts, including preclinical and clinical trials, and regulatory approvals to commercialization. Until such time as the Company can generate significant revenue from product sales, if ever, the Company expects it will need additional financing to fund its operating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generated any revenue from product sales or other sources and has incurred significant operating losses and negative cash flows from operations since inception. For the three and six months ended June 30, 2025, the Company incurred net losses of $24.6 million and $45.6 million, respectively, and used net cash of $44.0 million for its operating activities during the first six months of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Company had cash, cash equivalents, and marketable securities of $351.5 million. The Company’s management expects that the existing cash, cash equivalents, and marketable securities will be sufficient to fund the Company’s operating plans for at least twelve months from the date these condensed consolidated financial statements were issued. The Company expects that its research and development and general and administrative costs will continue to increase significantly, including in connection with conducting pre-clinical activities and clinical trials and manufacturing for its existing product candidates and any future product candidates to support commercialization and providing general and administrative support for its operations, including the costs associated with operating as a public company. The Company’s ability to access capital when needed is not assured and, if capital is not available to the Company when, and in the amounts needed, the Company may be required to significantly curtail, delay, or discontinue one or more of its research or development programs or the commercialization of any product candidate, or be unable to expand its operations or otherwise capitalize on the Company’s business opportunities, as desired, which could materially harm the Company’s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the Notes titled “1. Nature of the Business and Basis of Presentation” and “2. Summary of Significant Accounting Policies” of the Company’s Annual Report. The Company uses the same accounting policies in preparing its quarterly and annual financial statements. There have been no material changes to significant accounting policies during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Use of Estimates</w:t>
      </w:r>
      <w:r>
        <w:rPr>
          <w:rFonts w:ascii="Times New Roman;Times;Serif" w:hAnsi="Times New Roman;Times;Serif"/>
          <w:b w:val="false"/>
          <w:i w:val="false"/>
          <w:caps w:val="false"/>
          <w:smallCaps w:val="false"/>
          <w:sz w:val="2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assumptions, and judgments that affect the reported amounts of assets and liabilities and the disclosure of contingent liabilities at the date of the condensed consolidated financial statements and the reported amounts of income and expenses during the reporting periods. Significant estimates and assumptions reflected within these condensed consolidated financial statements include but are not limited to research and development expenses and related prepaid or accrued costs and the valuation of stock-based compensation awards and related expenses. The Company bases its estimates on known trends and other market-specific or other relevant factors that it believes to be reasonable under the circumstances. On an ongoing basis, management evaluates its estimates, as there are changes in circumstances, facts, and experience. Actual results could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This ASU expands disclosures in an entity’s income tax rate reconciliation table and disclosures regarding taxes paid both in the U.S. and foreign jurisdictions. This update is effective beginning with the Company’s 2025 fiscal year annual reporting period. The Company is currently evaluating the impact of the adoption of this ASU on its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evaluating the impact of the adoption of this ASU on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fair value hierarchy for financial assets measured as of June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9200" w:type="dxa"/>
        <w:jc w:val="left"/>
        <w:tblInd w:w="0" w:type="dxa"/>
        <w:tblLayout w:type="fixed"/>
        <w:tblCellMar>
          <w:top w:w="0" w:type="dxa"/>
          <w:left w:w="0" w:type="dxa"/>
          <w:bottom w:w="0" w:type="dxa"/>
          <w:right w:w="0" w:type="dxa"/>
        </w:tblCellMar>
      </w:tblPr>
      <w:tblGrid>
        <w:gridCol w:w="4595"/>
        <w:gridCol w:w="90"/>
        <w:gridCol w:w="170"/>
        <w:gridCol w:w="710"/>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20,931</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6,952</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35,405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35,405</w:t>
            </w:r>
          </w:p>
        </w:tc>
        <w:tc>
          <w:tcPr>
            <w:tcW w:w="311" w:type="dxa"/>
            <w:tcBorders/>
            <w:shd w:fill="CCEEFF" w:val="clear"/>
            <w:vAlign w:val="center"/>
          </w:tcPr>
          <w:p>
            <w:pPr>
              <w:pStyle w:val="TableContents"/>
              <w:bidi w:val="0"/>
              <w:spacing w:before="0" w:after="283"/>
              <w:ind w:left="0" w:right="0" w:firstLine="176"/>
              <w:jc w:val="left"/>
              <w:rPr/>
            </w:pPr>
            <w:r>
              <w:rPr/>
              <w:t> </w:t>
            </w:r>
          </w:p>
        </w:tc>
      </w:tr>
      <w:tr>
        <w:trPr/>
        <w:tc>
          <w:tcPr>
            <w:tcW w:w="4595" w:type="dxa"/>
            <w:tcBorders/>
            <w:vAlign w:val="center"/>
          </w:tcPr>
          <w:p>
            <w:pPr>
              <w:pStyle w:val="TableContents"/>
              <w:bidi w:val="0"/>
              <w:spacing w:before="0" w:after="283"/>
              <w:jc w:val="left"/>
              <w:rPr/>
            </w:pPr>
            <w:r>
              <w:rPr/>
              <w:t>Total cash equivalents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20,931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42,357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63,288</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203,806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203,806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14,183</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5,391</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39,630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39,630</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marketable securities, current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263,010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263,010</w:t>
            </w:r>
          </w:p>
        </w:tc>
        <w:tc>
          <w:tcPr>
            <w:tcW w:w="311" w:type="dxa"/>
            <w:tcBorders/>
            <w:shd w:fill="CCEEFF" w:val="clear"/>
            <w:vAlign w:val="center"/>
          </w:tcPr>
          <w:p>
            <w:pPr>
              <w:pStyle w:val="TableContents"/>
              <w:bidi w:val="0"/>
              <w:spacing w:before="0" w:after="283"/>
              <w:ind w:left="0" w:right="0" w:firstLine="164"/>
              <w:jc w:val="left"/>
              <w:rPr/>
            </w:pPr>
            <w:r>
              <w:rPr/>
              <w:t> </w:t>
            </w:r>
          </w:p>
        </w:tc>
      </w:tr>
      <w:tr>
        <w:trPr/>
        <w:tc>
          <w:tcPr>
            <w:tcW w:w="4595" w:type="dxa"/>
            <w:tcBorders/>
            <w:vAlign w:val="center"/>
          </w:tcPr>
          <w:p>
            <w:pPr>
              <w:pStyle w:val="TableContents"/>
              <w:bidi w:val="0"/>
              <w:spacing w:before="0" w:after="283"/>
              <w:jc w:val="left"/>
              <w:rPr/>
            </w:pPr>
            <w:r>
              <w:rPr/>
              <w:t>Marketable securities, long-term</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18,608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4,445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4,445</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23,053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23,053</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20,931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328,420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double" w:sz="10" w:space="0" w:color="000000"/>
            </w:tcBorders>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349,351</w:t>
            </w:r>
          </w:p>
        </w:tc>
        <w:tc>
          <w:tcPr>
            <w:tcW w:w="31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transfers in or out of Level 3 during the three and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9104" w:type="dxa"/>
        <w:jc w:val="left"/>
        <w:tblInd w:w="0" w:type="dxa"/>
        <w:tblLayout w:type="fixed"/>
        <w:tblCellMar>
          <w:top w:w="0" w:type="dxa"/>
          <w:left w:w="0" w:type="dxa"/>
          <w:bottom w:w="0" w:type="dxa"/>
          <w:right w:w="0" w:type="dxa"/>
        </w:tblCellMar>
      </w:tblPr>
      <w:tblGrid>
        <w:gridCol w:w="4595"/>
        <w:gridCol w:w="90"/>
        <w:gridCol w:w="175"/>
        <w:gridCol w:w="609"/>
        <w:gridCol w:w="90"/>
        <w:gridCol w:w="90"/>
        <w:gridCol w:w="170"/>
        <w:gridCol w:w="830"/>
        <w:gridCol w:w="90"/>
        <w:gridCol w:w="90"/>
        <w:gridCol w:w="289"/>
        <w:gridCol w:w="495"/>
        <w:gridCol w:w="90"/>
        <w:gridCol w:w="90"/>
        <w:gridCol w:w="170"/>
        <w:gridCol w:w="830"/>
        <w:gridCol w:w="311"/>
      </w:tblGrid>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311"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609"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6,350</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19,660</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3,988</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311" w:type="dxa"/>
            <w:tcBorders/>
            <w:vAlign w:val="center"/>
          </w:tcPr>
          <w:p>
            <w:pPr>
              <w:pStyle w:val="TableContents"/>
              <w:bidi w:val="0"/>
              <w:spacing w:before="0" w:after="283"/>
              <w:ind w:left="0" w:right="0" w:firstLine="176"/>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45,825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190,792</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12,966</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34,811</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13,607</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311"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17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 w:type="dxa"/>
            <w:tcBorders>
              <w:bottom w:val="single" w:sz="12" w:space="0" w:color="000000"/>
            </w:tcBorders>
            <w:tcMar>
              <w:bottom w:w="28" w:type="dxa"/>
            </w:tcMar>
            <w:vAlign w:val="center"/>
          </w:tcPr>
          <w:p>
            <w:pPr>
              <w:pStyle w:val="TableContents"/>
              <w:bidi w:val="0"/>
              <w:spacing w:before="0" w:after="283"/>
              <w:jc w:val="left"/>
              <w:rPr/>
            </w:pPr>
            <w:r>
              <w:rPr/>
              <w:t> </w:t>
            </w:r>
          </w:p>
        </w:tc>
        <w:tc>
          <w:tcPr>
            <w:tcW w:w="49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311"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09" w:type="dxa"/>
            <w:tcBorders>
              <w:bottom w:val="double" w:sz="10" w:space="0" w:color="000000"/>
            </w:tcBorders>
            <w:shd w:fill="CCEEFF" w:val="clear"/>
            <w:tcMar>
              <w:bottom w:w="28" w:type="dxa"/>
            </w:tcM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377,967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49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3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Cash Equivalents and Marketable Securities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cash equivalents and marketable securities, which are classified as available-for-sale as of June 30, 2025 and December 31, 2024 (in thousands):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3"/>
        <w:gridCol w:w="90"/>
        <w:gridCol w:w="239"/>
        <w:gridCol w:w="1169"/>
        <w:gridCol w:w="90"/>
        <w:gridCol w:w="90"/>
        <w:gridCol w:w="680"/>
        <w:gridCol w:w="1164"/>
        <w:gridCol w:w="90"/>
        <w:gridCol w:w="90"/>
        <w:gridCol w:w="598"/>
        <w:gridCol w:w="1286"/>
        <w:gridCol w:w="125"/>
        <w:gridCol w:w="90"/>
        <w:gridCol w:w="182"/>
        <w:gridCol w:w="893"/>
        <w:gridCol w:w="316"/>
      </w:tblGrid>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8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0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20,931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20,931</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6,951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6,952</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35,412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35,405</w:t>
            </w:r>
          </w:p>
        </w:tc>
        <w:tc>
          <w:tcPr>
            <w:tcW w:w="316" w:type="dxa"/>
            <w:tcBorders/>
            <w:shd w:fill="CCEEFF" w:val="clear"/>
            <w:vAlign w:val="center"/>
          </w:tcPr>
          <w:p>
            <w:pPr>
              <w:pStyle w:val="TableContents"/>
              <w:bidi w:val="0"/>
              <w:spacing w:before="0" w:after="283"/>
              <w:ind w:left="0" w:right="0" w:firstLine="176"/>
              <w:jc w:val="left"/>
              <w:rPr/>
            </w:pPr>
            <w:r>
              <w:rPr/>
              <w:t> </w:t>
            </w:r>
          </w:p>
        </w:tc>
      </w:tr>
      <w:tr>
        <w:trPr/>
        <w:tc>
          <w:tcPr>
            <w:tcW w:w="3013" w:type="dxa"/>
            <w:tcBorders/>
            <w:vAlign w:val="center"/>
          </w:tcPr>
          <w:p>
            <w:pPr>
              <w:pStyle w:val="TableContents"/>
              <w:bidi w:val="0"/>
              <w:spacing w:before="0" w:after="283"/>
              <w:jc w:val="left"/>
              <w:rPr/>
            </w:pPr>
            <w:r>
              <w:rPr/>
              <w:t>Total cash equivalents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63,294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63,288</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Marketable securities, current</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203,839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(47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203,806</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14,188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14,183</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5,394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5,391</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39,630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39,630</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Total marketable securities, current</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263,051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263,010</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Marketable securities, long-term</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18,589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18,608</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government agency securities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4,444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4,445</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Total marketable securities, long-term</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23,033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23,053</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cash equivalents and marketable securities</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tcMar>
              <w:bottom w:w="28" w:type="dxa"/>
            </w:tcMar>
            <w:vAlign w:val="center"/>
          </w:tcPr>
          <w:p>
            <w:pPr>
              <w:pStyle w:val="TableContents"/>
              <w:bidi w:val="0"/>
              <w:spacing w:before="0" w:after="283"/>
              <w:jc w:val="right"/>
              <w:rPr/>
            </w:pPr>
            <w:r>
              <w:rPr/>
              <w:t>349,378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double" w:sz="10" w:space="0" w:color="000000"/>
            </w:tcBorders>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tcMar>
              <w:bottom w:w="28" w:type="dxa"/>
            </w:tcMar>
            <w:vAlign w:val="center"/>
          </w:tcPr>
          <w:p>
            <w:pPr>
              <w:pStyle w:val="TableContents"/>
              <w:bidi w:val="0"/>
              <w:spacing w:before="0" w:after="283"/>
              <w:jc w:val="right"/>
              <w:rPr/>
            </w:pPr>
            <w:r>
              <w:rPr/>
              <w:t>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tcMar>
              <w:bottom w:w="28" w:type="dxa"/>
            </w:tcMar>
            <w:vAlign w:val="center"/>
          </w:tcPr>
          <w:p>
            <w:pPr>
              <w:pStyle w:val="TableContents"/>
              <w:bidi w:val="0"/>
              <w:spacing w:before="0" w:after="283"/>
              <w:jc w:val="right"/>
              <w:rPr/>
            </w:pPr>
            <w:r>
              <w:rPr/>
              <w:t>349,351</w:t>
            </w:r>
          </w:p>
        </w:tc>
        <w:tc>
          <w:tcPr>
            <w:tcW w:w="316"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13"/>
        <w:gridCol w:w="90"/>
        <w:gridCol w:w="239"/>
        <w:gridCol w:w="1169"/>
        <w:gridCol w:w="90"/>
        <w:gridCol w:w="90"/>
        <w:gridCol w:w="680"/>
        <w:gridCol w:w="1164"/>
        <w:gridCol w:w="90"/>
        <w:gridCol w:w="90"/>
        <w:gridCol w:w="489"/>
        <w:gridCol w:w="1395"/>
        <w:gridCol w:w="125"/>
        <w:gridCol w:w="90"/>
        <w:gridCol w:w="182"/>
        <w:gridCol w:w="893"/>
        <w:gridCol w:w="316"/>
      </w:tblGrid>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86"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Gains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Gross 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316" w:type="dxa"/>
            <w:tcBorders/>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408"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4"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4"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6,350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6,350</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19,656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19,660</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3,988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3,988</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22,180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22,177</w:t>
            </w:r>
          </w:p>
        </w:tc>
        <w:tc>
          <w:tcPr>
            <w:tcW w:w="316" w:type="dxa"/>
            <w:tcBorders/>
            <w:vAlign w:val="center"/>
          </w:tcPr>
          <w:p>
            <w:pPr>
              <w:pStyle w:val="TableContents"/>
              <w:bidi w:val="0"/>
              <w:spacing w:before="0" w:after="283"/>
              <w:ind w:left="0" w:right="0" w:firstLine="176"/>
              <w:jc w:val="left"/>
              <w:rPr/>
            </w:pPr>
            <w:r>
              <w:rPr/>
              <w:t> </w:t>
            </w:r>
          </w:p>
        </w:tc>
      </w:tr>
      <w:tr>
        <w:trPr/>
        <w:tc>
          <w:tcPr>
            <w:tcW w:w="3013" w:type="dxa"/>
            <w:tcBorders/>
            <w:shd w:fill="CCEEFF" w:val="clear"/>
            <w:vAlign w:val="center"/>
          </w:tcPr>
          <w:p>
            <w:pPr>
              <w:pStyle w:val="TableContents"/>
              <w:bidi w:val="0"/>
              <w:spacing w:before="0" w:after="283"/>
              <w:jc w:val="left"/>
              <w:rPr/>
            </w:pPr>
            <w:r>
              <w:rPr/>
              <w:t>Total cash equivalents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52,174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52,175</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 </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190,748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190,792</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12,967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12,966</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34,808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34,811</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75,537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75,504</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marketable securities, current</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314,060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283"/>
              <w:jc w:val="right"/>
              <w:rPr/>
            </w:pPr>
            <w:r>
              <w:rPr/>
              <w:t>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314,073</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13,639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1395"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right"/>
              <w:rPr/>
            </w:pPr>
            <w:r>
              <w:rPr/>
              <w:t>13,607</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4,485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316" w:type="dxa"/>
            <w:tcBorders/>
            <w:shd w:fill="CCEEFF" w:val="clear"/>
            <w:vAlign w:val="center"/>
          </w:tcPr>
          <w:p>
            <w:pPr>
              <w:pStyle w:val="TableContents"/>
              <w:bidi w:val="0"/>
              <w:spacing w:before="0" w:after="283"/>
              <w:jc w:val="left"/>
              <w:rPr/>
            </w:pPr>
            <w:r>
              <w:rPr/>
              <w:t> </w:t>
            </w:r>
          </w:p>
        </w:tc>
      </w:tr>
      <w:tr>
        <w:trPr/>
        <w:tc>
          <w:tcPr>
            <w:tcW w:w="3013" w:type="dxa"/>
            <w:tcBorders/>
            <w:vAlign w:val="center"/>
          </w:tcPr>
          <w:p>
            <w:pPr>
              <w:pStyle w:val="TableContents"/>
              <w:bidi w:val="0"/>
              <w:spacing w:before="0" w:after="283"/>
              <w:jc w:val="left"/>
              <w:rPr/>
            </w:pPr>
            <w:r>
              <w:rPr/>
              <w:t>Total marketable securities, long-term</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tcMar>
              <w:bottom w:w="28" w:type="dxa"/>
            </w:tcMar>
            <w:vAlign w:val="center"/>
          </w:tcPr>
          <w:p>
            <w:pPr>
              <w:pStyle w:val="TableContents"/>
              <w:bidi w:val="0"/>
              <w:spacing w:before="0" w:after="283"/>
              <w:jc w:val="right"/>
              <w:rPr/>
            </w:pPr>
            <w:r>
              <w:rPr/>
              <w:t>18,124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tcMar>
              <w:bottom w:w="28" w:type="dxa"/>
            </w:tcMar>
            <w:vAlign w:val="center"/>
          </w:tcPr>
          <w:p>
            <w:pPr>
              <w:pStyle w:val="TableContents"/>
              <w:bidi w:val="0"/>
              <w:spacing w:before="0" w:after="283"/>
              <w:jc w:val="right"/>
              <w:rPr/>
            </w:pPr>
            <w:r>
              <w:rPr/>
              <w:t>(55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2" w:type="dxa"/>
            <w:tcBorders>
              <w:bottom w:val="single" w:sz="12" w:space="0" w:color="000000"/>
            </w:tcBorders>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316" w:type="dxa"/>
            <w:tcBorders/>
            <w:vAlign w:val="center"/>
          </w:tcPr>
          <w:p>
            <w:pPr>
              <w:pStyle w:val="TableContents"/>
              <w:bidi w:val="0"/>
              <w:spacing w:before="0" w:after="283"/>
              <w:jc w:val="left"/>
              <w:rPr/>
            </w:pPr>
            <w:r>
              <w:rPr/>
              <w:t> </w:t>
            </w:r>
          </w:p>
        </w:tc>
      </w:tr>
      <w:tr>
        <w:trPr/>
        <w:tc>
          <w:tcPr>
            <w:tcW w:w="3013" w:type="dxa"/>
            <w:tcBorders/>
            <w:shd w:fill="CCEEFF" w:val="clear"/>
            <w:vAlign w:val="center"/>
          </w:tcPr>
          <w:p>
            <w:pPr>
              <w:pStyle w:val="TableContents"/>
              <w:bidi w:val="0"/>
              <w:spacing w:before="0" w:after="283"/>
              <w:jc w:val="left"/>
              <w:rPr/>
            </w:pPr>
            <w:r>
              <w:rPr/>
              <w:t>Total cash equivalents and marketable securities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384,358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4" w:type="dxa"/>
            <w:tcBorders>
              <w:bottom w:val="double" w:sz="10" w:space="0" w:color="000000"/>
            </w:tcBorders>
            <w:shd w:fill="CCEEFF" w:val="clear"/>
            <w:tcMar>
              <w:bottom w:w="28" w:type="dxa"/>
            </w:tcMar>
            <w:vAlign w:val="center"/>
          </w:tcPr>
          <w:p>
            <w:pPr>
              <w:pStyle w:val="TableContents"/>
              <w:bidi w:val="0"/>
              <w:spacing w:before="0" w:after="283"/>
              <w:jc w:val="right"/>
              <w:rPr/>
            </w:pPr>
            <w:r>
              <w:rPr/>
              <w:t>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(111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384,317</w:t>
            </w:r>
          </w:p>
        </w:tc>
        <w:tc>
          <w:tcPr>
            <w:tcW w:w="31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available-for-sale securities in an unrealized loss position, aggregated by major security type and length of time in a continuous unrealized loss position, for which an allowance for credit losses was not recorded as of June 30, 2025 and December 31, 2024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7"/>
        <w:gridCol w:w="90"/>
        <w:gridCol w:w="182"/>
        <w:gridCol w:w="892"/>
        <w:gridCol w:w="96"/>
        <w:gridCol w:w="96"/>
        <w:gridCol w:w="438"/>
        <w:gridCol w:w="943"/>
        <w:gridCol w:w="125"/>
        <w:gridCol w:w="90"/>
        <w:gridCol w:w="353"/>
        <w:gridCol w:w="448"/>
        <w:gridCol w:w="115"/>
        <w:gridCol w:w="115"/>
        <w:gridCol w:w="509"/>
        <w:gridCol w:w="872"/>
        <w:gridCol w:w="90"/>
        <w:gridCol w:w="90"/>
        <w:gridCol w:w="177"/>
        <w:gridCol w:w="867"/>
        <w:gridCol w:w="90"/>
        <w:gridCol w:w="90"/>
        <w:gridCol w:w="438"/>
        <w:gridCol w:w="943"/>
        <w:gridCol w:w="179"/>
      </w:tblGrid>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59"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4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79"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74" w:type="dxa"/>
            <w:gridSpan w:val="2"/>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1"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1"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35,405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35,405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(7</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148,432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148,432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(47</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14,183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14,183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Commercial papers</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5,391</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5,391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(3</w:t>
            </w:r>
          </w:p>
        </w:tc>
        <w:tc>
          <w:tcPr>
            <w:tcW w:w="179" w:type="dxa"/>
            <w:tcBorders/>
            <w:vAlign w:val="center"/>
          </w:tcPr>
          <w:p>
            <w:pPr>
              <w:pStyle w:val="TableContents"/>
              <w:bidi w:val="0"/>
              <w:spacing w:before="0" w:after="283"/>
              <w:jc w:val="left"/>
              <w:rPr/>
            </w:pPr>
            <w:r>
              <w:rPr/>
              <w:t>)</w:t>
            </w:r>
          </w:p>
        </w:tc>
      </w:tr>
      <w:tr>
        <w:trPr/>
        <w:tc>
          <w:tcPr>
            <w:tcW w:w="1877" w:type="dxa"/>
            <w:tcBorders/>
            <w:shd w:fill="CCEEFF" w:val="clear"/>
            <w:vAlign w:val="center"/>
          </w:tcPr>
          <w:p>
            <w:pPr>
              <w:pStyle w:val="TableContents"/>
              <w:bidi w:val="0"/>
              <w:spacing w:before="0" w:after="283"/>
              <w:jc w:val="left"/>
              <w:rPr/>
            </w:pPr>
            <w:r>
              <w:rPr/>
              <w:t>Corporate debt securities</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pPr>
            <w:r>
              <w:rPr/>
              <w:t>26,193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26,193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(9</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Marketable securities, long-term</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448"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pPr>
            <w:r>
              <w:rPr/>
              <w:t>U.S. treasury securities</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center"/>
          </w:tcPr>
          <w:p>
            <w:pPr>
              <w:pStyle w:val="TableContents"/>
              <w:bidi w:val="0"/>
              <w:spacing w:before="0" w:after="283"/>
              <w:jc w:val="right"/>
              <w:rPr/>
            </w:pPr>
            <w:r>
              <w:rPr/>
              <w:t>1,038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1,038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79" w:type="dxa"/>
            <w:tcBorders/>
            <w:shd w:fill="CCEEFF" w:val="clear"/>
            <w:vAlign w:val="center"/>
          </w:tcPr>
          <w:p>
            <w:pPr>
              <w:pStyle w:val="TableContents"/>
              <w:bidi w:val="0"/>
              <w:spacing w:before="0" w:after="283"/>
              <w:jc w:val="left"/>
              <w:rPr/>
            </w:pPr>
            <w:r>
              <w:rPr/>
              <w:t>)</w:t>
            </w:r>
          </w:p>
        </w:tc>
      </w:tr>
      <w:tr>
        <w:trPr/>
        <w:tc>
          <w:tcPr>
            <w:tcW w:w="1877"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tcMar>
              <w:bottom w:w="28" w:type="dxa"/>
            </w:tcMar>
            <w:vAlign w:val="center"/>
          </w:tcPr>
          <w:p>
            <w:pPr>
              <w:pStyle w:val="TableContents"/>
              <w:bidi w:val="0"/>
              <w:spacing w:before="0" w:after="283"/>
              <w:jc w:val="right"/>
              <w:rPr/>
            </w:pPr>
            <w:r>
              <w:rPr/>
              <w:t>230,642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438" w:type="dxa"/>
            <w:tcBorders>
              <w:bottom w:val="double" w:sz="10" w:space="0" w:color="000000"/>
            </w:tcBorders>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tcMar>
              <w:bottom w:w="28" w:type="dxa"/>
            </w:tcMar>
            <w:vAlign w:val="center"/>
          </w:tcPr>
          <w:p>
            <w:pPr>
              <w:pStyle w:val="TableContents"/>
              <w:bidi w:val="0"/>
              <w:spacing w:before="0" w:after="283"/>
              <w:jc w:val="right"/>
              <w:rPr/>
            </w:pPr>
            <w:r>
              <w:rPr/>
              <w:t>(72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3" w:type="dxa"/>
            <w:tcBorders>
              <w:bottom w:val="double" w:sz="10" w:space="0" w:color="000000"/>
            </w:tcBorders>
            <w:tcMar>
              <w:bottom w:w="28" w:type="dxa"/>
            </w:tcMar>
            <w:vAlign w:val="center"/>
          </w:tcPr>
          <w:p>
            <w:pPr>
              <w:pStyle w:val="TableContents"/>
              <w:bidi w:val="0"/>
              <w:spacing w:before="0" w:after="283"/>
              <w:jc w:val="left"/>
              <w:rPr/>
            </w:pPr>
            <w:r>
              <w:rPr/>
              <w:t>$</w:t>
            </w:r>
          </w:p>
        </w:tc>
        <w:tc>
          <w:tcPr>
            <w:tcW w:w="448" w:type="dxa"/>
            <w:tcBorders>
              <w:bottom w:val="double" w:sz="10" w:space="0" w:color="000000"/>
            </w:tcBorders>
            <w:tcMar>
              <w:bottom w:w="28" w:type="dxa"/>
            </w:tcMar>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09" w:type="dxa"/>
            <w:tcBorders>
              <w:bottom w:val="double" w:sz="10" w:space="0" w:color="000000"/>
            </w:tcBorders>
            <w:tcMar>
              <w:bottom w:w="28" w:type="dxa"/>
            </w:tcMar>
            <w:vAlign w:val="center"/>
          </w:tcPr>
          <w:p>
            <w:pPr>
              <w:pStyle w:val="TableContents"/>
              <w:bidi w:val="0"/>
              <w:spacing w:before="0" w:after="283"/>
              <w:jc w:val="left"/>
              <w:rPr/>
            </w:pPr>
            <w:r>
              <w:rPr/>
              <w:t>$</w:t>
            </w:r>
          </w:p>
        </w:tc>
        <w:tc>
          <w:tcPr>
            <w:tcW w:w="872"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867" w:type="dxa"/>
            <w:tcBorders>
              <w:bottom w:val="double" w:sz="10" w:space="0" w:color="000000"/>
            </w:tcBorders>
            <w:tcMar>
              <w:bottom w:w="28" w:type="dxa"/>
            </w:tcMar>
            <w:vAlign w:val="center"/>
          </w:tcPr>
          <w:p>
            <w:pPr>
              <w:pStyle w:val="TableContents"/>
              <w:bidi w:val="0"/>
              <w:spacing w:before="0" w:after="283"/>
              <w:jc w:val="right"/>
              <w:rPr/>
            </w:pPr>
            <w:r>
              <w:rPr/>
              <w:t>230,642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8" w:type="dxa"/>
            <w:tcBorders>
              <w:bottom w:val="double" w:sz="10" w:space="0" w:color="000000"/>
            </w:tcBorders>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tcMar>
              <w:bottom w:w="28" w:type="dxa"/>
            </w:tcMar>
            <w:vAlign w:val="center"/>
          </w:tcPr>
          <w:p>
            <w:pPr>
              <w:pStyle w:val="TableContents"/>
              <w:bidi w:val="0"/>
              <w:spacing w:before="0" w:after="283"/>
              <w:jc w:val="right"/>
              <w:rPr/>
            </w:pPr>
            <w:r>
              <w:rPr/>
              <w:t>(72</w:t>
            </w:r>
          </w:p>
        </w:tc>
        <w:tc>
          <w:tcPr>
            <w:tcW w:w="17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0"/>
        <w:gridCol w:w="90"/>
        <w:gridCol w:w="178"/>
        <w:gridCol w:w="872"/>
        <w:gridCol w:w="94"/>
        <w:gridCol w:w="94"/>
        <w:gridCol w:w="359"/>
        <w:gridCol w:w="1026"/>
        <w:gridCol w:w="125"/>
        <w:gridCol w:w="90"/>
        <w:gridCol w:w="354"/>
        <w:gridCol w:w="450"/>
        <w:gridCol w:w="115"/>
        <w:gridCol w:w="115"/>
        <w:gridCol w:w="511"/>
        <w:gridCol w:w="874"/>
        <w:gridCol w:w="90"/>
        <w:gridCol w:w="90"/>
        <w:gridCol w:w="177"/>
        <w:gridCol w:w="867"/>
        <w:gridCol w:w="90"/>
        <w:gridCol w:w="90"/>
        <w:gridCol w:w="359"/>
        <w:gridCol w:w="1026"/>
        <w:gridCol w:w="179"/>
      </w:tblGrid>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6"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December 31, 2024</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Less than 12 months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12 months or longer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0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Unrealized Losses</w:t>
            </w:r>
          </w:p>
        </w:tc>
        <w:tc>
          <w:tcPr>
            <w:tcW w:w="179"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Cash equivalents</w:t>
            </w:r>
          </w:p>
        </w:tc>
        <w:tc>
          <w:tcPr>
            <w:tcW w:w="90" w:type="dxa"/>
            <w:tcBorders/>
            <w:vAlign w:val="center"/>
          </w:tcPr>
          <w:p>
            <w:pPr>
              <w:pStyle w:val="TableContents"/>
              <w:bidi w:val="0"/>
              <w:spacing w:before="0" w:after="283"/>
              <w:jc w:val="left"/>
              <w:rPr/>
            </w:pPr>
            <w:r>
              <w:rPr/>
              <w:t> </w:t>
            </w:r>
          </w:p>
        </w:tc>
        <w:tc>
          <w:tcPr>
            <w:tcW w:w="1050"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r>
      <w:tr>
        <w:trPr/>
        <w:tc>
          <w:tcPr>
            <w:tcW w:w="1890" w:type="dxa"/>
            <w:tcBorders/>
            <w:shd w:fill="CCEEFF" w:val="clear"/>
            <w:vAlign w:val="center"/>
          </w:tcPr>
          <w:p>
            <w:pPr>
              <w:pStyle w:val="TableContents"/>
              <w:bidi w:val="0"/>
              <w:spacing w:before="0" w:after="283"/>
              <w:jc w:val="left"/>
              <w:rPr/>
            </w:pPr>
            <w:r>
              <w:rPr/>
              <w:t>Commercial papers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72" w:type="dxa"/>
            <w:tcBorders/>
            <w:shd w:fill="CCEEFF" w:val="clear"/>
            <w:vAlign w:val="center"/>
          </w:tcPr>
          <w:p>
            <w:pPr>
              <w:pStyle w:val="TableContents"/>
              <w:bidi w:val="0"/>
              <w:spacing w:before="0" w:after="283"/>
              <w:jc w:val="right"/>
              <w:rPr/>
            </w:pPr>
            <w:r>
              <w:rPr/>
              <w:t>18,199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w:t>
            </w:r>
          </w:p>
        </w:tc>
        <w:tc>
          <w:tcPr>
            <w:tcW w:w="450"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w:t>
            </w:r>
          </w:p>
        </w:tc>
        <w:tc>
          <w:tcPr>
            <w:tcW w:w="8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867" w:type="dxa"/>
            <w:tcBorders/>
            <w:shd w:fill="CCEEFF" w:val="clear"/>
            <w:vAlign w:val="center"/>
          </w:tcPr>
          <w:p>
            <w:pPr>
              <w:pStyle w:val="TableContents"/>
              <w:bidi w:val="0"/>
              <w:spacing w:before="0" w:after="283"/>
              <w:jc w:val="right"/>
              <w:rPr/>
            </w:pPr>
            <w:r>
              <w:rPr/>
              <w:t>18,199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026" w:type="dxa"/>
            <w:tcBorders/>
            <w:shd w:fill="CCEEFF" w:val="clear"/>
            <w:vAlign w:val="center"/>
          </w:tcPr>
          <w:p>
            <w:pPr>
              <w:pStyle w:val="TableContents"/>
              <w:bidi w:val="0"/>
              <w:spacing w:before="0" w:after="283"/>
              <w:jc w:val="right"/>
              <w:rPr/>
            </w:pPr>
            <w:r>
              <w:rPr/>
              <w:t>(3</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Marketable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 </w:t>
            </w:r>
          </w:p>
        </w:tc>
        <w:tc>
          <w:tcPr>
            <w:tcW w:w="179" w:type="dxa"/>
            <w:tcBorders/>
            <w:vAlign w:val="center"/>
          </w:tcPr>
          <w:p>
            <w:pPr>
              <w:pStyle w:val="TableContents"/>
              <w:bidi w:val="0"/>
              <w:spacing w:before="0" w:after="283"/>
              <w:jc w:val="left"/>
              <w:rPr/>
            </w:pPr>
            <w:r>
              <w:rPr/>
              <w:t> </w:t>
            </w:r>
          </w:p>
        </w:tc>
      </w:tr>
      <w:tr>
        <w:trPr/>
        <w:tc>
          <w:tcPr>
            <w:tcW w:w="1890" w:type="dxa"/>
            <w:tcBorders/>
            <w:shd w:fill="CCEEFF" w:val="clear"/>
            <w:vAlign w:val="center"/>
          </w:tcPr>
          <w:p>
            <w:pPr>
              <w:pStyle w:val="TableContents"/>
              <w:bidi w:val="0"/>
              <w:spacing w:before="0" w:after="283"/>
              <w:jc w:val="left"/>
              <w:rPr/>
            </w:pPr>
            <w:r>
              <w:rPr/>
              <w:t>Marketable securities, current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49,904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49,904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(11</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4,713</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4,713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Corporate debt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39,468</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39,468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(40</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Marketable securities, long-term</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79" w:type="dxa"/>
            <w:tcBorders/>
            <w:shd w:fill="CCEEFF" w:val="clear"/>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U.S. treasury securities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right"/>
              <w:rPr/>
            </w:pPr>
            <w:r>
              <w:rPr/>
              <w:t>13,607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87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13,607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right"/>
              <w:rPr/>
            </w:pPr>
            <w:r>
              <w:rPr/>
              <w:t>(32</w:t>
            </w:r>
          </w:p>
        </w:tc>
        <w:tc>
          <w:tcPr>
            <w:tcW w:w="179" w:type="dxa"/>
            <w:tcBorders/>
            <w:vAlign w:val="center"/>
          </w:tcPr>
          <w:p>
            <w:pPr>
              <w:pStyle w:val="TableContents"/>
              <w:bidi w:val="0"/>
              <w:spacing w:before="0" w:after="283"/>
              <w:jc w:val="left"/>
              <w:rPr/>
            </w:pPr>
            <w:r>
              <w:rPr/>
              <w:t>)</w:t>
            </w:r>
          </w:p>
        </w:tc>
      </w:tr>
      <w:tr>
        <w:trPr/>
        <w:tc>
          <w:tcPr>
            <w:tcW w:w="1890" w:type="dxa"/>
            <w:tcBorders/>
            <w:shd w:fill="CCEEFF" w:val="clear"/>
            <w:vAlign w:val="center"/>
          </w:tcPr>
          <w:p>
            <w:pPr>
              <w:pStyle w:val="TableContents"/>
              <w:bidi w:val="0"/>
              <w:spacing w:before="0" w:after="283"/>
              <w:jc w:val="left"/>
              <w:rPr/>
            </w:pPr>
            <w:r>
              <w:rPr/>
              <w:t>U.S. government agency securities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5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pPr>
            <w:r>
              <w:rPr/>
              <w:t>4,462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79" w:type="dxa"/>
            <w:tcBorders/>
            <w:shd w:fill="CCEEFF" w:val="clear"/>
            <w:vAlign w:val="center"/>
          </w:tcPr>
          <w:p>
            <w:pPr>
              <w:pStyle w:val="TableContents"/>
              <w:bidi w:val="0"/>
              <w:spacing w:before="0" w:after="283"/>
              <w:jc w:val="left"/>
              <w:rPr/>
            </w:pPr>
            <w:r>
              <w:rPr/>
              <w:t>)</w:t>
            </w:r>
          </w:p>
        </w:tc>
      </w:tr>
      <w:tr>
        <w:trPr/>
        <w:tc>
          <w:tcPr>
            <w:tcW w:w="189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w:t>
            </w:r>
          </w:p>
        </w:tc>
        <w:tc>
          <w:tcPr>
            <w:tcW w:w="872"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359" w:type="dxa"/>
            <w:tcBorders>
              <w:bottom w:val="double" w:sz="10" w:space="0" w:color="000000"/>
            </w:tcBorders>
            <w:tcMar>
              <w:bottom w:w="28" w:type="dxa"/>
            </w:tcMar>
            <w:vAlign w:val="center"/>
          </w:tcPr>
          <w:p>
            <w:pPr>
              <w:pStyle w:val="TableContents"/>
              <w:bidi w:val="0"/>
              <w:spacing w:before="0" w:after="283"/>
              <w:jc w:val="left"/>
              <w:rPr/>
            </w:pPr>
            <w:r>
              <w:rPr/>
              <w:t>$</w:t>
            </w:r>
          </w:p>
        </w:tc>
        <w:tc>
          <w:tcPr>
            <w:tcW w:w="1026"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4" w:type="dxa"/>
            <w:tcBorders>
              <w:bottom w:val="double" w:sz="10" w:space="0" w:color="000000"/>
            </w:tcBorders>
            <w:tcMar>
              <w:bottom w:w="28" w:type="dxa"/>
            </w:tcMar>
            <w:vAlign w:val="center"/>
          </w:tcPr>
          <w:p>
            <w:pPr>
              <w:pStyle w:val="TableContents"/>
              <w:bidi w:val="0"/>
              <w:spacing w:before="0" w:after="283"/>
              <w:jc w:val="left"/>
              <w:rPr/>
            </w:pPr>
            <w:r>
              <w:rPr/>
              <w:t>$</w:t>
            </w:r>
          </w:p>
        </w:tc>
        <w:tc>
          <w:tcPr>
            <w:tcW w:w="450" w:type="dxa"/>
            <w:tcBorders>
              <w:bottom w:val="double" w:sz="10" w:space="0" w:color="000000"/>
            </w:tcBorders>
            <w:tcMar>
              <w:bottom w:w="28" w:type="dxa"/>
            </w:tcMar>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511" w:type="dxa"/>
            <w:tcBorders>
              <w:bottom w:val="double" w:sz="10" w:space="0" w:color="000000"/>
            </w:tcBorders>
            <w:tcMar>
              <w:bottom w:w="28" w:type="dxa"/>
            </w:tcMar>
            <w:vAlign w:val="center"/>
          </w:tcPr>
          <w:p>
            <w:pPr>
              <w:pStyle w:val="TableContents"/>
              <w:bidi w:val="0"/>
              <w:spacing w:before="0" w:after="283"/>
              <w:jc w:val="left"/>
              <w:rPr/>
            </w:pPr>
            <w:r>
              <w:rPr/>
              <w:t>$</w:t>
            </w:r>
          </w:p>
        </w:tc>
        <w:tc>
          <w:tcPr>
            <w:tcW w:w="874"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w:t>
            </w:r>
          </w:p>
        </w:tc>
        <w:tc>
          <w:tcPr>
            <w:tcW w:w="867" w:type="dxa"/>
            <w:tcBorders>
              <w:bottom w:val="double" w:sz="10" w:space="0" w:color="000000"/>
            </w:tcBorders>
            <w:tcMar>
              <w:bottom w:w="28" w:type="dxa"/>
            </w:tcMar>
            <w:vAlign w:val="center"/>
          </w:tcPr>
          <w:p>
            <w:pPr>
              <w:pStyle w:val="TableContents"/>
              <w:bidi w:val="0"/>
              <w:spacing w:before="0" w:after="283"/>
              <w:jc w:val="right"/>
              <w:rPr/>
            </w:pPr>
            <w:r>
              <w:rPr/>
              <w:t>130,353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9" w:type="dxa"/>
            <w:tcBorders>
              <w:bottom w:val="double" w:sz="10" w:space="0" w:color="000000"/>
            </w:tcBorders>
            <w:tcMar>
              <w:bottom w:w="28" w:type="dxa"/>
            </w:tcMar>
            <w:vAlign w:val="center"/>
          </w:tcPr>
          <w:p>
            <w:pPr>
              <w:pStyle w:val="TableContents"/>
              <w:bidi w:val="0"/>
              <w:spacing w:before="0" w:after="283"/>
              <w:jc w:val="left"/>
              <w:rPr/>
            </w:pPr>
            <w:r>
              <w:rPr/>
              <w:t>$</w:t>
            </w:r>
          </w:p>
        </w:tc>
        <w:tc>
          <w:tcPr>
            <w:tcW w:w="1026"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79"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it is not more likely than not that the Company will be required to sell the securities before recovery of the unamortized cost basis, which may be at maturity. There were no material realized gains or realized losses on marketable securities for the periods presented. Given the Company’s intent and ability to hold such securities until recovery, and the lack of significant change in credit risk of these investments, the Company does not consider these marketable securities to be impaired as of June 30, 2025 and December 31, 2024. As of June 30, 2025 and December 31, 2024, the Company did not record an allowance for credit losses.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contractual maturities of the Company’s marketable securities at estimated fair value (in thousands):</w:t>
      </w:r>
    </w:p>
    <w:p>
      <w:pPr>
        <w:pStyle w:val="TextBody"/>
        <w:bidi w:val="0"/>
        <w:spacing w:before="0" w:after="0"/>
        <w:ind w:left="0" w:right="0" w:hanging="0"/>
        <w:jc w:val="both"/>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2240"/>
        <w:gridCol w:w="90"/>
        <w:gridCol w:w="170"/>
        <w:gridCol w:w="830"/>
        <w:gridCol w:w="90"/>
        <w:gridCol w:w="90"/>
        <w:gridCol w:w="255"/>
        <w:gridCol w:w="1249"/>
        <w:gridCol w:w="135"/>
      </w:tblGrid>
      <w:tr>
        <w:trPr/>
        <w:tc>
          <w:tcPr>
            <w:tcW w:w="22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Due in one year or less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263,010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314,073</w:t>
            </w:r>
          </w:p>
        </w:tc>
        <w:tc>
          <w:tcPr>
            <w:tcW w:w="135" w:type="dxa"/>
            <w:tcBorders/>
            <w:shd w:fill="CCEEFF" w:val="clear"/>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Due in 1-2 years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23,053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18,069</w:t>
            </w:r>
          </w:p>
        </w:tc>
        <w:tc>
          <w:tcPr>
            <w:tcW w:w="135" w:type="dxa"/>
            <w:tcBorders/>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286,063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332,142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Accrued Expenses and Other Current Liabilities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accrued expenses and other current liabilities (in thousands):</w:t>
      </w:r>
    </w:p>
    <w:p>
      <w:pPr>
        <w:pStyle w:val="TextBody"/>
        <w:bidi w:val="0"/>
        <w:spacing w:before="0" w:after="0"/>
        <w:ind w:left="0" w:right="0" w:hanging="0"/>
        <w:jc w:val="left"/>
        <w:rPr>
          <w:caps w:val="false"/>
          <w:smallCaps w:val="false"/>
        </w:rPr>
      </w:pPr>
      <w:r>
        <w:rPr>
          <w:caps w:val="false"/>
          <w:smallCaps w:val="false"/>
        </w:rPr>
        <w:t> </w:t>
      </w:r>
    </w:p>
    <w:tbl>
      <w:tblPr>
        <w:tblW w:w="7288" w:type="dxa"/>
        <w:jc w:val="left"/>
        <w:tblInd w:w="0" w:type="dxa"/>
        <w:tblLayout w:type="fixed"/>
        <w:tblCellMar>
          <w:top w:w="0" w:type="dxa"/>
          <w:left w:w="0" w:type="dxa"/>
          <w:bottom w:w="0" w:type="dxa"/>
          <w:right w:w="0" w:type="dxa"/>
        </w:tblCellMar>
      </w:tblPr>
      <w:tblGrid>
        <w:gridCol w:w="4415"/>
        <w:gridCol w:w="90"/>
        <w:gridCol w:w="215"/>
        <w:gridCol w:w="749"/>
        <w:gridCol w:w="90"/>
        <w:gridCol w:w="90"/>
        <w:gridCol w:w="336"/>
        <w:gridCol w:w="1168"/>
        <w:gridCol w:w="135"/>
      </w:tblGrid>
      <w:tr>
        <w:trPr/>
        <w:tc>
          <w:tcPr>
            <w:tcW w:w="44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research and development</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749" w:type="dxa"/>
            <w:tcBorders/>
            <w:shd w:fill="CCEEFF" w:val="clear"/>
            <w:vAlign w:val="center"/>
          </w:tcPr>
          <w:p>
            <w:pPr>
              <w:pStyle w:val="TableContents"/>
              <w:bidi w:val="0"/>
              <w:spacing w:before="0" w:after="283"/>
              <w:jc w:val="right"/>
              <w:rPr/>
            </w:pPr>
            <w:r>
              <w:rPr/>
              <w:t>1,756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1,084</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Accrued employee compensation and benefits</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right"/>
              <w:rPr/>
            </w:pPr>
            <w:r>
              <w:rPr/>
              <w:t>1,684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2,041</w:t>
            </w:r>
          </w:p>
        </w:tc>
        <w:tc>
          <w:tcPr>
            <w:tcW w:w="13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Accrued professional and consulting</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9" w:type="dxa"/>
            <w:tcBorders>
              <w:bottom w:val="single" w:sz="12" w:space="0" w:color="000000"/>
            </w:tcBorders>
            <w:shd w:fill="CCEEFF" w:val="clear"/>
            <w:tcMar>
              <w:bottom w:w="28" w:type="dxa"/>
            </w:tcMar>
            <w:vAlign w:val="center"/>
          </w:tcPr>
          <w:p>
            <w:pPr>
              <w:pStyle w:val="TableContents"/>
              <w:bidi w:val="0"/>
              <w:spacing w:before="0" w:after="283"/>
              <w:jc w:val="right"/>
              <w:rPr/>
            </w:pPr>
            <w:r>
              <w:rPr/>
              <w:t>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center"/>
          </w:tcPr>
          <w:p>
            <w:pPr>
              <w:pStyle w:val="TableContents"/>
              <w:bidi w:val="0"/>
              <w:spacing w:before="0" w:after="283"/>
              <w:jc w:val="right"/>
              <w:rPr/>
            </w:pPr>
            <w:r>
              <w:rPr/>
              <w:t>221</w:t>
            </w:r>
          </w:p>
        </w:tc>
        <w:tc>
          <w:tcPr>
            <w:tcW w:w="135"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15" w:type="dxa"/>
            <w:tcBorders>
              <w:bottom w:val="double" w:sz="10" w:space="0" w:color="000000"/>
            </w:tcBorders>
            <w:tcMar>
              <w:bottom w:w="28" w:type="dxa"/>
            </w:tcMar>
            <w:vAlign w:val="center"/>
          </w:tcPr>
          <w:p>
            <w:pPr>
              <w:pStyle w:val="TableContents"/>
              <w:bidi w:val="0"/>
              <w:spacing w:before="0" w:after="283"/>
              <w:jc w:val="left"/>
              <w:rPr/>
            </w:pPr>
            <w:r>
              <w:rPr/>
              <w:t>$</w:t>
            </w:r>
          </w:p>
        </w:tc>
        <w:tc>
          <w:tcPr>
            <w:tcW w:w="749" w:type="dxa"/>
            <w:tcBorders>
              <w:bottom w:val="double" w:sz="10" w:space="0" w:color="000000"/>
            </w:tcBorders>
            <w:tcMar>
              <w:bottom w:w="28" w:type="dxa"/>
            </w:tcMar>
            <w:vAlign w:val="center"/>
          </w:tcPr>
          <w:p>
            <w:pPr>
              <w:pStyle w:val="TableContents"/>
              <w:bidi w:val="0"/>
              <w:spacing w:before="0" w:after="283"/>
              <w:jc w:val="right"/>
              <w:rPr/>
            </w:pPr>
            <w:r>
              <w:rPr/>
              <w:t>3,578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6" w:type="dxa"/>
            <w:tcBorders>
              <w:bottom w:val="double" w:sz="10" w:space="0" w:color="000000"/>
            </w:tcBorders>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tcMar>
              <w:bottom w:w="28" w:type="dxa"/>
            </w:tcMar>
            <w:vAlign w:val="center"/>
          </w:tcPr>
          <w:p>
            <w:pPr>
              <w:pStyle w:val="TableContents"/>
              <w:bidi w:val="0"/>
              <w:spacing w:before="0" w:after="283"/>
              <w:jc w:val="right"/>
              <w:rPr/>
            </w:pPr>
            <w:r>
              <w:rPr/>
              <w:t>3,346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Note Payable with Related Party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entered into a Series A Preferred Stock and Convertible Note Purchase Agreement (the “Purchase Agreement”) with Fairmount Healthcare Fund II, L.P. (“Fairmount”), whereby Pre-Merger Oruka issued a convertible note (the “Convertible Note”), with an initial principal amount of $25.0 million that, at the time of issuance, could be converted into Pre-Merger Oruka Series A Preferred Stock (or a series of preferred shares that is identical in respect to the shares of preferred shares issued in its next equity financing) or shares of Pre-Merger Oruka Common Stock in exchange for aggregate proceeds of $25.0 million. The Convertible Note accrued interest at a rate of 12.0% per annum. Immediately prior to the completion of the Merger (see Note 1), the Convertible Note was converted into shares of Pre-Merger Oruka Common Stock based on the aggregate principal amount of $25.0 million, plus unpaid accrued interest of $1.5 million divided by the conversion price which was determined based upon the Company’s fully-diluted capitalization immediately prior to the Merger. At the effective time of the Merger, the Pre-Merger Oruka Common Stock issued upon the conversion of the Convertible Note (including accrued interest) automatically converted into 2,722,207 shares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all terms and features of the Convertible Note in order to identify any potential embedded features that would require bifurcation. As part of this analysis, the Company assessed the economic characteristics and risks of the embedded features. The Company determined that the share settled redemption feature was clearly and closely related to the debt host and did not require separate accounting. The Company determined that the conversion options of the Convertible Note were not clearly and closely associated with a debt host. However, these features did not meet the definition of a derivative under ASC 815, Derivatives and Hedging, and as a result, did not require separate accounting as a derivative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debt issuance costs of less than $0.1 million in relation to the Convertible Note. The debt issuance costs were reflected as a reduction of the carrying value of Convertible Note on the consolidated balance sheet and were being amortized as interest expense over the term of the Convertible Note using the effective interest method. For the three months ended June 30, 2024 and the period from February 6, 2024 (inception) to June 30, 2024, the Company recognized interest expenses related to the Convertible Note of $0.8 million and $1.0 million, respectively, which included non-cash interest expense related to the amortization of debt issuance of less than $0.1 million, for each of the three months ended June 30, 2024 and the period from February 6, 2024 (inception) to June 30, 2024. As of December 31, 2024 and June 30, 2025, the Convertible Note was not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Convertible Preferred Stock and Stockholders’ Equity</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pursuant to the Subscription Agreement and immediately prior to the Closing, certain new and current investors purchased pre-funded warrants, which, at the effective time of the Merger, were exercisable for 5,522,207 shares of Company Common Stock at a purchase price of approximately $9.70 per warrant and after the Closing, are now exercisable for 5,522,207 shares of the Company Common Stock at an exercise price of $0.01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680,000 pre-funded warrants, at a purchase price of $22.999 per warrant, exercisable for 680,000 shares of Company Common Stock at an exercise price of $0.001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were recorded as a component of stockholders’ equity within additional paid-in-capital and have no expiration date. Collectively, 6,202,207 pre-funded warrants were outstanding as of June 30, 2025 and December 31, 2024.</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Agreement provided for, among other things, the issuance of warrants to certain of Pre-Merger Oruka’s employees and directors immediately prior to the Closing. During the period from February 6, 2024 (inception) to December 31, 2024, 3,054,358 employee warrants were issued at an exercise price of $7.80 per warrant. These warrants vest over a period of four years. The Company recognizes compensation cost related to warrants on a straight-line basis over the requisite service period, which is the period in which the related services are received. 3,054,358 warrants were outstanding as of June 30, 2025 and December 31,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Pre-Merger Oruka issued and sold an aggregate of 20,000,000 shares of Pre-Merger Oruka Series A Preferred Stock to Fairmount, at a purchase price of approximately $0.15 per share, for aggregate gross proceeds of $3.0 million. Pre-Merger Oruka incurred less than $0.1 million of issuance costs in connection with this transaction. Upon the issuance of the Pre-Merger Oruka Series A Preferred Stock, the Company assessed the embedded conversion and liquidation features of the securities as described below and determined that such features did not require the Company to separately account for these features.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2024, upon Closing, the Pre-Merger Oruka Series A Preferred Stock converted to 137,138 shares of Company Series B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in connection with the PIPE Financing, the Company issued and sold an aggregate of 2,439 shares of the Company Series A Preferred Stock at a purchase price of $23,000.00 per share. In November 2024, the 2,439 shares of the Company Series A Preferred Stock were converted to 2,439,000 shares of Company Common Stock. As of June 30, 2025 and December 31, 2024, there were no outstanding shares of Company Series A Preferred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Company Series B Preferred Stock consisted of the following (in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9233" w:type="dxa"/>
        <w:jc w:val="left"/>
        <w:tblInd w:w="0" w:type="dxa"/>
        <w:tblLayout w:type="fixed"/>
        <w:tblCellMar>
          <w:top w:w="0" w:type="dxa"/>
          <w:left w:w="0" w:type="dxa"/>
          <w:bottom w:w="0" w:type="dxa"/>
          <w:right w:w="0" w:type="dxa"/>
        </w:tblCellMar>
      </w:tblPr>
      <w:tblGrid>
        <w:gridCol w:w="3380"/>
        <w:gridCol w:w="90"/>
        <w:gridCol w:w="117"/>
        <w:gridCol w:w="1088"/>
        <w:gridCol w:w="90"/>
        <w:gridCol w:w="90"/>
        <w:gridCol w:w="135"/>
        <w:gridCol w:w="1249"/>
        <w:gridCol w:w="90"/>
        <w:gridCol w:w="90"/>
        <w:gridCol w:w="222"/>
        <w:gridCol w:w="773"/>
        <w:gridCol w:w="90"/>
        <w:gridCol w:w="90"/>
        <w:gridCol w:w="111"/>
        <w:gridCol w:w="1393"/>
        <w:gridCol w:w="135"/>
      </w:tblGrid>
      <w:tr>
        <w:trPr/>
        <w:tc>
          <w:tcPr>
            <w:tcW w:w="33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628"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2025</w:t>
            </w:r>
          </w:p>
        </w:tc>
        <w:tc>
          <w:tcPr>
            <w:tcW w:w="13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Stock</w:t>
              <w:br/>
              <w:t>Authorized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Preferred</w:t>
              <w:br/>
              <w:t xml:space="preserve">Stock Issued </w:t>
              <w:br/>
              <w:t>and</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Common</w:t>
              <w:br/>
              <w:t>Stock Issuable</w:t>
              <w:br/>
              <w:t>Upon</w:t>
              <w:br/>
              <w:t>Conversion</w:t>
            </w:r>
          </w:p>
        </w:tc>
        <w:tc>
          <w:tcPr>
            <w:tcW w:w="13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Company Series B Preferred Stock</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251,504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137,138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w:t>
            </w:r>
          </w:p>
        </w:tc>
        <w:tc>
          <w:tcPr>
            <w:tcW w:w="773" w:type="dxa"/>
            <w:tcBorders/>
            <w:shd w:fill="CCEEFF" w:val="clear"/>
            <w:vAlign w:val="center"/>
          </w:tcPr>
          <w:p>
            <w:pPr>
              <w:pStyle w:val="TableContents"/>
              <w:bidi w:val="0"/>
              <w:spacing w:before="0" w:after="283"/>
              <w:jc w:val="right"/>
              <w:rPr/>
            </w:pPr>
            <w:r>
              <w:rPr/>
              <w:t>2,931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1393" w:type="dxa"/>
            <w:tcBorders/>
            <w:shd w:fill="CCEEFF" w:val="clear"/>
            <w:vAlign w:val="center"/>
          </w:tcPr>
          <w:p>
            <w:pPr>
              <w:pStyle w:val="TableContents"/>
              <w:bidi w:val="0"/>
              <w:spacing w:before="0" w:after="283"/>
              <w:jc w:val="right"/>
              <w:rPr/>
            </w:pPr>
            <w:r>
              <w:rPr/>
              <w:t>11,428,149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Certificate of Designation of Preferences, Rights and Limitations of the Series B Non-Voting Convertible Preferred Stock (the “Series B Certificate of Designation”) filed in connection with the Merger, holders of Company Series B Preferred Stock are entitled to receive dividends on shares of Company Series B Preferred Stock equal to, on an as-if-converted-to-Company Common Stock basis, and in the same form as, dividends actually paid on shares of Company Common Stock. Except as provided in the Series B Certificate of Designation or as otherwise required by law, the Company Series B Preferred Stock does not have voting rights. The Company Series B Preferred Stock shall rank on parity with the Company Common Stock as to the distribution of assets upon any liquidation, dissolution, or winding-up of the Company. Each share of Company Series B Preferred Stock is convertible at the option of the holder, at any time, and without the payment of additional consideration by the holder. As of June 30, 2025, each outstanding share of Company Series B Preferred Stock was convertible into common stock at a ratio of approximately 83.3332:1.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Paruka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settled its 2024 obligations under the Paruka Warrant Obligation (defined below) by issuing Paruka Holding LLC (“Paruka”) a warrant to purchase 596,930 shares of Company Common Stock at an exercise price of $19.39 per share. The warrant has a term of 10 years, is fully vested, and is exercisable in part or full at any time during the term of the warrant. As of June 30, 2025, the warrant issued to settle the 2024 Paruka Warrant Obligation was outstanding and unexercised. See Note 8 for additional information on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Certificate of Incorporation provided for 545,000,000 authorized shares of Company Common Stock. As of June 30, 2025, 37,450,745 shares of Company Common Stock were issued and outstanding, including 2,207,553 shares of restricted common stock awards (“RSAs”) issued and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and December 31, 2024, the Company had common stock reserved for future issuance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9"/>
        <w:gridCol w:w="90"/>
        <w:gridCol w:w="90"/>
        <w:gridCol w:w="1130"/>
        <w:gridCol w:w="90"/>
        <w:gridCol w:w="90"/>
        <w:gridCol w:w="109"/>
        <w:gridCol w:w="1390"/>
        <w:gridCol w:w="137"/>
      </w:tblGrid>
      <w:tr>
        <w:trPr/>
        <w:tc>
          <w:tcPr>
            <w:tcW w:w="707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issuable on conversion of Company Series B Preferred Stock</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11,428,149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11,428,149</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Shares issuable upon exercise of pre-funded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6,202,207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6,202,207</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issuable upon exercise of warrant under the Paruka Warrant Obligation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596,930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596,930</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Outstanding and issued stock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3,668,560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1,567,760</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Outstanding and issued employee warrants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3,054,358</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Shares available for grant under 2024 Stock Incentive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4,899,067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4,246,324</w:t>
            </w:r>
          </w:p>
        </w:tc>
        <w:tc>
          <w:tcPr>
            <w:tcW w:w="137" w:type="dxa"/>
            <w:tcBorders/>
            <w:vAlign w:val="center"/>
          </w:tcPr>
          <w:p>
            <w:pPr>
              <w:pStyle w:val="TableContents"/>
              <w:bidi w:val="0"/>
              <w:spacing w:before="0" w:after="283"/>
              <w:jc w:val="left"/>
              <w:rPr/>
            </w:pPr>
            <w:r>
              <w:rPr/>
              <w:t> </w:t>
            </w:r>
          </w:p>
        </w:tc>
      </w:tr>
      <w:tr>
        <w:trPr/>
        <w:tc>
          <w:tcPr>
            <w:tcW w:w="7079" w:type="dxa"/>
            <w:tcBorders/>
            <w:shd w:fill="CCEEFF" w:val="clear"/>
            <w:vAlign w:val="center"/>
          </w:tcPr>
          <w:p>
            <w:pPr>
              <w:pStyle w:val="TableContents"/>
              <w:bidi w:val="0"/>
              <w:spacing w:before="0" w:after="283"/>
              <w:jc w:val="left"/>
              <w:rPr/>
            </w:pPr>
            <w:r>
              <w:rPr/>
              <w:t>Shares available for grant under 2024 Employee Stock Purchase Plan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1,001,003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12" w:space="0" w:color="000000"/>
            </w:tcBorders>
            <w:shd w:fill="CCEEFF" w:val="clear"/>
            <w:tcMar>
              <w:bottom w:w="28" w:type="dxa"/>
            </w:tcMar>
            <w:vAlign w:val="center"/>
          </w:tcPr>
          <w:p>
            <w:pPr>
              <w:pStyle w:val="TableContents"/>
              <w:bidi w:val="0"/>
              <w:spacing w:before="0" w:after="283"/>
              <w:jc w:val="right"/>
              <w:rPr/>
            </w:pPr>
            <w:r>
              <w:rPr/>
              <w:t>460,529</w:t>
            </w:r>
          </w:p>
        </w:tc>
        <w:tc>
          <w:tcPr>
            <w:tcW w:w="137" w:type="dxa"/>
            <w:tcBorders/>
            <w:shd w:fill="CCEEFF" w:val="clear"/>
            <w:vAlign w:val="center"/>
          </w:tcPr>
          <w:p>
            <w:pPr>
              <w:pStyle w:val="TableContents"/>
              <w:bidi w:val="0"/>
              <w:spacing w:before="0" w:after="283"/>
              <w:jc w:val="left"/>
              <w:rPr/>
            </w:pPr>
            <w:r>
              <w:rPr/>
              <w:t> </w:t>
            </w:r>
          </w:p>
        </w:tc>
      </w:tr>
      <w:tr>
        <w:trPr/>
        <w:tc>
          <w:tcPr>
            <w:tcW w:w="7079" w:type="dxa"/>
            <w:tcBorders/>
            <w:vAlign w:val="center"/>
          </w:tcPr>
          <w:p>
            <w:pPr>
              <w:pStyle w:val="TableContents"/>
              <w:bidi w:val="0"/>
              <w:spacing w:before="0" w:after="283"/>
              <w:jc w:val="left"/>
              <w:rPr/>
            </w:pPr>
            <w:r>
              <w:rPr/>
              <w:t>Total shares of common stock reserved</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30,850,274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1390" w:type="dxa"/>
            <w:tcBorders>
              <w:bottom w:val="double" w:sz="10" w:space="0" w:color="000000"/>
            </w:tcBorders>
            <w:tcMar>
              <w:bottom w:w="28" w:type="dxa"/>
            </w:tcMar>
            <w:vAlign w:val="center"/>
          </w:tcPr>
          <w:p>
            <w:pPr>
              <w:pStyle w:val="TableContents"/>
              <w:bidi w:val="0"/>
              <w:spacing w:before="0" w:after="283"/>
              <w:jc w:val="right"/>
              <w:rPr/>
            </w:pPr>
            <w:r>
              <w:rPr/>
              <w:t>27,556,257</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Equity Incentive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Equity Incentive Plan (“2024 Plan”) was adopted by the board of directors of Pre-Merger Oruka on February 6, 2024. The 2024 Plan provided for Pre-Merger Oruka to grant stock options, restricted stock awards, restricted stock units, and other stock-based awards to employees, officers, directors, consultants, and advisors. Equity incentive stock options granted under the 2024 Plan generally vest over four years, subject to the participant’s continued service, and expire after ten years, although two non-employee stock options were granted with vesting terms less than four years. As of June 30, 2025, 1,179,193 shares were subject to options outstanding under the 2024 Plan and will become available under the 2024 Stock Incentive Plan (defined below) to the extent the options are forfeited or lapse unexercised.</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Stock Incentive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2024, the 2024 Stock Incentive Plan (“2024 Stock Plan”) was approved by the Company’s stockholders and on August 29, 2024, the board of directors of the Company (the “Board”) ratified the 2024 Stock Plan. The 2024 Stock Plan allows for the grant of stock options, stock appreciation rights, restricted stock awards, restricted stock units, other stockholder-based awards and incentive bonuses. An additional 2,753,543 shares became available for issuance under the 2024 Stock Plan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7,388,434 shares were reserved for issuance under the 2024 Stock Plan, of which 4,899,067 shares were available for future grant and 2,489,367 shares were subject to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2024 Employee Stock Purchase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Employee Stock Purchase Plan (the “ESPP”) became effective in August 2024. Eligible employees may purchase shares of Company Common Stock under the ESPP at 85% of the lower of the fair market value of the Company Common Stock as of the first or the last day of each offering period. Employees are limited to contributing 15% of the employee’s eligible compensation and may not purchase more than $25,000 of stock during any calendar year. The ESPP will terminate ten years from the first purchase date under the plan, unless terminated earlier by the Board. An additional 550,709 shares became available for issuance under the ESPP on January 1, 2025 as a result of the annual increase pursuant to the evergreen provision.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10,235 shares during the three and six months ended June 30, 2025 out of the ESPP, and as of June 30, 2025, there were 1,001,003 shares of Company Common Stock available in the pool for future issuances.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of the three and six months ended June 30, 2025, stock-based compensation expense related to the ESPP was less than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 Valuation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weighted-average assumptions used in calculating the fair value of the awards for the three and six months ended June 30, 2025 and for the three months ended June 30, 2024 and the period from February 6, 2024 (inception) to June 30,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6"/>
        <w:gridCol w:w="90"/>
        <w:gridCol w:w="196"/>
        <w:gridCol w:w="1032"/>
        <w:gridCol w:w="245"/>
        <w:gridCol w:w="90"/>
        <w:gridCol w:w="161"/>
        <w:gridCol w:w="1067"/>
        <w:gridCol w:w="245"/>
        <w:gridCol w:w="90"/>
        <w:gridCol w:w="221"/>
        <w:gridCol w:w="1165"/>
        <w:gridCol w:w="245"/>
        <w:gridCol w:w="90"/>
        <w:gridCol w:w="435"/>
        <w:gridCol w:w="2872"/>
        <w:gridCol w:w="295"/>
      </w:tblGrid>
      <w:tr>
        <w:trPr/>
        <w:tc>
          <w:tcPr>
            <w:tcW w:w="16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June 30,</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June 30,</w:t>
              <w:b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 February 6, 2024 (Inception) to June 30,</w:t>
              <w:br/>
              <w:t>2024</w:t>
            </w:r>
          </w:p>
        </w:tc>
        <w:tc>
          <w:tcPr>
            <w:tcW w:w="295" w:type="dxa"/>
            <w:tcBorders/>
            <w:vAlign w:val="center"/>
          </w:tcPr>
          <w:p>
            <w:pPr>
              <w:pStyle w:val="TableContents"/>
              <w:bidi w:val="0"/>
              <w:spacing w:before="0" w:after="283"/>
              <w:jc w:val="left"/>
              <w:rPr/>
            </w:pPr>
            <w:r>
              <w:rPr/>
              <w:t> </w:t>
            </w:r>
          </w:p>
        </w:tc>
      </w:tr>
      <w:tr>
        <w:trPr/>
        <w:tc>
          <w:tcPr>
            <w:tcW w:w="1666" w:type="dxa"/>
            <w:tcBorders/>
            <w:shd w:fill="CCEEFF" w:val="clear"/>
            <w:vAlign w:val="center"/>
          </w:tcPr>
          <w:p>
            <w:pPr>
              <w:pStyle w:val="TableContents"/>
              <w:bidi w:val="0"/>
              <w:spacing w:before="0" w:after="283"/>
              <w:jc w:val="left"/>
              <w:rPr/>
            </w:pPr>
            <w:r>
              <w:rPr/>
              <w:t>Expected term (in years)</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5.9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6.0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2872" w:type="dxa"/>
            <w:tcBorders/>
            <w:shd w:fill="CCEEFF" w:val="clear"/>
            <w:vAlign w:val="center"/>
          </w:tcPr>
          <w:p>
            <w:pPr>
              <w:pStyle w:val="TableContents"/>
              <w:bidi w:val="0"/>
              <w:spacing w:before="0" w:after="283"/>
              <w:jc w:val="right"/>
              <w:rPr/>
            </w:pPr>
            <w:r>
              <w:rPr/>
              <w:t>6.0</w:t>
            </w:r>
          </w:p>
        </w:tc>
        <w:tc>
          <w:tcPr>
            <w:tcW w:w="295" w:type="dxa"/>
            <w:tcBorders/>
            <w:shd w:fill="CCEEFF" w:val="clear"/>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Expected volatility</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pPr>
            <w:r>
              <w:rPr/>
              <w:t>93.4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283"/>
              <w:jc w:val="right"/>
              <w:rPr/>
            </w:pPr>
            <w:r>
              <w:rPr/>
              <w:t>100.6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right"/>
              <w:rPr/>
            </w:pPr>
            <w:r>
              <w:rPr/>
              <w:t>95.5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872" w:type="dxa"/>
            <w:tcBorders/>
            <w:vAlign w:val="center"/>
          </w:tcPr>
          <w:p>
            <w:pPr>
              <w:pStyle w:val="TableContents"/>
              <w:bidi w:val="0"/>
              <w:spacing w:before="0" w:after="283"/>
              <w:jc w:val="right"/>
              <w:rPr/>
            </w:pPr>
            <w:r>
              <w:rPr/>
              <w:t>101.4</w:t>
            </w:r>
          </w:p>
        </w:tc>
        <w:tc>
          <w:tcPr>
            <w:tcW w:w="295" w:type="dxa"/>
            <w:tcBorders/>
            <w:vAlign w:val="center"/>
          </w:tcPr>
          <w:p>
            <w:pPr>
              <w:pStyle w:val="TableContents"/>
              <w:bidi w:val="0"/>
              <w:spacing w:before="0" w:after="283"/>
              <w:jc w:val="left"/>
              <w:rPr/>
            </w:pPr>
            <w:r>
              <w:rPr/>
              <w:t>%</w:t>
            </w:r>
          </w:p>
        </w:tc>
      </w:tr>
      <w:tr>
        <w:trPr/>
        <w:tc>
          <w:tcPr>
            <w:tcW w:w="1666" w:type="dxa"/>
            <w:tcBorders/>
            <w:shd w:fill="CCEEFF" w:val="clear"/>
            <w:vAlign w:val="center"/>
          </w:tcPr>
          <w:p>
            <w:pPr>
              <w:pStyle w:val="TableContents"/>
              <w:bidi w:val="0"/>
              <w:spacing w:before="0" w:after="283"/>
              <w:jc w:val="left"/>
              <w:rPr/>
            </w:pPr>
            <w:r>
              <w:rPr/>
              <w:t>Risk-free interest rate</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32" w:type="dxa"/>
            <w:tcBorders/>
            <w:shd w:fill="CCEEFF" w:val="clear"/>
            <w:vAlign w:val="center"/>
          </w:tcPr>
          <w:p>
            <w:pPr>
              <w:pStyle w:val="TableContents"/>
              <w:bidi w:val="0"/>
              <w:spacing w:before="0" w:after="283"/>
              <w:jc w:val="right"/>
              <w:rPr/>
            </w:pPr>
            <w:r>
              <w:rPr/>
              <w:t>4.1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67" w:type="dxa"/>
            <w:tcBorders/>
            <w:shd w:fill="CCEEFF" w:val="clear"/>
            <w:vAlign w:val="center"/>
          </w:tcPr>
          <w:p>
            <w:pPr>
              <w:pStyle w:val="TableContents"/>
              <w:bidi w:val="0"/>
              <w:spacing w:before="0" w:after="283"/>
              <w:jc w:val="right"/>
              <w:rPr/>
            </w:pPr>
            <w:r>
              <w:rPr/>
              <w:t>4.5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right"/>
              <w:rPr/>
            </w:pPr>
            <w:r>
              <w:rPr/>
              <w:t>4.4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35" w:type="dxa"/>
            <w:tcBorders/>
            <w:shd w:fill="CCEEFF" w:val="clear"/>
            <w:vAlign w:val="center"/>
          </w:tcPr>
          <w:p>
            <w:pPr>
              <w:pStyle w:val="TableContents"/>
              <w:bidi w:val="0"/>
              <w:spacing w:before="0" w:after="283"/>
              <w:jc w:val="left"/>
              <w:rPr/>
            </w:pPr>
            <w:r>
              <w:rPr/>
              <w:t> </w:t>
            </w:r>
          </w:p>
        </w:tc>
        <w:tc>
          <w:tcPr>
            <w:tcW w:w="2872" w:type="dxa"/>
            <w:tcBorders/>
            <w:shd w:fill="CCEEFF" w:val="clear"/>
            <w:vAlign w:val="center"/>
          </w:tcPr>
          <w:p>
            <w:pPr>
              <w:pStyle w:val="TableContents"/>
              <w:bidi w:val="0"/>
              <w:spacing w:before="0" w:after="283"/>
              <w:jc w:val="right"/>
              <w:rPr/>
            </w:pPr>
            <w:r>
              <w:rPr/>
              <w:t>4.4</w:t>
            </w:r>
          </w:p>
        </w:tc>
        <w:tc>
          <w:tcPr>
            <w:tcW w:w="295" w:type="dxa"/>
            <w:tcBorders/>
            <w:shd w:fill="CCEEFF" w:val="clear"/>
            <w:vAlign w:val="center"/>
          </w:tcPr>
          <w:p>
            <w:pPr>
              <w:pStyle w:val="TableContents"/>
              <w:bidi w:val="0"/>
              <w:spacing w:before="0" w:after="283"/>
              <w:jc w:val="left"/>
              <w:rPr/>
            </w:pPr>
            <w:r>
              <w:rPr/>
              <w:t>%</w:t>
            </w:r>
          </w:p>
        </w:tc>
      </w:tr>
      <w:tr>
        <w:trPr/>
        <w:tc>
          <w:tcPr>
            <w:tcW w:w="1666" w:type="dxa"/>
            <w:tcBorders/>
            <w:vAlign w:val="center"/>
          </w:tcPr>
          <w:p>
            <w:pPr>
              <w:pStyle w:val="TableContents"/>
              <w:bidi w:val="0"/>
              <w:spacing w:before="0" w:after="283"/>
              <w:jc w:val="left"/>
              <w:rPr/>
            </w:pPr>
            <w:r>
              <w:rPr/>
              <w:t>Expected dividend yield</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67"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0"/>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872" w:type="dxa"/>
            <w:tcBorders/>
            <w:vAlign w:val="center"/>
          </w:tcPr>
          <w:p>
            <w:pPr>
              <w:pStyle w:val="TableContents"/>
              <w:bidi w:val="0"/>
              <w:spacing w:before="0" w:after="0"/>
              <w:jc w:val="right"/>
              <w:rPr/>
            </w:pPr>
            <w:r>
              <w:rPr/>
              <w:t>—</w:t>
            </w:r>
          </w:p>
        </w:tc>
        <w:tc>
          <w:tcPr>
            <w:tcW w:w="2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 option activities under the 2024 Plan and the 2024 Stock Plan for the six months ended June 30,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43"/>
        <w:gridCol w:w="90"/>
        <w:gridCol w:w="107"/>
        <w:gridCol w:w="1203"/>
        <w:gridCol w:w="90"/>
        <w:gridCol w:w="90"/>
        <w:gridCol w:w="238"/>
        <w:gridCol w:w="829"/>
        <w:gridCol w:w="90"/>
        <w:gridCol w:w="90"/>
        <w:gridCol w:w="272"/>
        <w:gridCol w:w="1065"/>
        <w:gridCol w:w="90"/>
        <w:gridCol w:w="90"/>
        <w:gridCol w:w="303"/>
        <w:gridCol w:w="1274"/>
        <w:gridCol w:w="141"/>
      </w:tblGrid>
      <w:tr>
        <w:trPr/>
        <w:tc>
          <w:tcPr>
            <w:tcW w:w="414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Stock</w:t>
              <w:br/>
              <w:t xml:space="preserve">Options </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41" w:type="dxa"/>
            <w:tcBorders/>
            <w:vAlign w:val="center"/>
          </w:tcPr>
          <w:p>
            <w:pPr>
              <w:pStyle w:val="TableContents"/>
              <w:bidi w:val="0"/>
              <w:spacing w:before="0" w:after="283"/>
              <w:jc w:val="left"/>
              <w:rPr/>
            </w:pPr>
            <w:r>
              <w:rPr/>
              <w:t> </w:t>
            </w:r>
          </w:p>
        </w:tc>
      </w:tr>
      <w:tr>
        <w:trPr/>
        <w:tc>
          <w:tcPr>
            <w:tcW w:w="4143"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1,567,760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15,470</w:t>
            </w:r>
          </w:p>
        </w:tc>
        <w:tc>
          <w:tcPr>
            <w:tcW w:w="141" w:type="dxa"/>
            <w:tcBorders/>
            <w:shd w:fill="CCEEFF" w:val="clear"/>
            <w:vAlign w:val="center"/>
          </w:tcPr>
          <w:p>
            <w:pPr>
              <w:pStyle w:val="TableContents"/>
              <w:bidi w:val="0"/>
              <w:spacing w:before="0" w:after="283"/>
              <w:jc w:val="left"/>
              <w:rPr/>
            </w:pPr>
            <w:r>
              <w:rPr/>
              <w:t> </w:t>
            </w:r>
          </w:p>
        </w:tc>
      </w:tr>
      <w:tr>
        <w:trPr/>
        <w:tc>
          <w:tcPr>
            <w:tcW w:w="4143"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2,100,800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9" w:type="dxa"/>
            <w:tcBorders/>
            <w:vAlign w:val="center"/>
          </w:tcPr>
          <w:p>
            <w:pPr>
              <w:pStyle w:val="TableContents"/>
              <w:bidi w:val="0"/>
              <w:spacing w:before="0" w:after="283"/>
              <w:jc w:val="right"/>
              <w:rPr/>
            </w:pPr>
            <w:r>
              <w:rPr/>
              <w:t>11.97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4143"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r>
      <w:tr>
        <w:trPr/>
        <w:tc>
          <w:tcPr>
            <w:tcW w:w="4143"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41" w:type="dxa"/>
            <w:tcBorders/>
            <w:vAlign w:val="center"/>
          </w:tcPr>
          <w:p>
            <w:pPr>
              <w:pStyle w:val="TableContents"/>
              <w:bidi w:val="0"/>
              <w:spacing w:before="0" w:after="283"/>
              <w:jc w:val="left"/>
              <w:rPr/>
            </w:pPr>
            <w:r>
              <w:rPr/>
              <w:t> </w:t>
            </w:r>
          </w:p>
        </w:tc>
      </w:tr>
      <w:tr>
        <w:trPr/>
        <w:tc>
          <w:tcPr>
            <w:tcW w:w="4143" w:type="dxa"/>
            <w:tcBorders/>
            <w:shd w:fill="CCEEFF" w:val="clear"/>
            <w:vAlign w:val="center"/>
          </w:tcPr>
          <w:p>
            <w:pPr>
              <w:pStyle w:val="TableContents"/>
              <w:bidi w:val="0"/>
              <w:spacing w:before="0" w:after="283"/>
              <w:jc w:val="left"/>
              <w:rPr/>
            </w:pPr>
            <w:r>
              <w:rPr/>
              <w:t>Balance as of June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3,668,560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11.72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6,634</w:t>
            </w:r>
          </w:p>
        </w:tc>
        <w:tc>
          <w:tcPr>
            <w:tcW w:w="141" w:type="dxa"/>
            <w:tcBorders/>
            <w:shd w:fill="CCEEFF" w:val="clear"/>
            <w:vAlign w:val="center"/>
          </w:tcPr>
          <w:p>
            <w:pPr>
              <w:pStyle w:val="TableContents"/>
              <w:bidi w:val="0"/>
              <w:spacing w:before="0" w:after="283"/>
              <w:jc w:val="left"/>
              <w:rPr/>
            </w:pPr>
            <w:r>
              <w:rPr/>
              <w:t> </w:t>
            </w:r>
          </w:p>
        </w:tc>
      </w:tr>
      <w:tr>
        <w:trPr/>
        <w:tc>
          <w:tcPr>
            <w:tcW w:w="4143" w:type="dxa"/>
            <w:tcBorders/>
            <w:vAlign w:val="center"/>
          </w:tcPr>
          <w:p>
            <w:pPr>
              <w:pStyle w:val="TableContents"/>
              <w:bidi w:val="0"/>
              <w:spacing w:before="0" w:after="283"/>
              <w:jc w:val="left"/>
              <w:rPr/>
            </w:pPr>
            <w:r>
              <w:rPr/>
              <w:t>Vested and expected to vest, June 30, 2025</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3,668,560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w:t>
            </w:r>
          </w:p>
        </w:tc>
        <w:tc>
          <w:tcPr>
            <w:tcW w:w="829" w:type="dxa"/>
            <w:tcBorders/>
            <w:vAlign w:val="center"/>
          </w:tcPr>
          <w:p>
            <w:pPr>
              <w:pStyle w:val="TableContents"/>
              <w:bidi w:val="0"/>
              <w:spacing w:before="0" w:after="283"/>
              <w:jc w:val="right"/>
              <w:rPr/>
            </w:pPr>
            <w:r>
              <w:rPr/>
              <w:t>11.72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6,634</w:t>
            </w:r>
          </w:p>
        </w:tc>
        <w:tc>
          <w:tcPr>
            <w:tcW w:w="141" w:type="dxa"/>
            <w:tcBorders/>
            <w:vAlign w:val="center"/>
          </w:tcPr>
          <w:p>
            <w:pPr>
              <w:pStyle w:val="TableContents"/>
              <w:bidi w:val="0"/>
              <w:spacing w:before="0" w:after="283"/>
              <w:jc w:val="left"/>
              <w:rPr/>
            </w:pPr>
            <w:r>
              <w:rPr/>
              <w:t> </w:t>
            </w:r>
          </w:p>
        </w:tc>
      </w:tr>
      <w:tr>
        <w:trPr/>
        <w:tc>
          <w:tcPr>
            <w:tcW w:w="4143" w:type="dxa"/>
            <w:tcBorders/>
            <w:shd w:fill="CCEEFF" w:val="clear"/>
            <w:vAlign w:val="center"/>
          </w:tcPr>
          <w:p>
            <w:pPr>
              <w:pStyle w:val="TableContents"/>
              <w:bidi w:val="0"/>
              <w:spacing w:before="0" w:after="283"/>
              <w:jc w:val="left"/>
              <w:rPr/>
            </w:pPr>
            <w:r>
              <w:rPr/>
              <w:t>Exercisable, June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470,276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8.04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1,661</w:t>
            </w:r>
          </w:p>
        </w:tc>
        <w:tc>
          <w:tcPr>
            <w:tcW w:w="14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per share of stock options granted during the six months ended June 30, 2025 was $9.44 per share. Aggregate intrinsic value represents the difference between the estimated fair value of the underlying Company Common Stock and the exercise price of outstanding, in-the-money employee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and March 2024, the Company issued 2,207,553 shares of RSAs to certain employees, directors, and consultants at a price of $0.0001 per share, the then par value of Pre-Merger Oruka Common Stock. Such RSAs have service-based vesting conditions only and vest over a four-year period, during which time all unvested shares are subject to forfeiture in the event the holder’s service with the Company voluntarily or involuntarily terminates. 137,972 and 714,543 RSAs vested during the three and six months ended June 30, 2025, respectively. As of June 30, 2025, 1,493,010 of RSAs remain unvested. For each of the three and six months ended June 30, 2025, the three months ended June 30, 2024, and from February 6, 2024 (inception) to June 30, 2024, stock-based compensation expense related to RSAs was less than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RSA activity for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4190"/>
        <w:gridCol w:w="90"/>
        <w:gridCol w:w="147"/>
        <w:gridCol w:w="1657"/>
        <w:gridCol w:w="125"/>
        <w:gridCol w:w="90"/>
        <w:gridCol w:w="737"/>
        <w:gridCol w:w="1262"/>
        <w:gridCol w:w="135"/>
      </w:tblGrid>
      <w:tr>
        <w:trPr/>
        <w:tc>
          <w:tcPr>
            <w:tcW w:w="4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 RSAs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Average </w:t>
              <w:br/>
              <w:t>Grant Date</w:t>
              <w:br/>
              <w:t>Fair Value</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Unvested balance as of December 31, 2024</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657" w:type="dxa"/>
            <w:tcBorders/>
            <w:shd w:fill="CCEEFF" w:val="clear"/>
            <w:vAlign w:val="center"/>
          </w:tcPr>
          <w:p>
            <w:pPr>
              <w:pStyle w:val="TableContents"/>
              <w:bidi w:val="0"/>
              <w:spacing w:before="0" w:after="283"/>
              <w:jc w:val="right"/>
              <w:rPr/>
            </w:pPr>
            <w:r>
              <w:rPr/>
              <w:t>2,207,553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5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w:t>
            </w:r>
          </w:p>
        </w:tc>
        <w:tc>
          <w:tcPr>
            <w:tcW w:w="126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57" w:type="dxa"/>
            <w:tcBorders>
              <w:bottom w:val="single" w:sz="12" w:space="0" w:color="000000"/>
            </w:tcBorders>
            <w:shd w:fill="CCEEFF" w:val="clear"/>
            <w:tcMar>
              <w:bottom w:w="28" w:type="dxa"/>
            </w:tcMar>
            <w:vAlign w:val="center"/>
          </w:tcPr>
          <w:p>
            <w:pPr>
              <w:pStyle w:val="TableContents"/>
              <w:bidi w:val="0"/>
              <w:spacing w:before="0" w:after="283"/>
              <w:jc w:val="right"/>
              <w:rPr/>
            </w:pPr>
            <w:r>
              <w:rPr/>
              <w:t>(714,543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737"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Unvested balance as of June 30, 2025</w:t>
            </w:r>
          </w:p>
        </w:tc>
        <w:tc>
          <w:tcPr>
            <w:tcW w:w="90" w:type="dxa"/>
            <w:tcBorders/>
            <w:vAlign w:val="center"/>
          </w:tcPr>
          <w:p>
            <w:pPr>
              <w:pStyle w:val="TableContents"/>
              <w:bidi w:val="0"/>
              <w:spacing w:before="0" w:after="283"/>
              <w:jc w:val="left"/>
              <w:rPr/>
            </w:pPr>
            <w:r>
              <w:rPr/>
              <w:t> </w:t>
            </w:r>
          </w:p>
        </w:tc>
        <w:tc>
          <w:tcPr>
            <w:tcW w:w="147" w:type="dxa"/>
            <w:tcBorders>
              <w:bottom w:val="double" w:sz="10" w:space="0" w:color="000000"/>
            </w:tcBorders>
            <w:tcMar>
              <w:bottom w:w="28" w:type="dxa"/>
            </w:tcMar>
            <w:vAlign w:val="center"/>
          </w:tcPr>
          <w:p>
            <w:pPr>
              <w:pStyle w:val="TableContents"/>
              <w:bidi w:val="0"/>
              <w:spacing w:before="0" w:after="283"/>
              <w:jc w:val="left"/>
              <w:rPr/>
            </w:pPr>
            <w:r>
              <w:rPr/>
              <w:t> </w:t>
            </w:r>
          </w:p>
        </w:tc>
        <w:tc>
          <w:tcPr>
            <w:tcW w:w="1657" w:type="dxa"/>
            <w:tcBorders>
              <w:bottom w:val="double" w:sz="10" w:space="0" w:color="000000"/>
            </w:tcBorders>
            <w:tcMar>
              <w:bottom w:w="28" w:type="dxa"/>
            </w:tcMar>
            <w:vAlign w:val="center"/>
          </w:tcPr>
          <w:p>
            <w:pPr>
              <w:pStyle w:val="TableContents"/>
              <w:bidi w:val="0"/>
              <w:spacing w:before="0" w:after="283"/>
              <w:jc w:val="right"/>
              <w:rPr/>
            </w:pPr>
            <w:r>
              <w:rPr/>
              <w:t>1,493,010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7" w:type="dxa"/>
            <w:tcBorders>
              <w:bottom w:val="double" w:sz="10" w:space="0" w:color="000000"/>
            </w:tcBorders>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 Agreements and Paruka Warrant Obligation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Option Agreements, (defined in Note 10 below)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 (the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dates for the issuance of warrants were expected to be December 31, 2024 and December 31, 2025 as all terms of the award, including number of shares and exercise price, will be known by all parties. The Company determined that the 2024 and 2025 grants are two separate grants, as there would be no obligation for the 2025 grant had the Company exercised or terminated all of the options under the Option Agreements prior to December 31, 2024. The service inception period for the grant precedes the grant date, with the full award being vested as of the grant date with no post-grant date service requirement. Accordingly, the warrant expected to be granted to Paruka was accounted for as a liability on the balance sheet on the service inception date and, after the initial recognition, the liability is adjusted to fair value at the end of each reporting period, with changes in fair value recorded in the condensed consolidated statement of operations and comprehensive loss as stock-based compensation expense under research and development expenses. For the period from February 6, 2024 (inception) to June 30, 2024, $0.4 million was recognized as stock-based compensation expenses related to the December 31, 2024 Paruka Warrant Obligation. On issuance of the warrant to Paruka on December 31, 2024, the fair value of the warrant issued on December 31, 2024 of $10.4 million was reclassified from liability to equity on the condensed consolidated balance sheet as of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estimated fair value of the warrant to be granted on December 31, 2025 was $6.2 million. For the three and six months ended June 30, 2025 $1.7 million and $3.1 million, respectively, was recognized as stock-based compensation expense related to the December 31, 2025 Paruka Warrant Obligation. As of June 30, 2025, there was $3.1 million in unamortized expense related to the December 31, 2025 Paruka Warrant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Warrants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in July 2024, the Subscription Agreement was amended and restated, among other things, for employee warrants to be issued to certain Pre-Merger Oruka employees and directors prior to the Closing. During the period from February 6, 2024 (inception) to December 31, 2024, the Company issued 3,054,358 warrants at an exercise price of $7.80 per warrant, which are accounted as equity in the condensed consolidated financial statements. The employee warrants were subject to performance and service based vesting requirements and upon completion of the Merger the performance-based requirements had been achieved. During the three and six months ended June 30, 2025, no employee warrants were granted.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employee warrant activity during the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29"/>
        <w:gridCol w:w="90"/>
        <w:gridCol w:w="107"/>
        <w:gridCol w:w="1203"/>
        <w:gridCol w:w="90"/>
        <w:gridCol w:w="90"/>
        <w:gridCol w:w="286"/>
        <w:gridCol w:w="796"/>
        <w:gridCol w:w="90"/>
        <w:gridCol w:w="90"/>
        <w:gridCol w:w="272"/>
        <w:gridCol w:w="1065"/>
        <w:gridCol w:w="90"/>
        <w:gridCol w:w="90"/>
        <w:gridCol w:w="303"/>
        <w:gridCol w:w="1274"/>
        <w:gridCol w:w="140"/>
      </w:tblGrid>
      <w:tr>
        <w:trPr/>
        <w:tc>
          <w:tcPr>
            <w:tcW w:w="412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 xml:space="preserve">Employee </w:t>
              <w:br/>
              <w:t xml:space="preserve">Warrants </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Exercise</w:t>
              <w:br/>
              <w:t xml:space="preserve">Price </w:t>
              <w:br/>
              <w:t>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Term</w:t>
              <w:b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br/>
              <w:t>(in Thousands)</w:t>
            </w:r>
          </w:p>
        </w:tc>
        <w:tc>
          <w:tcPr>
            <w:tcW w:w="140"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35,400</w:t>
            </w:r>
          </w:p>
        </w:tc>
        <w:tc>
          <w:tcPr>
            <w:tcW w:w="140"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Canceled/forfeited</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Balance as of June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3,054,358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10,415</w:t>
            </w:r>
          </w:p>
        </w:tc>
        <w:tc>
          <w:tcPr>
            <w:tcW w:w="140" w:type="dxa"/>
            <w:tcBorders/>
            <w:shd w:fill="CCEEFF" w:val="clear"/>
            <w:vAlign w:val="center"/>
          </w:tcPr>
          <w:p>
            <w:pPr>
              <w:pStyle w:val="TableContents"/>
              <w:bidi w:val="0"/>
              <w:spacing w:before="0" w:after="283"/>
              <w:jc w:val="left"/>
              <w:rPr/>
            </w:pPr>
            <w:r>
              <w:rPr/>
              <w:t> </w:t>
            </w:r>
          </w:p>
        </w:tc>
      </w:tr>
      <w:tr>
        <w:trPr/>
        <w:tc>
          <w:tcPr>
            <w:tcW w:w="4129" w:type="dxa"/>
            <w:tcBorders/>
            <w:vAlign w:val="center"/>
          </w:tcPr>
          <w:p>
            <w:pPr>
              <w:pStyle w:val="TableContents"/>
              <w:bidi w:val="0"/>
              <w:spacing w:before="0" w:after="283"/>
              <w:jc w:val="left"/>
              <w:rPr/>
            </w:pPr>
            <w:r>
              <w:rPr/>
              <w:t>Vested and expected to vest, June 30, 2025</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tcMar>
              <w:bottom w:w="28" w:type="dxa"/>
            </w:tcMar>
            <w:vAlign w:val="center"/>
          </w:tcPr>
          <w:p>
            <w:pPr>
              <w:pStyle w:val="TableContents"/>
              <w:bidi w:val="0"/>
              <w:spacing w:before="0" w:after="283"/>
              <w:jc w:val="right"/>
              <w:rPr/>
            </w:pPr>
            <w:r>
              <w:rPr/>
              <w:t>3,054,358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7.80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w:t>
            </w:r>
          </w:p>
        </w:tc>
        <w:tc>
          <w:tcPr>
            <w:tcW w:w="1274" w:type="dxa"/>
            <w:tcBorders/>
            <w:vAlign w:val="center"/>
          </w:tcPr>
          <w:p>
            <w:pPr>
              <w:pStyle w:val="TableContents"/>
              <w:bidi w:val="0"/>
              <w:spacing w:before="0" w:after="283"/>
              <w:jc w:val="right"/>
              <w:rPr/>
            </w:pPr>
            <w:r>
              <w:rPr/>
              <w:t>10,415</w:t>
            </w:r>
          </w:p>
        </w:tc>
        <w:tc>
          <w:tcPr>
            <w:tcW w:w="140" w:type="dxa"/>
            <w:tcBorders/>
            <w:vAlign w:val="center"/>
          </w:tcPr>
          <w:p>
            <w:pPr>
              <w:pStyle w:val="TableContents"/>
              <w:bidi w:val="0"/>
              <w:spacing w:before="0" w:after="283"/>
              <w:jc w:val="left"/>
              <w:rPr/>
            </w:pPr>
            <w:r>
              <w:rPr/>
              <w:t> </w:t>
            </w:r>
          </w:p>
        </w:tc>
      </w:tr>
      <w:tr>
        <w:trPr/>
        <w:tc>
          <w:tcPr>
            <w:tcW w:w="4129" w:type="dxa"/>
            <w:tcBorders/>
            <w:shd w:fill="CCEEFF" w:val="clear"/>
            <w:vAlign w:val="center"/>
          </w:tcPr>
          <w:p>
            <w:pPr>
              <w:pStyle w:val="TableContents"/>
              <w:bidi w:val="0"/>
              <w:spacing w:before="0" w:after="283"/>
              <w:jc w:val="left"/>
              <w:rPr/>
            </w:pPr>
            <w:r>
              <w:rPr/>
              <w:t>Exercisable, June 30, 2025</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10" w:space="0" w:color="000000"/>
            </w:tcBorders>
            <w:shd w:fill="CCEEFF" w:val="clear"/>
            <w:tcMar>
              <w:bottom w:w="28" w:type="dxa"/>
            </w:tcMar>
            <w:vAlign w:val="center"/>
          </w:tcPr>
          <w:p>
            <w:pPr>
              <w:pStyle w:val="TableContents"/>
              <w:bidi w:val="0"/>
              <w:spacing w:before="0" w:after="283"/>
              <w:jc w:val="right"/>
              <w:rPr/>
            </w:pPr>
            <w:r>
              <w:rPr/>
              <w:t>797,307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7.80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w:t>
            </w:r>
          </w:p>
        </w:tc>
        <w:tc>
          <w:tcPr>
            <w:tcW w:w="1274" w:type="dxa"/>
            <w:tcBorders/>
            <w:shd w:fill="CCEEFF" w:val="clear"/>
            <w:vAlign w:val="center"/>
          </w:tcPr>
          <w:p>
            <w:pPr>
              <w:pStyle w:val="TableContents"/>
              <w:bidi w:val="0"/>
              <w:spacing w:before="0" w:after="283"/>
              <w:jc w:val="right"/>
              <w:rPr/>
            </w:pPr>
            <w:r>
              <w:rPr/>
              <w:t>2,719</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in the condensed consolidated statements of operations and comprehensive loss (in thousands):</w:t>
      </w:r>
    </w:p>
    <w:p>
      <w:pPr>
        <w:pStyle w:val="TextBody"/>
        <w:bidi w:val="0"/>
        <w:spacing w:before="0" w:after="0"/>
        <w:ind w:left="0" w:right="0" w:hanging="0"/>
        <w:jc w:val="left"/>
        <w:rPr>
          <w:caps w:val="false"/>
          <w:smallCaps w:val="false"/>
        </w:rPr>
      </w:pPr>
      <w:r>
        <w:rPr>
          <w:caps w:val="false"/>
          <w:smallCaps w:val="false"/>
        </w:rPr>
        <w:t> </w:t>
      </w:r>
    </w:p>
    <w:tbl>
      <w:tblPr>
        <w:tblW w:w="9411" w:type="dxa"/>
        <w:jc w:val="left"/>
        <w:tblInd w:w="0" w:type="dxa"/>
        <w:tblLayout w:type="fixed"/>
        <w:tblCellMar>
          <w:top w:w="0" w:type="dxa"/>
          <w:left w:w="0" w:type="dxa"/>
          <w:bottom w:w="0" w:type="dxa"/>
          <w:right w:w="0" w:type="dxa"/>
        </w:tblCellMar>
      </w:tblPr>
      <w:tblGrid>
        <w:gridCol w:w="2615"/>
        <w:gridCol w:w="90"/>
        <w:gridCol w:w="293"/>
        <w:gridCol w:w="1016"/>
        <w:gridCol w:w="90"/>
        <w:gridCol w:w="90"/>
        <w:gridCol w:w="383"/>
        <w:gridCol w:w="926"/>
        <w:gridCol w:w="90"/>
        <w:gridCol w:w="90"/>
        <w:gridCol w:w="433"/>
        <w:gridCol w:w="1506"/>
        <w:gridCol w:w="90"/>
        <w:gridCol w:w="90"/>
        <w:gridCol w:w="432"/>
        <w:gridCol w:w="1042"/>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 xml:space="preserve">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 xml:space="preserve">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June 30,</w:t>
              <w:br/>
              <w:t>2024</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w:t>
            </w:r>
          </w:p>
        </w:tc>
        <w:tc>
          <w:tcPr>
            <w:tcW w:w="1016" w:type="dxa"/>
            <w:tcBorders/>
            <w:shd w:fill="CCEEFF" w:val="clear"/>
            <w:vAlign w:val="center"/>
          </w:tcPr>
          <w:p>
            <w:pPr>
              <w:pStyle w:val="TableContents"/>
              <w:bidi w:val="0"/>
              <w:spacing w:before="0" w:after="283"/>
              <w:jc w:val="right"/>
              <w:rPr/>
            </w:pPr>
            <w:r>
              <w:rPr/>
              <w:t>3,368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shd w:fill="CCEEFF" w:val="clear"/>
            <w:vAlign w:val="center"/>
          </w:tcPr>
          <w:p>
            <w:pPr>
              <w:pStyle w:val="TableContents"/>
              <w:bidi w:val="0"/>
              <w:spacing w:before="0" w:after="283"/>
              <w:jc w:val="left"/>
              <w:rPr/>
            </w:pPr>
            <w:r>
              <w:rPr/>
              <w:t>$</w:t>
            </w:r>
          </w:p>
        </w:tc>
        <w:tc>
          <w:tcPr>
            <w:tcW w:w="926" w:type="dxa"/>
            <w:tcBorders/>
            <w:shd w:fill="CCEEFF" w:val="clear"/>
            <w:vAlign w:val="center"/>
          </w:tcPr>
          <w:p>
            <w:pPr>
              <w:pStyle w:val="TableContents"/>
              <w:bidi w:val="0"/>
              <w:spacing w:before="0" w:after="283"/>
              <w:jc w:val="right"/>
              <w:rPr/>
            </w:pPr>
            <w:r>
              <w:rPr/>
              <w:t>468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6,371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538</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293"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tcMar>
              <w:bottom w:w="28" w:type="dxa"/>
            </w:tcMar>
            <w:vAlign w:val="center"/>
          </w:tcPr>
          <w:p>
            <w:pPr>
              <w:pStyle w:val="TableContents"/>
              <w:bidi w:val="0"/>
              <w:spacing w:before="0" w:after="283"/>
              <w:jc w:val="right"/>
              <w:rPr/>
            </w:pPr>
            <w:r>
              <w:rPr/>
              <w:t>1,709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3" w:type="dxa"/>
            <w:tcBorders>
              <w:bottom w:val="single" w:sz="12" w:space="0" w:color="000000"/>
            </w:tcBorders>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tcMar>
              <w:bottom w:w="28" w:type="dxa"/>
            </w:tcMar>
            <w:vAlign w:val="center"/>
          </w:tcPr>
          <w:p>
            <w:pPr>
              <w:pStyle w:val="TableContents"/>
              <w:bidi w:val="0"/>
              <w:spacing w:before="0" w:after="283"/>
              <w:jc w:val="right"/>
              <w:rPr/>
            </w:pPr>
            <w:r>
              <w:rPr/>
              <w:t>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tcMar>
              <w:bottom w:w="28" w:type="dxa"/>
            </w:tcMar>
            <w:vAlign w:val="center"/>
          </w:tcPr>
          <w:p>
            <w:pPr>
              <w:pStyle w:val="TableContents"/>
              <w:bidi w:val="0"/>
              <w:spacing w:before="0" w:after="283"/>
              <w:jc w:val="right"/>
              <w:rPr/>
            </w:pPr>
            <w:r>
              <w:rPr/>
              <w:t>3,589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before="0" w:after="283"/>
              <w:jc w:val="right"/>
              <w:rPr/>
            </w:pPr>
            <w:r>
              <w:rPr/>
              <w:t>230</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5,077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pPr>
            <w:r>
              <w:rPr/>
              <w:t>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double" w:sz="10" w:space="0" w:color="000000"/>
            </w:tcBorders>
            <w:shd w:fill="CCEEFF" w:val="clear"/>
            <w:tcMar>
              <w:bottom w:w="28" w:type="dxa"/>
            </w:tcMar>
            <w:vAlign w:val="center"/>
          </w:tcPr>
          <w:p>
            <w:pPr>
              <w:pStyle w:val="TableContents"/>
              <w:bidi w:val="0"/>
              <w:spacing w:before="0" w:after="283"/>
              <w:jc w:val="right"/>
              <w:rPr/>
            </w:pPr>
            <w:r>
              <w:rPr/>
              <w:t>9,960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shd w:fill="CCEEFF" w:val="clear"/>
            <w:tcMar>
              <w:bottom w:w="28" w:type="dxa"/>
            </w:tcMar>
            <w:vAlign w:val="center"/>
          </w:tcPr>
          <w:p>
            <w:pPr>
              <w:pStyle w:val="TableContents"/>
              <w:bidi w:val="0"/>
              <w:spacing w:before="0" w:after="283"/>
              <w:jc w:val="right"/>
              <w:rPr/>
            </w:pPr>
            <w:r>
              <w:rPr/>
              <w:t>768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total unrecognized compensation cost related to the unvested stock options was $28.5 million, which is expected to be recognized over a weighted average period of approximately 3.2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total unrecognized compensation cost related to the unvested RSAs was less than $0.1 million, which is expected to be recognized over a weighted average period of 2.6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unrecognized compensation cost related to the employee warrants was $13.5 million, which is expected to be recognized over a weighted average period of 2.8 years.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award types of the Company’s stock-based compensation expense in the condensed consolidated statements of operations and comprehensive loss (in thousands): </w:t>
      </w:r>
    </w:p>
    <w:p>
      <w:pPr>
        <w:pStyle w:val="TextBody"/>
        <w:bidi w:val="0"/>
        <w:spacing w:before="0" w:after="0"/>
        <w:ind w:left="0" w:right="0" w:firstLine="360"/>
        <w:jc w:val="both"/>
        <w:rPr>
          <w:caps w:val="false"/>
          <w:smallCaps w:val="false"/>
        </w:rPr>
      </w:pPr>
      <w:r>
        <w:rPr>
          <w:caps w:val="false"/>
          <w:smallCaps w:val="false"/>
        </w:rPr>
        <w:t> </w:t>
      </w:r>
    </w:p>
    <w:tbl>
      <w:tblPr>
        <w:tblW w:w="9651" w:type="dxa"/>
        <w:jc w:val="left"/>
        <w:tblInd w:w="0" w:type="dxa"/>
        <w:tblLayout w:type="fixed"/>
        <w:tblCellMar>
          <w:top w:w="0" w:type="dxa"/>
          <w:left w:w="0" w:type="dxa"/>
          <w:bottom w:w="0" w:type="dxa"/>
          <w:right w:w="0" w:type="dxa"/>
        </w:tblCellMar>
      </w:tblPr>
      <w:tblGrid>
        <w:gridCol w:w="2945"/>
        <w:gridCol w:w="90"/>
        <w:gridCol w:w="282"/>
        <w:gridCol w:w="982"/>
        <w:gridCol w:w="90"/>
        <w:gridCol w:w="90"/>
        <w:gridCol w:w="370"/>
        <w:gridCol w:w="894"/>
        <w:gridCol w:w="90"/>
        <w:gridCol w:w="90"/>
        <w:gridCol w:w="433"/>
        <w:gridCol w:w="1506"/>
        <w:gridCol w:w="90"/>
        <w:gridCol w:w="90"/>
        <w:gridCol w:w="432"/>
        <w:gridCol w:w="1042"/>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w:t>
              <w:br/>
              <w:t xml:space="preserve">2024 </w:t>
              <w:br/>
              <w:t xml:space="preserve">(Inception) to </w:t>
              <w:br/>
              <w:t>June 30,</w:t>
              <w:br/>
              <w:t>2024</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Paruka Warrant Obligation</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982" w:type="dxa"/>
            <w:tcBorders/>
            <w:shd w:fill="CCEEFF" w:val="clear"/>
            <w:vAlign w:val="center"/>
          </w:tcPr>
          <w:p>
            <w:pPr>
              <w:pStyle w:val="TableContents"/>
              <w:bidi w:val="0"/>
              <w:spacing w:before="0" w:after="283"/>
              <w:jc w:val="right"/>
              <w:rPr/>
            </w:pPr>
            <w:r>
              <w:rPr/>
              <w:t>1,674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362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506" w:type="dxa"/>
            <w:tcBorders/>
            <w:shd w:fill="CCEEFF" w:val="clear"/>
            <w:vAlign w:val="center"/>
          </w:tcPr>
          <w:p>
            <w:pPr>
              <w:pStyle w:val="TableContents"/>
              <w:bidi w:val="0"/>
              <w:spacing w:before="0" w:after="283"/>
              <w:jc w:val="right"/>
              <w:rPr/>
            </w:pPr>
            <w:r>
              <w:rPr/>
              <w:t>3,089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w:t>
            </w:r>
          </w:p>
        </w:tc>
        <w:tc>
          <w:tcPr>
            <w:tcW w:w="1042" w:type="dxa"/>
            <w:tcBorders/>
            <w:shd w:fill="CCEEFF" w:val="clear"/>
            <w:vAlign w:val="center"/>
          </w:tcPr>
          <w:p>
            <w:pPr>
              <w:pStyle w:val="TableContents"/>
              <w:bidi w:val="0"/>
              <w:spacing w:before="0" w:after="283"/>
              <w:jc w:val="right"/>
              <w:rPr/>
            </w:pPr>
            <w:r>
              <w:rPr/>
              <w:t>430</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warrants</w:t>
            </w:r>
          </w:p>
        </w:tc>
        <w:tc>
          <w:tcPr>
            <w:tcW w:w="90"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89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506" w:type="dxa"/>
            <w:tcBorders/>
            <w:vAlign w:val="center"/>
          </w:tcPr>
          <w:p>
            <w:pPr>
              <w:pStyle w:val="TableContents"/>
              <w:bidi w:val="0"/>
              <w:spacing w:before="0" w:after="283"/>
              <w:jc w:val="right"/>
              <w:rPr/>
            </w:pPr>
            <w:r>
              <w:rPr/>
              <w:t>2,789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2"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Stock options</w:t>
            </w:r>
          </w:p>
        </w:tc>
        <w:tc>
          <w:tcPr>
            <w:tcW w:w="9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2,130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894" w:type="dxa"/>
            <w:tcBorders/>
            <w:shd w:fill="CCEEFF" w:val="clear"/>
            <w:vAlign w:val="center"/>
          </w:tcPr>
          <w:p>
            <w:pPr>
              <w:pStyle w:val="TableContents"/>
              <w:bidi w:val="0"/>
              <w:spacing w:before="0" w:after="283"/>
              <w:jc w:val="right"/>
              <w:rPr/>
            </w:pPr>
            <w:r>
              <w:rPr/>
              <w:t>321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4,019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left"/>
              <w:rPr/>
            </w:pPr>
            <w:r>
              <w:rPr/>
              <w:t> </w:t>
            </w:r>
          </w:p>
        </w:tc>
        <w:tc>
          <w:tcPr>
            <w:tcW w:w="1042" w:type="dxa"/>
            <w:tcBorders/>
            <w:shd w:fill="CCEEFF" w:val="clear"/>
            <w:vAlign w:val="center"/>
          </w:tcPr>
          <w:p>
            <w:pPr>
              <w:pStyle w:val="TableContents"/>
              <w:bidi w:val="0"/>
              <w:spacing w:before="0" w:after="283"/>
              <w:jc w:val="right"/>
              <w:rPr/>
            </w:pPr>
            <w:r>
              <w:rPr/>
              <w:t>338</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Employee stock purchase plan</w:t>
            </w:r>
          </w:p>
        </w:tc>
        <w:tc>
          <w:tcPr>
            <w:tcW w:w="90" w:type="dxa"/>
            <w:tcBorders/>
            <w:vAlign w:val="center"/>
          </w:tcPr>
          <w:p>
            <w:pPr>
              <w:pStyle w:val="TableContents"/>
              <w:bidi w:val="0"/>
              <w:spacing w:before="0" w:after="283"/>
              <w:jc w:val="left"/>
              <w:rPr/>
            </w:pPr>
            <w:r>
              <w:rPr/>
              <w:t> </w:t>
            </w:r>
          </w:p>
        </w:tc>
        <w:tc>
          <w:tcPr>
            <w:tcW w:w="282" w:type="dxa"/>
            <w:tcBorders>
              <w:bottom w:val="single" w:sz="12" w:space="0" w:color="000000"/>
            </w:tcBorders>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tcMar>
              <w:bottom w:w="28" w:type="dxa"/>
            </w:tcMar>
            <w:vAlign w:val="center"/>
          </w:tcPr>
          <w:p>
            <w:pPr>
              <w:pStyle w:val="TableContents"/>
              <w:bidi w:val="0"/>
              <w:spacing w:before="0" w:after="283"/>
              <w:jc w:val="right"/>
              <w:rPr/>
            </w:pPr>
            <w:r>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9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3" w:type="dxa"/>
            <w:tcBorders>
              <w:bottom w:val="single" w:sz="12" w:space="0" w:color="000000"/>
            </w:tcBorders>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tcMar>
              <w:bottom w:w="28" w:type="dxa"/>
            </w:tcMar>
            <w:vAlign w:val="center"/>
          </w:tcPr>
          <w:p>
            <w:pPr>
              <w:pStyle w:val="TableContents"/>
              <w:bidi w:val="0"/>
              <w:spacing w:before="0" w:after="283"/>
              <w:jc w:val="right"/>
              <w:rPr/>
            </w:pPr>
            <w:r>
              <w:rPr/>
              <w:t>63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32"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2"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8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2" w:type="dxa"/>
            <w:tcBorders>
              <w:bottom w:val="double" w:sz="10" w:space="0" w:color="000000"/>
            </w:tcBorders>
            <w:shd w:fill="CCEEFF" w:val="clear"/>
            <w:tcMar>
              <w:bottom w:w="28" w:type="dxa"/>
            </w:tcMar>
            <w:vAlign w:val="center"/>
          </w:tcPr>
          <w:p>
            <w:pPr>
              <w:pStyle w:val="TableContents"/>
              <w:bidi w:val="0"/>
              <w:spacing w:before="0" w:after="283"/>
              <w:jc w:val="right"/>
              <w:rPr/>
            </w:pPr>
            <w:r>
              <w:rPr/>
              <w:t>5,077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4" w:type="dxa"/>
            <w:tcBorders>
              <w:bottom w:val="double" w:sz="10" w:space="0" w:color="000000"/>
            </w:tcBorders>
            <w:shd w:fill="CCEEFF" w:val="clear"/>
            <w:tcMar>
              <w:bottom w:w="28" w:type="dxa"/>
            </w:tcMar>
            <w:vAlign w:val="center"/>
          </w:tcPr>
          <w:p>
            <w:pPr>
              <w:pStyle w:val="TableContents"/>
              <w:bidi w:val="0"/>
              <w:spacing w:before="0" w:after="283"/>
              <w:jc w:val="right"/>
              <w:rPr/>
            </w:pPr>
            <w:r>
              <w:rPr/>
              <w:t>683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506" w:type="dxa"/>
            <w:tcBorders>
              <w:bottom w:val="double" w:sz="10" w:space="0" w:color="000000"/>
            </w:tcBorders>
            <w:shd w:fill="CCEEFF" w:val="clear"/>
            <w:tcMar>
              <w:bottom w:w="28" w:type="dxa"/>
            </w:tcMar>
            <w:vAlign w:val="center"/>
          </w:tcPr>
          <w:p>
            <w:pPr>
              <w:pStyle w:val="TableContents"/>
              <w:bidi w:val="0"/>
              <w:spacing w:before="0" w:after="283"/>
              <w:jc w:val="right"/>
              <w:rPr/>
            </w:pPr>
            <w:r>
              <w:rPr/>
              <w:t>9,960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3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42" w:type="dxa"/>
            <w:tcBorders>
              <w:bottom w:val="double" w:sz="10" w:space="0" w:color="000000"/>
            </w:tcBorders>
            <w:shd w:fill="CCEEFF" w:val="clear"/>
            <w:tcMar>
              <w:bottom w:w="28" w:type="dxa"/>
            </w:tcMar>
            <w:vAlign w:val="center"/>
          </w:tcPr>
          <w:p>
            <w:pPr>
              <w:pStyle w:val="TableContents"/>
              <w:bidi w:val="0"/>
              <w:spacing w:before="0" w:after="283"/>
              <w:jc w:val="right"/>
              <w:rPr/>
            </w:pPr>
            <w:r>
              <w:rPr/>
              <w:t>768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Segment Disclosures</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and manages its business activities on a consolidated basis and operates in one reportable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and operating segment. Its Chief Executive Officer, serving as the Chief Operating Decision Maker (“CODM”), oversees operations on an aggregated basis to allocate resources effectively. In assessing the Company’s financial performance, the CODM regularly reviews total operating expenses and consolidated net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total consolidated assets. The Company’s long-lived assets consist primarily of property and equipment, net. As of June 30, 2025 and December 31, 2024 all long-lived assets were in the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segment loss from operations, including significant segment expenses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6"/>
        <w:gridCol w:w="90"/>
        <w:gridCol w:w="216"/>
        <w:gridCol w:w="998"/>
        <w:gridCol w:w="125"/>
        <w:gridCol w:w="90"/>
        <w:gridCol w:w="191"/>
        <w:gridCol w:w="883"/>
        <w:gridCol w:w="125"/>
        <w:gridCol w:w="90"/>
        <w:gridCol w:w="237"/>
        <w:gridCol w:w="1098"/>
        <w:gridCol w:w="125"/>
        <w:gridCol w:w="90"/>
        <w:gridCol w:w="254"/>
        <w:gridCol w:w="1182"/>
        <w:gridCol w:w="175"/>
      </w:tblGrid>
      <w:tr>
        <w:trPr/>
        <w:tc>
          <w:tcPr>
            <w:tcW w:w="4236"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 xml:space="preserve">February 6, </w:t>
              <w:br/>
              <w:t>2024</w:t>
              <w:br/>
              <w:t xml:space="preserve">(Inception) to </w:t>
              <w:br/>
              <w:t>June 30,</w:t>
              <w:br/>
              <w:t>2024</w:t>
            </w:r>
          </w:p>
        </w:tc>
        <w:tc>
          <w:tcPr>
            <w:tcW w:w="175" w:type="dxa"/>
            <w:tcBorders/>
            <w:vAlign w:val="center"/>
          </w:tcPr>
          <w:p>
            <w:pPr>
              <w:pStyle w:val="TableContents"/>
              <w:bidi w:val="0"/>
              <w:spacing w:before="0" w:after="283"/>
              <w:ind w:left="0" w:right="0" w:hanging="180"/>
              <w:jc w:val="left"/>
              <w:rPr/>
            </w:pPr>
            <w:r>
              <w:rPr/>
              <w:t> </w:t>
            </w:r>
          </w:p>
        </w:tc>
      </w:tr>
      <w:tr>
        <w:trPr/>
        <w:tc>
          <w:tcPr>
            <w:tcW w:w="4236" w:type="dxa"/>
            <w:tcBorders/>
            <w:shd w:fill="CCEEFF" w:val="clear"/>
            <w:vAlign w:val="center"/>
          </w:tcPr>
          <w:p>
            <w:pPr>
              <w:pStyle w:val="TableContents"/>
              <w:bidi w:val="0"/>
              <w:spacing w:before="0" w:after="283"/>
              <w:jc w:val="left"/>
              <w:rPr/>
            </w:pPr>
            <w:r>
              <w:rPr/>
              <w:t>Research and development 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98" w:type="dxa"/>
            <w:tcBorders/>
            <w:shd w:fill="CCEEFF" w:val="clear"/>
            <w:vAlign w:val="center"/>
          </w:tcPr>
          <w:p>
            <w:pPr>
              <w:pStyle w:val="TableContents"/>
              <w:bidi w:val="0"/>
              <w:spacing w:before="0" w:after="283"/>
              <w:jc w:val="right"/>
              <w:rPr/>
            </w:pPr>
            <w:r>
              <w:rPr/>
              <w:t>3,301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883" w:type="dxa"/>
            <w:tcBorders/>
            <w:shd w:fill="CCEEFF" w:val="clear"/>
            <w:vAlign w:val="center"/>
          </w:tcPr>
          <w:p>
            <w:pPr>
              <w:pStyle w:val="TableContents"/>
              <w:bidi w:val="0"/>
              <w:spacing w:before="0" w:after="283"/>
              <w:jc w:val="right"/>
              <w:rPr/>
            </w:pPr>
            <w:r>
              <w:rPr/>
              <w:t>876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5,764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1,070</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4236" w:type="dxa"/>
            <w:tcBorders/>
            <w:vAlign w:val="center"/>
          </w:tcPr>
          <w:p>
            <w:pPr>
              <w:pStyle w:val="TableContents"/>
              <w:bidi w:val="0"/>
              <w:spacing w:before="0" w:after="283"/>
              <w:jc w:val="left"/>
              <w:rPr/>
            </w:pPr>
            <w:r>
              <w:rPr/>
              <w:t>General and administrative personnel-related (excluding stock-based compensation)</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1,717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1,159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3,411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1,925</w:t>
            </w:r>
          </w:p>
        </w:tc>
        <w:tc>
          <w:tcPr>
            <w:tcW w:w="175" w:type="dxa"/>
            <w:tcBorders/>
            <w:vAlign w:val="center"/>
          </w:tcPr>
          <w:p>
            <w:pPr>
              <w:pStyle w:val="TableContents"/>
              <w:bidi w:val="0"/>
              <w:spacing w:before="0" w:after="283"/>
              <w:ind w:left="0" w:right="0" w:hanging="180"/>
              <w:jc w:val="left"/>
              <w:rPr/>
            </w:pPr>
            <w:r>
              <w:rPr/>
              <w:t> </w:t>
            </w:r>
          </w:p>
        </w:tc>
      </w:tr>
      <w:tr>
        <w:trPr/>
        <w:tc>
          <w:tcPr>
            <w:tcW w:w="4236" w:type="dxa"/>
            <w:tcBorders/>
            <w:shd w:fill="CCEEFF" w:val="clear"/>
            <w:vAlign w:val="center"/>
          </w:tcPr>
          <w:p>
            <w:pPr>
              <w:pStyle w:val="TableContents"/>
              <w:bidi w:val="0"/>
              <w:spacing w:before="0" w:after="283"/>
              <w:jc w:val="left"/>
              <w:rPr/>
            </w:pPr>
            <w:r>
              <w:rPr/>
              <w:t>Research and development stock-based compensation</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3,368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468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6,371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538</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4236" w:type="dxa"/>
            <w:tcBorders/>
            <w:vAlign w:val="center"/>
          </w:tcPr>
          <w:p>
            <w:pPr>
              <w:pStyle w:val="TableContents"/>
              <w:bidi w:val="0"/>
              <w:spacing w:before="0" w:after="283"/>
              <w:jc w:val="left"/>
              <w:rPr/>
            </w:pPr>
            <w:r>
              <w:rPr/>
              <w:t>General and administrative stock-based compensation</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1,709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3,589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230</w:t>
            </w:r>
          </w:p>
        </w:tc>
        <w:tc>
          <w:tcPr>
            <w:tcW w:w="175" w:type="dxa"/>
            <w:tcBorders/>
            <w:vAlign w:val="center"/>
          </w:tcPr>
          <w:p>
            <w:pPr>
              <w:pStyle w:val="TableContents"/>
              <w:bidi w:val="0"/>
              <w:spacing w:before="0" w:after="283"/>
              <w:ind w:left="0" w:right="0" w:hanging="180"/>
              <w:jc w:val="left"/>
              <w:rPr/>
            </w:pPr>
            <w:r>
              <w:rPr/>
              <w:t> </w:t>
            </w:r>
          </w:p>
        </w:tc>
      </w:tr>
      <w:tr>
        <w:trPr/>
        <w:tc>
          <w:tcPr>
            <w:tcW w:w="4236" w:type="dxa"/>
            <w:tcBorders/>
            <w:shd w:fill="CCEEFF" w:val="clear"/>
            <w:vAlign w:val="center"/>
          </w:tcPr>
          <w:p>
            <w:pPr>
              <w:pStyle w:val="TableContents"/>
              <w:bidi w:val="0"/>
              <w:spacing w:before="0" w:after="283"/>
              <w:jc w:val="left"/>
              <w:rPr/>
            </w:pPr>
            <w:r>
              <w:rPr/>
              <w:t>External research and development</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16,416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17,113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30,026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22,018</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4236" w:type="dxa"/>
            <w:tcBorders/>
            <w:vAlign w:val="center"/>
          </w:tcPr>
          <w:p>
            <w:pPr>
              <w:pStyle w:val="TableContents"/>
              <w:bidi w:val="0"/>
              <w:spacing w:before="0" w:after="283"/>
              <w:jc w:val="left"/>
              <w:rPr/>
            </w:pPr>
            <w:r>
              <w:rPr/>
              <w:t>Other research and development</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1,002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883" w:type="dxa"/>
            <w:tcBorders/>
            <w:vAlign w:val="center"/>
          </w:tcPr>
          <w:p>
            <w:pPr>
              <w:pStyle w:val="TableContents"/>
              <w:bidi w:val="0"/>
              <w:spacing w:before="0" w:after="283"/>
              <w:jc w:val="right"/>
              <w:rPr/>
            </w:pPr>
            <w:r>
              <w:rPr/>
              <w:t>216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1,851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240</w:t>
            </w:r>
          </w:p>
        </w:tc>
        <w:tc>
          <w:tcPr>
            <w:tcW w:w="175" w:type="dxa"/>
            <w:tcBorders/>
            <w:vAlign w:val="center"/>
          </w:tcPr>
          <w:p>
            <w:pPr>
              <w:pStyle w:val="TableContents"/>
              <w:bidi w:val="0"/>
              <w:spacing w:before="0" w:after="283"/>
              <w:ind w:left="0" w:right="0" w:hanging="180"/>
              <w:jc w:val="left"/>
              <w:rPr/>
            </w:pPr>
            <w:r>
              <w:rPr/>
              <w:t> </w:t>
            </w:r>
          </w:p>
        </w:tc>
      </w:tr>
      <w:tr>
        <w:trPr/>
        <w:tc>
          <w:tcPr>
            <w:tcW w:w="4236" w:type="dxa"/>
            <w:tcBorders/>
            <w:shd w:fill="CCEEFF" w:val="clear"/>
            <w:vAlign w:val="center"/>
          </w:tcPr>
          <w:p>
            <w:pPr>
              <w:pStyle w:val="TableContents"/>
              <w:bidi w:val="0"/>
              <w:spacing w:before="0" w:after="283"/>
              <w:jc w:val="left"/>
              <w:rPr/>
            </w:pPr>
            <w:r>
              <w:rPr/>
              <w:t>General and administrative, excluding personnel-related and stock-based compensation</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shd w:fill="CCEEFF" w:val="clear"/>
            <w:tcMar>
              <w:bottom w:w="28" w:type="dxa"/>
            </w:tcMar>
            <w:vAlign w:val="center"/>
          </w:tcPr>
          <w:p>
            <w:pPr>
              <w:pStyle w:val="TableContents"/>
              <w:bidi w:val="0"/>
              <w:spacing w:before="0" w:after="283"/>
              <w:jc w:val="right"/>
              <w:rPr/>
            </w:pPr>
            <w:r>
              <w:rPr/>
              <w:t>1,446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shd w:fill="CCEEFF" w:val="clear"/>
            <w:tcMar>
              <w:bottom w:w="28" w:type="dxa"/>
            </w:tcMar>
            <w:vAlign w:val="center"/>
          </w:tcPr>
          <w:p>
            <w:pPr>
              <w:pStyle w:val="TableContents"/>
              <w:bidi w:val="0"/>
              <w:spacing w:before="0" w:after="283"/>
              <w:jc w:val="right"/>
              <w:rPr/>
            </w:pPr>
            <w:r>
              <w:rPr/>
              <w:t>2,503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pPr>
            <w:r>
              <w:rPr/>
              <w:t>2,335</w:t>
            </w:r>
          </w:p>
        </w:tc>
        <w:tc>
          <w:tcPr>
            <w:tcW w:w="175" w:type="dxa"/>
            <w:tcBorders/>
            <w:shd w:fill="CCEEFF" w:val="clear"/>
            <w:vAlign w:val="center"/>
          </w:tcPr>
          <w:p>
            <w:pPr>
              <w:pStyle w:val="TableContents"/>
              <w:bidi w:val="0"/>
              <w:spacing w:before="0" w:after="283"/>
              <w:ind w:left="0" w:right="0" w:hanging="180"/>
              <w:jc w:val="left"/>
              <w:rPr/>
            </w:pPr>
            <w:r>
              <w:rPr/>
              <w:t> </w:t>
            </w:r>
          </w:p>
        </w:tc>
      </w:tr>
      <w:tr>
        <w:trPr/>
        <w:tc>
          <w:tcPr>
            <w:tcW w:w="4236" w:type="dxa"/>
            <w:tcBorders/>
            <w:vAlign w:val="center"/>
          </w:tcPr>
          <w:p>
            <w:pPr>
              <w:pStyle w:val="TableContents"/>
              <w:bidi w:val="0"/>
              <w:spacing w:before="0" w:after="283"/>
              <w:jc w:val="left"/>
              <w:rPr/>
            </w:pPr>
            <w:r>
              <w:rPr/>
              <w:t>Total operating expenses</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tcMar>
              <w:bottom w:w="28" w:type="dxa"/>
            </w:tcMar>
            <w:vAlign w:val="center"/>
          </w:tcPr>
          <w:p>
            <w:pPr>
              <w:pStyle w:val="TableContents"/>
              <w:bidi w:val="0"/>
              <w:spacing w:before="0" w:after="283"/>
              <w:jc w:val="right"/>
              <w:rPr/>
            </w:pPr>
            <w:r>
              <w:rPr/>
              <w:t>28,429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83" w:type="dxa"/>
            <w:tcBorders>
              <w:bottom w:val="single" w:sz="12" w:space="0" w:color="000000"/>
            </w:tcBorders>
            <w:tcMar>
              <w:bottom w:w="28" w:type="dxa"/>
            </w:tcMar>
            <w:vAlign w:val="center"/>
          </w:tcPr>
          <w:p>
            <w:pPr>
              <w:pStyle w:val="TableContents"/>
              <w:bidi w:val="0"/>
              <w:spacing w:before="0" w:after="283"/>
              <w:jc w:val="right"/>
              <w:rPr/>
            </w:pPr>
            <w:r>
              <w:rPr/>
              <w:t>21,493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8" w:type="dxa"/>
            <w:tcBorders>
              <w:bottom w:val="single" w:sz="12" w:space="0" w:color="000000"/>
            </w:tcBorders>
            <w:tcMar>
              <w:bottom w:w="28" w:type="dxa"/>
            </w:tcMar>
            <w:vAlign w:val="center"/>
          </w:tcPr>
          <w:p>
            <w:pPr>
              <w:pStyle w:val="TableContents"/>
              <w:bidi w:val="0"/>
              <w:spacing w:before="0" w:after="283"/>
              <w:jc w:val="right"/>
              <w:rPr/>
            </w:pPr>
            <w:r>
              <w:rPr/>
              <w:t>53,515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4" w:type="dxa"/>
            <w:tcBorders>
              <w:bottom w:val="single" w:sz="12" w:space="0" w:color="000000"/>
            </w:tcBorders>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tcMar>
              <w:bottom w:w="28" w:type="dxa"/>
            </w:tcMar>
            <w:vAlign w:val="center"/>
          </w:tcPr>
          <w:p>
            <w:pPr>
              <w:pStyle w:val="TableContents"/>
              <w:bidi w:val="0"/>
              <w:spacing w:before="0" w:after="283"/>
              <w:jc w:val="right"/>
              <w:rPr/>
            </w:pPr>
            <w:r>
              <w:rPr/>
              <w:t>28,356</w:t>
            </w:r>
          </w:p>
        </w:tc>
        <w:tc>
          <w:tcPr>
            <w:tcW w:w="175" w:type="dxa"/>
            <w:tcBorders/>
            <w:vAlign w:val="center"/>
          </w:tcPr>
          <w:p>
            <w:pPr>
              <w:pStyle w:val="TableContents"/>
              <w:bidi w:val="0"/>
              <w:spacing w:before="0" w:after="283"/>
              <w:ind w:left="0" w:right="0" w:hanging="180"/>
              <w:jc w:val="left"/>
              <w:rPr/>
            </w:pPr>
            <w:r>
              <w:rPr/>
              <w:t> </w:t>
            </w:r>
          </w:p>
        </w:tc>
      </w:tr>
      <w:tr>
        <w:trPr/>
        <w:tc>
          <w:tcPr>
            <w:tcW w:w="4236" w:type="dxa"/>
            <w:tcBorders/>
            <w:shd w:fill="CCEEFF" w:val="clear"/>
            <w:vAlign w:val="center"/>
          </w:tcPr>
          <w:p>
            <w:pPr>
              <w:pStyle w:val="TableContents"/>
              <w:bidi w:val="0"/>
              <w:spacing w:before="0" w:after="283"/>
              <w:jc w:val="left"/>
              <w:rPr/>
            </w:pPr>
            <w:r>
              <w:rPr/>
              <w:t>Loss from operations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98" w:type="dxa"/>
            <w:tcBorders>
              <w:bottom w:val="double" w:sz="10" w:space="0" w:color="000000"/>
            </w:tcBorders>
            <w:shd w:fill="CCEEFF" w:val="clear"/>
            <w:tcMar>
              <w:bottom w:w="28" w:type="dxa"/>
            </w:tcMar>
            <w:vAlign w:val="center"/>
          </w:tcPr>
          <w:p>
            <w:pPr>
              <w:pStyle w:val="TableContents"/>
              <w:bidi w:val="0"/>
              <w:spacing w:before="0" w:after="283"/>
              <w:jc w:val="right"/>
              <w:rPr/>
            </w:pPr>
            <w:r>
              <w:rPr/>
              <w:t>(28,429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83" w:type="dxa"/>
            <w:tcBorders>
              <w:bottom w:val="double" w:sz="10" w:space="0" w:color="000000"/>
            </w:tcBorders>
            <w:shd w:fill="CCEEFF" w:val="clear"/>
            <w:tcMar>
              <w:bottom w:w="28" w:type="dxa"/>
            </w:tcMar>
            <w:vAlign w:val="center"/>
          </w:tcPr>
          <w:p>
            <w:pPr>
              <w:pStyle w:val="TableContents"/>
              <w:bidi w:val="0"/>
              <w:spacing w:before="0" w:after="283"/>
              <w:jc w:val="right"/>
              <w:rPr/>
            </w:pPr>
            <w:r>
              <w:rPr/>
              <w:t>(21,493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10" w:space="0" w:color="000000"/>
            </w:tcBorders>
            <w:shd w:fill="CCEEFF" w:val="clear"/>
            <w:tcMar>
              <w:bottom w:w="28" w:type="dxa"/>
            </w:tcMar>
            <w:vAlign w:val="center"/>
          </w:tcPr>
          <w:p>
            <w:pPr>
              <w:pStyle w:val="TableContents"/>
              <w:bidi w:val="0"/>
              <w:spacing w:before="0" w:after="283"/>
              <w:jc w:val="right"/>
              <w:rPr/>
            </w:pPr>
            <w:r>
              <w:rPr/>
              <w:t>(53,515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pPr>
            <w:r>
              <w:rPr/>
              <w:t>(28,356</w:t>
            </w:r>
          </w:p>
        </w:tc>
        <w:tc>
          <w:tcPr>
            <w:tcW w:w="17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Option Agreements and License Agreements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two antibody discovery and option agreements (the “Option Agreements”) with Paragon Therapeutics, Inc. (“Paragon”) and Paruka. Under the terms of each agreement, Paragon identifies, evaluates, and develops antibodies directed against certain mutually agreed therapeutic targets of interest to the Company. From time to time, the Company can choose to add additional targets to the collaboration upon agreement with Paragon and Paruka. Under the Option Agreements, the Company has the exclusive option to, on a research program-by-research program basis, be granted an exclusive, worldwide license to all of Paragon’s rights, titles, and interest in and to the intellectual property resulting from the applicable research program to develop, manufacture, and commercialize the antibodies and products directed to the selected target(s). The Company has initiated certain research programs with Paragon that generally focus on discovering, generating, identifying and/or characterizing antibodies directed to a particular target (each, a “Research Program”), including for IL-23 and IL-17A/F for ORKA-001 and ORKA-002, respectively. The exclusive option with respect to each Research Program is exercisable at the Company’s sole discretion at such time as specified in the Option Agreements (the “Option Period”). There is no payment due upon exercise of an Option pursuant to the Option Agreements. For each of these agreements, once the Company enters into the corresponding license agreement, it will be required to make non-refundable milestone payments to Paragon of up to $12.0 million under each respective agreement upon the achievement of certain clinical development milestones, up to $10.0 million under each respective agreement upon the achievement of certain regulatory milestones, as well as a low single-digit percentage royalty for antibody products beginning on the first commercial sale in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any Option Agreement or any Research Program at any time for any or no reason upon 30 days’ prior written notice to Paragon, provided that it must pay certain unpaid fees due to Paragon upon such termination, as well as any non-cancellable obligations reasonably incurred by Paragon in connection with its activities under any terminated Research Program. Paragon may terminate any Option Agreement or Research Program immediately upon written notice to the Company if, as a result of any action or failure to act by the Company or its affiliates, such Research Program or all material activities under the applicable Research Plan are suspended, discontinued or otherwise delayed for a certain consecutive number of months. Each party has the right to terminate the Option Agreements or any Research Program upon material breach that remains uncured or the other party’s bankruptcy.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 Agreements – Paragon Therapeutics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the Company exercised its exclusive option to acquire certain rights to ORKA-001, and in December 2024, it entered into a corresponding license agreement with Paragon (the “ORKA-001 License Agreement”), pursuant to which Paragon granted the Company a royalty-bearing, world-wide, exclusive license to develop, manufacture, commercialize, or otherwise exploit certain antibodies and products targeting IL-23 in all fields other than the field of inflammatory bowel disease (“ORKA-001 Field”). In December 2024, the Company exercised its exclusive option to acquire certain rights to ORKA-002, and in February 2025, it entered into the corresponding license agreement with Paragon (the “ORKA-002 License Agreement” and together with the ORKA-001 License Agreement, the “License Agreements”), pursuant to which Paragon granted the Company a royalty-bearing, world-wide, exclusive license to develop, manufacture, commercialize, or otherwise exploit certain antibodies and products targeting IL-17A/F in all fields (“ORKA-002 Field” and together with the ORKA-001 Field, the “Fields”). Pursuant to each of the two License Agreements, Paragon has agreed not to conduct any new campaigns that generate anti-IL-23 monospecific antibodies or anti-IL-17A/F monospecific antibodies in the respective agreed-upon fields.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 Agreements provide the Company with exclusive licenses in the Fields to Paragon’s patent applications covering the related antibodies, their method of use and their method of manufacture and Paragon has agreed not to conduct any new campaigns that generate anti-IL-23 monospecific antibodies or anti-IL-17A/F monospecific antibodies for the ORKA-001 Field or the ORKA-002 Field, respectively, for at least five years. Each of the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the Company is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the Company is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a Company product. There is also a royalty step-down if there is no Paragon patent in effect during the royalty term for each program. Each of the License Agreements may be terminated on 60 days’ notice to Paragon, on material breach without cure, and on a party’s insolvency or bankruptcy to the extent permitted by law. As of June 30, 2025, the Company has incurred and expensed milestone payments of $4.0 million for each of the License Agreements. Subsequent to the quarter end, the Company dosed the first patient in a Phase 2a clinical trial for ORKA-001. In the third quarter of 2025, the Company accrued for the additional milestone payment of $3.0 million under the ORKA-001 License Agreement, as it became probable that the milestone would be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part of the Option Agreements, on December 31, 2024 the Company granted and on December 31, 2025, will grant Paruka a warrant to purchase a number of shares equal to 1.00% of outstanding shares as of the date of the grant on a fully-diluted basis, with an exercise price equal to the fair market value of the underlying shares on the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on a research program-by-research program basis following the finalization of the research plan for each respective research program, the Company is required to pay certain initiation fees, development costs and milestone payments to Paragon. For the ORKA-001 program, the Company recognized research and development expenses related to the following milestones during the period from February 6, 2024 (inception) to December 31, 2024: a one-time, nonrefundable research initiation fee of $0.8 million; $1.5 million related to exercising its option and achievement of development candidate; and $2.5 million related to completing the first dosing of a human subject in a Phase 1 trial. The Company was responsible for 50% of the development costs incurred through the completion of the IL-23 selection process, which was completed in June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ORKA-002 program, the Company recognized research and development expenses related to the following milestones during the period from February 6, 2024 (inception) to December 31, 2024: a one-time, nonrefundable research initiation fee of $0.8 million and $1.5 million related to exercising its option and achievement of development candidate. The Company was responsible for the development costs incurred through the completion of the IL-23 selection process, which was completed in December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during the three and six months ended June 30, 2025, the Company’s share of research and development expenses for ORKA-001 program for the periods were nil. For the three months ended June 30, 2024, and the period from February 6, 2024 (inception) to June 30, 2024, the Company’s share of research and development expenses, including research initiation fee, incurred for ORKA-001 program for the periods were $12.4 million and $13.2 million, respectively. These costs were recorded as research and development expenses. As of June 30, 2025 and December 31, 2024, nil and $12.4 million, respectively, related to ORKA-001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Option Agreements, during the three and six months ended June 30, 2025, the Company’s share of research and development expenses for ORKA-002 program was nil and $0.1 million, respectively. For the three months ended June 30, 2024, and the period from February 6, 2024 (inception) to June 30, 2024, the Company’s share of research and development expense, including research initiation fee, incurred for ORKA-002 program for the periods were $2.7 million and $6.9 million, respectively. The Company recognized a milestone payment of $2.5 million related to completing the first dosing of a human subject in a Phase 1 trial milestone during the three and six months ended June 30, 2025. These costs were recorded as research and development expenses. As of June 30, 2025 and December 31, 2024, nil and $2.7 million, respectively, related to ORKA-002 were included in related party accounts payable and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2025, the Company recognized $4.2 million and $5.7 million, respectively, of expenses in connection with services provided by Paragon and Paruka under the Option Agreements. For the three months ended June 30, 2024, and the period from February 6, 2024 (inception) to June 30, 2024, the Company recognized $15.4 million and $20.4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expenses the service fees as the associated costs are incurred when the underlying services are rendered. Such amounts are classified within research and development expenses in the accompanying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rights obtained under the Option Agreements represent an asset acquisition whereby the underlying assets comprise in-process research and development assets with no alternative future use. The Option Agreements did not qualify as a business combination because substantially all of the fair value of the assets acquired was concentrated in the exclusive license options, which represent a group of similar identifiable assets. The research initiation fee represents a one-time cost on a research program-by-research program basis for accessing research services or resources with benefits that are expected to be consumed in the near term, therefore the amounts paid are expensed as part of research and development costs immediately. Amounts paid as reimbursements of ongoing development cost, monthly development cost fee and additional development expenses incurred by Paragon due to work completed for selected targets prior to the effective date of the Option Agreements that is associated with services being rendered under the related Research Programs are recognized as research and development expense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Commitments and Contingencies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entered into an operating lease agreement for the Company’s headquarters in Menlo Park, California, which commenced on June 15, 2024 with an initial term of 39.5 months. In February 2025, the Company entered into an operating lease agreement in Waltham, Massachusetts, which commenced on April 1, 2025 with an initial term of 54 months. The Company leases office spaces under noncancelable operating lease agreements. Lease liabilities are based on the net present value of the remaining lease payments over the remaining lease terms. In determining the present value of lease payments, the Company used its incremental borrowing rate when measuring operating lease liabilities as discount rates were not implicit or readily determinable.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operating lease arrangement for the Company’s headquarters in Menlo Park, California had a remaining lease term of 27 months and a discount rate of 17.95%. As of June 30, 2025, the operating lease arrangement for the Company’s lease in Waltham, Massachusetts had a remaining lease term of 51 months and a discount rate of 9.95%. For the three and six months ended June 30, 2025, the Company recorded operating and variable lease expenses of $0.3 million and $0.4 million, respectively, in general and administrative expenses in its condensed consolidated statement of operations and comprehensive loss. For the three months ended June 30, 2024 and the period from February 6, 2024 (inception) to June 30, 2024, the Company recorded operating and variable lease expenses of less than $0.1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supplemental cash flow information related to leases (in thousands):</w:t>
      </w:r>
    </w:p>
    <w:p>
      <w:pPr>
        <w:pStyle w:val="TextBody"/>
        <w:bidi w:val="0"/>
        <w:spacing w:before="0" w:after="0"/>
        <w:ind w:left="0" w:right="0" w:hanging="0"/>
        <w:jc w:val="both"/>
        <w:rPr>
          <w:caps w:val="false"/>
          <w:smallCaps w:val="false"/>
        </w:rPr>
      </w:pPr>
      <w:r>
        <w:rPr>
          <w:caps w:val="false"/>
          <w:smallCaps w:val="false"/>
        </w:rPr>
        <w:t> </w:t>
      </w:r>
    </w:p>
    <w:tbl>
      <w:tblPr>
        <w:tblW w:w="8124" w:type="dxa"/>
        <w:jc w:val="left"/>
        <w:tblInd w:w="0" w:type="dxa"/>
        <w:tblLayout w:type="fixed"/>
        <w:tblCellMar>
          <w:top w:w="0" w:type="dxa"/>
          <w:left w:w="0" w:type="dxa"/>
          <w:bottom w:w="0" w:type="dxa"/>
          <w:right w:w="0" w:type="dxa"/>
        </w:tblCellMar>
      </w:tblPr>
      <w:tblGrid>
        <w:gridCol w:w="6635"/>
        <w:gridCol w:w="90"/>
        <w:gridCol w:w="370"/>
        <w:gridCol w:w="894"/>
        <w:gridCol w:w="135"/>
      </w:tblGrid>
      <w:tr>
        <w:trPr/>
        <w:tc>
          <w:tcPr>
            <w:tcW w:w="6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w:t>
              <w:br/>
              <w:t>Ended</w:t>
              <w:br/>
              <w:t>June 30,</w:t>
              <w:br/>
              <w:t>2025</w:t>
            </w:r>
          </w:p>
        </w:tc>
        <w:tc>
          <w:tcPr>
            <w:tcW w:w="135" w:type="dxa"/>
            <w:tcBorders/>
            <w:vAlign w:val="center"/>
          </w:tcPr>
          <w:p>
            <w:pPr>
              <w:pStyle w:val="TableContents"/>
              <w:bidi w:val="0"/>
              <w:spacing w:before="0" w:after="283"/>
              <w:jc w:val="left"/>
              <w:rPr/>
            </w:pPr>
            <w:r>
              <w:rPr/>
              <w:t> </w:t>
            </w:r>
          </w:p>
        </w:tc>
      </w:tr>
      <w:tr>
        <w:trPr/>
        <w:tc>
          <w:tcPr>
            <w:tcW w:w="6635" w:type="dxa"/>
            <w:tcBorders/>
            <w:shd w:fill="CCEEFF" w:val="clear"/>
            <w:vAlign w:val="center"/>
          </w:tcPr>
          <w:p>
            <w:pPr>
              <w:pStyle w:val="TableContents"/>
              <w:bidi w:val="0"/>
              <w:spacing w:before="0" w:after="283"/>
              <w:jc w:val="left"/>
              <w:rPr/>
            </w:pPr>
            <w:r>
              <w:rPr/>
              <w:t>Cash paid for amounts included in the measurement of lease liabilities</w:t>
            </w:r>
          </w:p>
        </w:tc>
        <w:tc>
          <w:tcPr>
            <w:tcW w:w="90"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w:t>
            </w:r>
          </w:p>
        </w:tc>
        <w:tc>
          <w:tcPr>
            <w:tcW w:w="894" w:type="dxa"/>
            <w:tcBorders/>
            <w:shd w:fill="CCEEFF" w:val="clear"/>
            <w:vAlign w:val="center"/>
          </w:tcPr>
          <w:p>
            <w:pPr>
              <w:pStyle w:val="TableContents"/>
              <w:bidi w:val="0"/>
              <w:spacing w:before="0" w:after="283"/>
              <w:jc w:val="right"/>
              <w:rPr/>
            </w:pPr>
            <w:r>
              <w:rPr/>
              <w:t>147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 maturity analysis of the Company’s operating lease liabilities showing the aggregate lease payments as of June 30, 2025 (in thousands): </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0" w:type="dxa"/>
          <w:left w:w="0" w:type="dxa"/>
          <w:bottom w:w="28" w:type="dxa"/>
          <w:right w:w="0" w:type="dxa"/>
        </w:tblCellMar>
      </w:tblPr>
      <w:tblGrid>
        <w:gridCol w:w="3560"/>
        <w:gridCol w:w="90"/>
        <w:gridCol w:w="199"/>
        <w:gridCol w:w="691"/>
        <w:gridCol w:w="170"/>
      </w:tblGrid>
      <w:tr>
        <w:trPr/>
        <w:tc>
          <w:tcPr>
            <w:tcW w:w="3560" w:type="dxa"/>
            <w:tcBorders>
              <w:bottom w:val="single" w:sz="12" w:space="0" w:color="000000"/>
            </w:tcBorders>
            <w:vAlign w:val="center"/>
          </w:tcPr>
          <w:p>
            <w:pPr>
              <w:pStyle w:val="TableContents"/>
              <w:bidi w:val="0"/>
              <w:spacing w:before="0" w:after="283"/>
              <w:jc w:val="left"/>
              <w:rPr>
                <w:b/>
              </w:rPr>
            </w:pPr>
            <w:r>
              <w:rPr>
                <w:b/>
              </w:rPr>
              <w:t>Year ending December 31,</w:t>
            </w:r>
          </w:p>
        </w:tc>
        <w:tc>
          <w:tcPr>
            <w:tcW w:w="9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2025 (remainder of the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w:t>
            </w:r>
          </w:p>
        </w:tc>
        <w:tc>
          <w:tcPr>
            <w:tcW w:w="691" w:type="dxa"/>
            <w:tcBorders/>
            <w:shd w:fill="CCEEFF" w:val="clear"/>
            <w:tcMar>
              <w:bottom w:w="0" w:type="dxa"/>
            </w:tcMar>
            <w:vAlign w:val="center"/>
          </w:tcPr>
          <w:p>
            <w:pPr>
              <w:pStyle w:val="TableContents"/>
              <w:bidi w:val="0"/>
              <w:spacing w:before="0" w:after="283"/>
              <w:jc w:val="right"/>
              <w:rPr/>
            </w:pPr>
            <w:r>
              <w:rPr/>
              <w:t>527</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2026</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822</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shd w:fill="CCEEFF" w:val="clear"/>
            <w:tcMar>
              <w:bottom w:w="0" w:type="dxa"/>
            </w:tcMar>
            <w:vAlign w:val="center"/>
          </w:tcPr>
          <w:p>
            <w:pPr>
              <w:pStyle w:val="TableContents"/>
              <w:bidi w:val="0"/>
              <w:spacing w:before="0" w:after="283"/>
              <w:jc w:val="left"/>
              <w:rPr/>
            </w:pPr>
            <w:r>
              <w:rPr/>
              <w:t> </w:t>
            </w:r>
          </w:p>
        </w:tc>
        <w:tc>
          <w:tcPr>
            <w:tcW w:w="691" w:type="dxa"/>
            <w:tcBorders/>
            <w:shd w:fill="CCEEFF" w:val="clear"/>
            <w:tcMar>
              <w:bottom w:w="0" w:type="dxa"/>
            </w:tcMar>
            <w:vAlign w:val="center"/>
          </w:tcPr>
          <w:p>
            <w:pPr>
              <w:pStyle w:val="TableContents"/>
              <w:bidi w:val="0"/>
              <w:spacing w:before="0" w:after="283"/>
              <w:jc w:val="right"/>
              <w:rPr/>
            </w:pPr>
            <w:r>
              <w:rPr/>
              <w:t>768</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2028</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397</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2029</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304</w:t>
            </w:r>
          </w:p>
        </w:tc>
        <w:tc>
          <w:tcPr>
            <w:tcW w:w="170" w:type="dxa"/>
            <w:tcBorders/>
            <w:shd w:fill="CCEEFF" w:val="clear"/>
            <w:tcMar>
              <w:bottom w:w="0" w:type="dxa"/>
            </w:tcMar>
            <w:vAlign w:val="center"/>
          </w:tcPr>
          <w:p>
            <w:pPr>
              <w:pStyle w:val="TableContents"/>
              <w:bidi w:val="0"/>
              <w:spacing w:before="0" w:after="283"/>
              <w:jc w:val="left"/>
              <w:rPr/>
            </w:pPr>
            <w:r>
              <w:rPr/>
              <w:t> </w:t>
            </w:r>
          </w:p>
        </w:tc>
      </w:tr>
      <w:tr>
        <w:trPr/>
        <w:tc>
          <w:tcPr>
            <w:tcW w:w="3560" w:type="dxa"/>
            <w:tcBorders/>
            <w:tcMar>
              <w:bottom w:w="0" w:type="dxa"/>
            </w:tcMar>
            <w:vAlign w:val="center"/>
          </w:tcPr>
          <w:p>
            <w:pPr>
              <w:pStyle w:val="TableContents"/>
              <w:bidi w:val="0"/>
              <w:spacing w:before="0" w:after="283"/>
              <w:jc w:val="left"/>
              <w:rPr/>
            </w:pPr>
            <w:r>
              <w:rPr/>
              <w:t>Total undiscounted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2,818</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Less: imputed interest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(492</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60" w:type="dxa"/>
            <w:tcBorders/>
            <w:tcMar>
              <w:bottom w:w="0" w:type="dxa"/>
            </w:tcMar>
            <w:vAlign w:val="center"/>
          </w:tcPr>
          <w:p>
            <w:pPr>
              <w:pStyle w:val="TableContents"/>
              <w:bidi w:val="0"/>
              <w:spacing w:before="0" w:after="283"/>
              <w:jc w:val="left"/>
              <w:rPr/>
            </w:pPr>
            <w:r>
              <w:rPr/>
              <w:t>Total discounted lease payments</w:t>
            </w:r>
          </w:p>
        </w:tc>
        <w:tc>
          <w:tcPr>
            <w:tcW w:w="9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691" w:type="dxa"/>
            <w:tcBorders/>
            <w:tcMar>
              <w:bottom w:w="0" w:type="dxa"/>
            </w:tcMar>
            <w:vAlign w:val="center"/>
          </w:tcPr>
          <w:p>
            <w:pPr>
              <w:pStyle w:val="TableContents"/>
              <w:bidi w:val="0"/>
              <w:spacing w:before="0" w:after="283"/>
              <w:jc w:val="right"/>
              <w:rPr/>
            </w:pPr>
            <w:r>
              <w:rPr/>
              <w:t>2,326</w:t>
            </w:r>
          </w:p>
        </w:tc>
        <w:tc>
          <w:tcPr>
            <w:tcW w:w="170" w:type="dxa"/>
            <w:tcBorders/>
            <w:tcMar>
              <w:bottom w:w="0" w:type="dxa"/>
            </w:tcMar>
            <w:vAlign w:val="center"/>
          </w:tcPr>
          <w:p>
            <w:pPr>
              <w:pStyle w:val="TableContents"/>
              <w:bidi w:val="0"/>
              <w:spacing w:before="0" w:after="283"/>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pPr>
            <w:r>
              <w:rPr/>
              <w:t>Less: current portion of lease liability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9" w:type="dxa"/>
            <w:tcBorders>
              <w:bottom w:val="single" w:sz="12" w:space="0" w:color="000000"/>
            </w:tcBorders>
            <w:shd w:fill="CCEEFF" w:val="clear"/>
            <w:vAlign w:val="center"/>
          </w:tcPr>
          <w:p>
            <w:pPr>
              <w:pStyle w:val="TableContents"/>
              <w:bidi w:val="0"/>
              <w:spacing w:before="0" w:after="283"/>
              <w:jc w:val="left"/>
              <w:rPr/>
            </w:pPr>
            <w:r>
              <w:rPr/>
              <w:t> </w:t>
            </w:r>
          </w:p>
        </w:tc>
        <w:tc>
          <w:tcPr>
            <w:tcW w:w="691" w:type="dxa"/>
            <w:tcBorders>
              <w:bottom w:val="single" w:sz="12" w:space="0" w:color="000000"/>
            </w:tcBorders>
            <w:shd w:fill="CCEEFF" w:val="clear"/>
            <w:vAlign w:val="center"/>
          </w:tcPr>
          <w:p>
            <w:pPr>
              <w:pStyle w:val="TableContents"/>
              <w:bidi w:val="0"/>
              <w:spacing w:before="0" w:after="283"/>
              <w:jc w:val="right"/>
              <w:rPr/>
            </w:pPr>
            <w:r>
              <w:rPr/>
              <w:t>(660</w:t>
            </w:r>
          </w:p>
        </w:tc>
        <w:tc>
          <w:tcPr>
            <w:tcW w:w="170" w:type="dxa"/>
            <w:tcBorders/>
            <w:shd w:fill="CCEEFF" w:val="clear"/>
            <w:tcMar>
              <w:bottom w:w="0" w:type="dxa"/>
            </w:tcMar>
            <w:vAlign w:val="center"/>
          </w:tcPr>
          <w:p>
            <w:pPr>
              <w:pStyle w:val="TableContents"/>
              <w:bidi w:val="0"/>
              <w:spacing w:before="0" w:after="283"/>
              <w:jc w:val="left"/>
              <w:rPr/>
            </w:pPr>
            <w:r>
              <w:rPr/>
              <w:t>)</w:t>
            </w:r>
          </w:p>
        </w:tc>
      </w:tr>
      <w:tr>
        <w:trPr/>
        <w:tc>
          <w:tcPr>
            <w:tcW w:w="3560" w:type="dxa"/>
            <w:tcBorders/>
            <w:tcMar>
              <w:bottom w:w="0" w:type="dxa"/>
            </w:tcMar>
            <w:vAlign w:val="center"/>
          </w:tcPr>
          <w:p>
            <w:pPr>
              <w:pStyle w:val="TableContents"/>
              <w:bidi w:val="0"/>
              <w:spacing w:before="0" w:after="283"/>
              <w:jc w:val="left"/>
              <w:rPr/>
            </w:pPr>
            <w:r>
              <w:rPr/>
              <w:t>Non-current portion of lease liability</w:t>
            </w:r>
          </w:p>
        </w:tc>
        <w:tc>
          <w:tcPr>
            <w:tcW w:w="90" w:type="dxa"/>
            <w:tcBorders/>
            <w:tcMar>
              <w:bottom w:w="0" w:type="dxa"/>
            </w:tcMar>
            <w:vAlign w:val="center"/>
          </w:tcPr>
          <w:p>
            <w:pPr>
              <w:pStyle w:val="TableContents"/>
              <w:bidi w:val="0"/>
              <w:spacing w:before="0" w:after="283"/>
              <w:jc w:val="left"/>
              <w:rPr/>
            </w:pPr>
            <w:r>
              <w:rPr/>
              <w:t> </w:t>
            </w:r>
          </w:p>
        </w:tc>
        <w:tc>
          <w:tcPr>
            <w:tcW w:w="199" w:type="dxa"/>
            <w:tcBorders>
              <w:bottom w:val="double" w:sz="10" w:space="0" w:color="000000"/>
            </w:tcBorders>
            <w:vAlign w:val="center"/>
          </w:tcPr>
          <w:p>
            <w:pPr>
              <w:pStyle w:val="TableContents"/>
              <w:bidi w:val="0"/>
              <w:spacing w:before="0" w:after="283"/>
              <w:jc w:val="left"/>
              <w:rPr/>
            </w:pPr>
            <w:r>
              <w:rPr/>
              <w:t>$</w:t>
            </w:r>
          </w:p>
        </w:tc>
        <w:tc>
          <w:tcPr>
            <w:tcW w:w="691" w:type="dxa"/>
            <w:tcBorders>
              <w:bottom w:val="double" w:sz="10" w:space="0" w:color="000000"/>
            </w:tcBorders>
            <w:vAlign w:val="center"/>
          </w:tcPr>
          <w:p>
            <w:pPr>
              <w:pStyle w:val="TableContents"/>
              <w:bidi w:val="0"/>
              <w:spacing w:before="0" w:after="283"/>
              <w:jc w:val="right"/>
              <w:rPr/>
            </w:pPr>
            <w:r>
              <w:rPr/>
              <w:t>1,666</w:t>
            </w:r>
          </w:p>
        </w:tc>
        <w:tc>
          <w:tcPr>
            <w:tcW w:w="1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License Agreement</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the Cell Line License Agreement (the “Cell Line License Agreement”) with WuXi Biologics Ireland Limited (“WuXi Biologics”). Under the Cell Line License Agreement, the Company received a non-exclusive, worldwide, sublicensable license to certain of WuXi Biologics’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in certain manufacturing activities in support of the ORKA-001 and ORKA-002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license, the Company agreed to pay WuXi Biologics a non-refundable license fee of $150,000, which was recognized as a research and development expense during the period from February 6, 2024 (inception) to December 31, 2024. Additionally, to the extent that the Company manufactures its commercial supplies of bulk drug product with a manufacturer other than WuXi Biologics or its affiliates, the Company is required to make royalty payments to WuXi Biologics at a rate of less than one percent of net sales of WuXi Biologics Licensed Products manufactured by the third-party manufacturer. Pursuant to an amendment to the Cell Line License Agreement effective in November 2024, a provision was added that permits the royalties owed under the agreement to be bought out on a product-by-product basis for a lump-sum payment.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Cell Line License Agreement will continue indefinitely unless terminated (i) by the Company upon six months’ prior written notice and its payment of all undisputed amounts due to WuXi Biologics through the effective date of termination, (ii) by WuXi Biologics for a material breach by the Company that remains uncured for 60 days after written notice, (iii) by WuXi Biologics if the Company fails to make a payment and such failure continues for 30 days after receiving notice of such failure, or (iv) by either party upon the other party’s bankruptcy.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currently party to any material legal proceedings. At each reporting date, the Company evaluates whether or not a potential loss amount or a potential range of loss is probable and reasonably estimable under the provisions of FASB ASC Topic 450, Contingencies (“ASC 450”). The Company expenses as incurred the costs related to its 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Net Loss per Share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basic and diluted net loss per share attributable to stockholders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7"/>
        <w:gridCol w:w="90"/>
        <w:gridCol w:w="238"/>
        <w:gridCol w:w="1104"/>
        <w:gridCol w:w="129"/>
        <w:gridCol w:w="93"/>
        <w:gridCol w:w="97"/>
        <w:gridCol w:w="1219"/>
        <w:gridCol w:w="93"/>
        <w:gridCol w:w="93"/>
        <w:gridCol w:w="190"/>
        <w:gridCol w:w="745"/>
        <w:gridCol w:w="125"/>
        <w:gridCol w:w="90"/>
        <w:gridCol w:w="198"/>
        <w:gridCol w:w="901"/>
        <w:gridCol w:w="134"/>
        <w:gridCol w:w="97"/>
        <w:gridCol w:w="107"/>
        <w:gridCol w:w="1203"/>
        <w:gridCol w:w="97"/>
        <w:gridCol w:w="97"/>
        <w:gridCol w:w="221"/>
        <w:gridCol w:w="696"/>
        <w:gridCol w:w="161"/>
      </w:tblGrid>
      <w:tr>
        <w:trPr/>
        <w:tc>
          <w:tcPr>
            <w:tcW w:w="1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0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June 30, 2024</w:t>
            </w:r>
          </w:p>
        </w:tc>
        <w:tc>
          <w:tcPr>
            <w:tcW w:w="161" w:type="dxa"/>
            <w:tcBorders/>
            <w:vAlign w:val="center"/>
          </w:tcPr>
          <w:p>
            <w:pPr>
              <w:pStyle w:val="TableContents"/>
              <w:bidi w:val="0"/>
              <w:spacing w:before="0" w:after="283"/>
              <w:jc w:val="left"/>
              <w:rPr/>
            </w:pPr>
            <w:r>
              <w:rPr/>
              <w:t> </w:t>
            </w:r>
          </w:p>
        </w:tc>
      </w:tr>
      <w:tr>
        <w:trPr/>
        <w:tc>
          <w:tcPr>
            <w:tcW w:w="198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29"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3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61" w:type="dxa"/>
            <w:tcBorders/>
            <w:vAlign w:val="center"/>
          </w:tcPr>
          <w:p>
            <w:pPr>
              <w:pStyle w:val="TableContents"/>
              <w:bidi w:val="0"/>
              <w:spacing w:before="0" w:after="283"/>
              <w:ind w:left="0" w:right="0" w:hanging="180"/>
              <w:jc w:val="left"/>
              <w:rPr/>
            </w:pPr>
            <w:r>
              <w:rPr/>
              <w:t> </w:t>
            </w:r>
          </w:p>
        </w:tc>
      </w:tr>
      <w:tr>
        <w:trPr/>
        <w:tc>
          <w:tcPr>
            <w:tcW w:w="1987"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04" w:type="dxa"/>
            <w:tcBorders/>
            <w:shd w:fill="CCEEFF" w:val="clear"/>
            <w:vAlign w:val="center"/>
          </w:tcPr>
          <w:p>
            <w:pPr>
              <w:pStyle w:val="TableContents"/>
              <w:bidi w:val="0"/>
              <w:spacing w:before="0" w:after="283"/>
              <w:jc w:val="right"/>
              <w:rPr/>
            </w:pPr>
            <w:r>
              <w:rPr/>
              <w:t>(19,327</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42,095,951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45" w:type="dxa"/>
            <w:tcBorders/>
            <w:shd w:fill="CCEEFF" w:val="clear"/>
            <w:vAlign w:val="center"/>
          </w:tcPr>
          <w:p>
            <w:pPr>
              <w:pStyle w:val="TableContents"/>
              <w:bidi w:val="0"/>
              <w:spacing w:before="0" w:after="283"/>
              <w:jc w:val="right"/>
              <w:rPr/>
            </w:pPr>
            <w:r>
              <w:rPr/>
              <w:t>(0.46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901" w:type="dxa"/>
            <w:tcBorders/>
            <w:shd w:fill="CCEEFF" w:val="clear"/>
            <w:vAlign w:val="center"/>
          </w:tcPr>
          <w:p>
            <w:pPr>
              <w:pStyle w:val="TableContents"/>
              <w:bidi w:val="0"/>
              <w:spacing w:before="0" w:after="283"/>
              <w:jc w:val="right"/>
              <w:rPr/>
            </w:pPr>
            <w:r>
              <w:rPr/>
              <w:t>(22,243</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3,197,975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696" w:type="dxa"/>
            <w:tcBorders/>
            <w:shd w:fill="CCEEFF" w:val="clear"/>
            <w:vAlign w:val="center"/>
          </w:tcPr>
          <w:p>
            <w:pPr>
              <w:pStyle w:val="TableContents"/>
              <w:bidi w:val="0"/>
              <w:spacing w:before="0" w:after="283"/>
              <w:jc w:val="right"/>
              <w:rPr/>
            </w:pPr>
            <w:r>
              <w:rPr/>
              <w:t>(6.96</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1987" w:type="dxa"/>
            <w:tcBorders/>
            <w:vAlign w:val="center"/>
          </w:tcPr>
          <w:p>
            <w:pPr>
              <w:pStyle w:val="TableContents"/>
              <w:bidi w:val="0"/>
              <w:spacing w:before="0" w:after="283"/>
              <w:jc w:val="left"/>
              <w:rPr>
                <w:sz w:val="20"/>
              </w:rPr>
            </w:pPr>
            <w:r>
              <w:rPr>
                <w:sz w:val="20"/>
              </w:rPr>
              <w:t>Company Series B Preferred Stock</w:t>
            </w:r>
            <w:r>
              <w:rPr>
                <w:position w:val="7"/>
                <w:sz w:val="16"/>
                <w:sz w:val="20"/>
              </w:rPr>
              <w:t>(1)</w:t>
            </w:r>
          </w:p>
        </w:tc>
        <w:tc>
          <w:tcPr>
            <w:tcW w:w="90" w:type="dxa"/>
            <w:tcBorders/>
            <w:vAlign w:val="center"/>
          </w:tcPr>
          <w:p>
            <w:pPr>
              <w:pStyle w:val="TableContents"/>
              <w:bidi w:val="0"/>
              <w:spacing w:before="0" w:after="283"/>
              <w:jc w:val="left"/>
              <w:rPr/>
            </w:pPr>
            <w:r>
              <w:rPr/>
              <w:t> </w:t>
            </w:r>
          </w:p>
        </w:tc>
        <w:tc>
          <w:tcPr>
            <w:tcW w:w="238" w:type="dxa"/>
            <w:tcBorders>
              <w:bottom w:val="single" w:sz="12" w:space="0" w:color="000000"/>
            </w:tcBorders>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tcMar>
              <w:bottom w:w="28" w:type="dxa"/>
            </w:tcMar>
            <w:vAlign w:val="center"/>
          </w:tcPr>
          <w:p>
            <w:pPr>
              <w:pStyle w:val="TableContents"/>
              <w:bidi w:val="0"/>
              <w:spacing w:before="0" w:after="283"/>
              <w:jc w:val="right"/>
              <w:rPr/>
            </w:pPr>
            <w:r>
              <w:rPr/>
              <w:t>(5,247</w:t>
            </w:r>
          </w:p>
        </w:tc>
        <w:tc>
          <w:tcPr>
            <w:tcW w:w="129"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137,138</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45" w:type="dxa"/>
            <w:tcBorders/>
            <w:vAlign w:val="center"/>
          </w:tcPr>
          <w:p>
            <w:pPr>
              <w:pStyle w:val="TableContents"/>
              <w:bidi w:val="0"/>
              <w:spacing w:before="0" w:after="283"/>
              <w:jc w:val="right"/>
              <w:rPr/>
            </w:pPr>
            <w:r>
              <w:rPr/>
              <w:t>(38.26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0"/>
              <w:jc w:val="right"/>
              <w:rPr/>
            </w:pPr>
            <w:r>
              <w:rPr/>
              <w:t>—</w:t>
            </w:r>
          </w:p>
        </w:tc>
        <w:tc>
          <w:tcPr>
            <w:tcW w:w="134"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696"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1987"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3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(24,574</w:t>
            </w:r>
          </w:p>
        </w:tc>
        <w:tc>
          <w:tcPr>
            <w:tcW w:w="129"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pPr>
            <w:r>
              <w:rPr/>
              <w:t>(22,243</w:t>
            </w:r>
          </w:p>
        </w:tc>
        <w:tc>
          <w:tcPr>
            <w:tcW w:w="134" w:type="dxa"/>
            <w:tcBorders/>
            <w:shd w:fill="CCEEFF" w:val="clear"/>
            <w:vAlign w:val="center"/>
          </w:tcPr>
          <w:p>
            <w:pPr>
              <w:pStyle w:val="TableContents"/>
              <w:bidi w:val="0"/>
              <w:spacing w:before="0" w:after="283"/>
              <w:jc w:val="left"/>
              <w:rPr/>
            </w:pPr>
            <w:r>
              <w:rPr/>
              <w:t>)</w:t>
            </w:r>
          </w:p>
        </w:tc>
        <w:tc>
          <w:tcPr>
            <w:tcW w:w="9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(1)</w:t>
            </w:r>
          </w:p>
        </w:tc>
        <w:tc>
          <w:tcPr>
            <w:tcW w:w="993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number of shares of as-converted Company Series B Preferred Stock used in the loss allocation was 11,428,129 for the three months ended June 30,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1"/>
        <w:gridCol w:w="90"/>
        <w:gridCol w:w="240"/>
        <w:gridCol w:w="1113"/>
        <w:gridCol w:w="125"/>
        <w:gridCol w:w="90"/>
        <w:gridCol w:w="96"/>
        <w:gridCol w:w="1214"/>
        <w:gridCol w:w="90"/>
        <w:gridCol w:w="90"/>
        <w:gridCol w:w="191"/>
        <w:gridCol w:w="748"/>
        <w:gridCol w:w="125"/>
        <w:gridCol w:w="90"/>
        <w:gridCol w:w="193"/>
        <w:gridCol w:w="892"/>
        <w:gridCol w:w="126"/>
        <w:gridCol w:w="90"/>
        <w:gridCol w:w="107"/>
        <w:gridCol w:w="1203"/>
        <w:gridCol w:w="90"/>
        <w:gridCol w:w="90"/>
        <w:gridCol w:w="219"/>
        <w:gridCol w:w="704"/>
        <w:gridCol w:w="158"/>
      </w:tblGrid>
      <w:tr>
        <w:trPr/>
        <w:tc>
          <w:tcPr>
            <w:tcW w:w="20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9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Six Months Ended June 30, 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1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Period from </w:t>
              <w:br/>
              <w:t>February 6, 2024 (Inception) to</w:t>
              <w:br/>
              <w:t>June 30, 2024</w:t>
            </w:r>
          </w:p>
        </w:tc>
        <w:tc>
          <w:tcPr>
            <w:tcW w:w="158" w:type="dxa"/>
            <w:tcBorders/>
            <w:vAlign w:val="center"/>
          </w:tcPr>
          <w:p>
            <w:pPr>
              <w:pStyle w:val="TableContents"/>
              <w:bidi w:val="0"/>
              <w:spacing w:before="0" w:after="283"/>
              <w:jc w:val="left"/>
              <w:rPr/>
            </w:pPr>
            <w:r>
              <w:rPr/>
              <w:t> </w:t>
            </w:r>
          </w:p>
        </w:tc>
      </w:tr>
      <w:tr>
        <w:trPr/>
        <w:tc>
          <w:tcPr>
            <w:tcW w:w="203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Allocation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br/>
              <w:t>Allocation</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Shares</w:t>
              <w:b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 Per</w:t>
              <w:br/>
              <w:t>Share,</w:t>
              <w:br/>
              <w:t>Basic and</w:t>
              <w:br/>
              <w:t>Diluted</w:t>
            </w:r>
          </w:p>
        </w:tc>
        <w:tc>
          <w:tcPr>
            <w:tcW w:w="158" w:type="dxa"/>
            <w:tcBorders/>
            <w:vAlign w:val="center"/>
          </w:tcPr>
          <w:p>
            <w:pPr>
              <w:pStyle w:val="TableContents"/>
              <w:bidi w:val="0"/>
              <w:spacing w:before="0" w:after="283"/>
              <w:ind w:left="0" w:right="0" w:hanging="180"/>
              <w:jc w:val="left"/>
              <w:rPr/>
            </w:pPr>
            <w:r>
              <w:rPr/>
              <w:t> </w:t>
            </w:r>
          </w:p>
        </w:tc>
      </w:tr>
      <w:tr>
        <w:trPr/>
        <w:tc>
          <w:tcPr>
            <w:tcW w:w="2031" w:type="dxa"/>
            <w:tcBorders/>
            <w:shd w:fill="CCEEFF" w:val="clear"/>
            <w:vAlign w:val="center"/>
          </w:tcPr>
          <w:p>
            <w:pPr>
              <w:pStyle w:val="TableContents"/>
              <w:bidi w:val="0"/>
              <w:spacing w:before="0" w:after="283"/>
              <w:jc w:val="left"/>
              <w:rPr/>
            </w:pPr>
            <w:r>
              <w:rPr/>
              <w:t>Common Stock</w:t>
            </w:r>
          </w:p>
        </w:tc>
        <w:tc>
          <w:tcPr>
            <w:tcW w:w="9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(35,805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41,888,906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748" w:type="dxa"/>
            <w:tcBorders/>
            <w:shd w:fill="CCEEFF" w:val="clear"/>
            <w:vAlign w:val="center"/>
          </w:tcPr>
          <w:p>
            <w:pPr>
              <w:pStyle w:val="TableContents"/>
              <w:bidi w:val="0"/>
              <w:spacing w:before="0" w:after="283"/>
              <w:jc w:val="right"/>
              <w:rPr/>
            </w:pPr>
            <w:r>
              <w:rPr/>
              <w:t>(0.85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(29,320</w:t>
            </w:r>
          </w:p>
        </w:tc>
        <w:tc>
          <w:tcPr>
            <w:tcW w:w="12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3,197,975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704" w:type="dxa"/>
            <w:tcBorders/>
            <w:shd w:fill="CCEEFF" w:val="clear"/>
            <w:vAlign w:val="center"/>
          </w:tcPr>
          <w:p>
            <w:pPr>
              <w:pStyle w:val="TableContents"/>
              <w:bidi w:val="0"/>
              <w:spacing w:before="0" w:after="283"/>
              <w:jc w:val="right"/>
              <w:rPr/>
            </w:pPr>
            <w:r>
              <w:rPr/>
              <w:t>(9.17</w:t>
            </w:r>
          </w:p>
        </w:tc>
        <w:tc>
          <w:tcPr>
            <w:tcW w:w="158" w:type="dxa"/>
            <w:tcBorders/>
            <w:shd w:fill="CCEEFF" w:val="clear"/>
            <w:vAlign w:val="center"/>
          </w:tcPr>
          <w:p>
            <w:pPr>
              <w:pStyle w:val="TableContents"/>
              <w:bidi w:val="0"/>
              <w:spacing w:before="0" w:after="283"/>
              <w:ind w:left="0" w:right="0" w:hanging="180"/>
              <w:jc w:val="left"/>
              <w:rPr/>
            </w:pPr>
            <w:r>
              <w:rPr/>
              <w:t>)</w:t>
            </w:r>
          </w:p>
        </w:tc>
      </w:tr>
      <w:tr>
        <w:trPr/>
        <w:tc>
          <w:tcPr>
            <w:tcW w:w="2031" w:type="dxa"/>
            <w:tcBorders/>
            <w:vAlign w:val="center"/>
          </w:tcPr>
          <w:p>
            <w:pPr>
              <w:pStyle w:val="TableContents"/>
              <w:bidi w:val="0"/>
              <w:spacing w:before="0" w:after="283"/>
              <w:jc w:val="left"/>
              <w:rPr>
                <w:sz w:val="20"/>
              </w:rPr>
            </w:pPr>
            <w:r>
              <w:rPr>
                <w:sz w:val="20"/>
              </w:rPr>
              <w:t>Company Series B Preferred Stock</w:t>
            </w:r>
            <w:r>
              <w:rPr>
                <w:position w:val="7"/>
                <w:sz w:val="16"/>
                <w:sz w:val="20"/>
              </w:rPr>
              <w:t>(1)</w:t>
            </w:r>
          </w:p>
        </w:tc>
        <w:tc>
          <w:tcPr>
            <w:tcW w:w="90" w:type="dxa"/>
            <w:tcBorders/>
            <w:vAlign w:val="center"/>
          </w:tcPr>
          <w:p>
            <w:pPr>
              <w:pStyle w:val="TableContents"/>
              <w:bidi w:val="0"/>
              <w:spacing w:before="0" w:after="283"/>
              <w:jc w:val="left"/>
              <w:rPr/>
            </w:pPr>
            <w:r>
              <w:rPr/>
              <w:t> </w:t>
            </w:r>
          </w:p>
        </w:tc>
        <w:tc>
          <w:tcPr>
            <w:tcW w:w="2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3" w:type="dxa"/>
            <w:tcBorders>
              <w:bottom w:val="single" w:sz="12" w:space="0" w:color="000000"/>
            </w:tcBorders>
            <w:tcMar>
              <w:bottom w:w="28" w:type="dxa"/>
            </w:tcMar>
            <w:vAlign w:val="center"/>
          </w:tcPr>
          <w:p>
            <w:pPr>
              <w:pStyle w:val="TableContents"/>
              <w:bidi w:val="0"/>
              <w:spacing w:before="0" w:after="283"/>
              <w:jc w:val="right"/>
              <w:rPr/>
            </w:pPr>
            <w:r>
              <w:rPr/>
              <w:t>(9,768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137,138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w:t>
            </w:r>
          </w:p>
        </w:tc>
        <w:tc>
          <w:tcPr>
            <w:tcW w:w="748" w:type="dxa"/>
            <w:tcBorders/>
            <w:vAlign w:val="center"/>
          </w:tcPr>
          <w:p>
            <w:pPr>
              <w:pStyle w:val="TableContents"/>
              <w:bidi w:val="0"/>
              <w:spacing w:before="0" w:after="283"/>
              <w:jc w:val="right"/>
              <w:rPr/>
            </w:pPr>
            <w:r>
              <w:rPr/>
              <w:t>(71.23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3" w:type="dxa"/>
            <w:tcBorders>
              <w:bottom w:val="single" w:sz="12" w:space="0" w:color="000000"/>
            </w:tcBorders>
            <w:tcMar>
              <w:bottom w:w="28" w:type="dxa"/>
            </w:tcMar>
            <w:vAlign w:val="center"/>
          </w:tcPr>
          <w:p>
            <w:pPr>
              <w:pStyle w:val="TableContents"/>
              <w:bidi w:val="0"/>
              <w:spacing w:before="0" w:after="283"/>
              <w:jc w:val="left"/>
              <w:rPr/>
            </w:pPr>
            <w:r>
              <w:rPr/>
              <w:t> </w:t>
            </w:r>
          </w:p>
        </w:tc>
        <w:tc>
          <w:tcPr>
            <w:tcW w:w="892" w:type="dxa"/>
            <w:tcBorders>
              <w:bottom w:val="single" w:sz="12" w:space="0" w:color="000000"/>
            </w:tcBorders>
            <w:tcMar>
              <w:bottom w:w="28" w:type="dxa"/>
            </w:tcMar>
            <w:vAlign w:val="center"/>
          </w:tcPr>
          <w:p>
            <w:pPr>
              <w:pStyle w:val="TableContents"/>
              <w:bidi w:val="0"/>
              <w:spacing w:before="0" w:after="0"/>
              <w:jc w:val="right"/>
              <w:rPr/>
            </w:pPr>
            <w:r>
              <w:rPr/>
              <w:t>—</w:t>
            </w:r>
          </w:p>
        </w:tc>
        <w:tc>
          <w:tcPr>
            <w:tcW w:w="1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w:t>
            </w:r>
          </w:p>
        </w:tc>
        <w:tc>
          <w:tcPr>
            <w:tcW w:w="704" w:type="dxa"/>
            <w:tcBorders/>
            <w:vAlign w:val="center"/>
          </w:tcPr>
          <w:p>
            <w:pPr>
              <w:pStyle w:val="TableContents"/>
              <w:bidi w:val="0"/>
              <w:spacing w:before="0" w:after="0"/>
              <w:jc w:val="right"/>
              <w:rPr/>
            </w:pPr>
            <w:r>
              <w:rPr/>
              <w:t>—</w:t>
            </w:r>
          </w:p>
        </w:tc>
        <w:tc>
          <w:tcPr>
            <w:tcW w:w="158" w:type="dxa"/>
            <w:tcBorders/>
            <w:vAlign w:val="center"/>
          </w:tcPr>
          <w:p>
            <w:pPr>
              <w:pStyle w:val="TableContents"/>
              <w:bidi w:val="0"/>
              <w:spacing w:before="0" w:after="283"/>
              <w:ind w:left="0" w:right="0" w:hanging="180"/>
              <w:jc w:val="left"/>
              <w:rPr/>
            </w:pPr>
            <w:r>
              <w:rPr/>
              <w:t> </w:t>
            </w:r>
          </w:p>
        </w:tc>
      </w:tr>
      <w:tr>
        <w:trPr/>
        <w:tc>
          <w:tcPr>
            <w:tcW w:w="2031"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13" w:type="dxa"/>
            <w:tcBorders>
              <w:bottom w:val="double" w:sz="10" w:space="0" w:color="000000"/>
            </w:tcBorders>
            <w:shd w:fill="CCEEFF" w:val="clear"/>
            <w:tcMar>
              <w:bottom w:w="28" w:type="dxa"/>
            </w:tcMar>
            <w:vAlign w:val="center"/>
          </w:tcPr>
          <w:p>
            <w:pPr>
              <w:pStyle w:val="TableContents"/>
              <w:bidi w:val="0"/>
              <w:spacing w:before="0" w:after="283"/>
              <w:jc w:val="right"/>
              <w:rPr/>
            </w:pPr>
            <w:r>
              <w:rPr/>
              <w:t>(45,573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92" w:type="dxa"/>
            <w:tcBorders>
              <w:bottom w:val="double" w:sz="10" w:space="0" w:color="000000"/>
            </w:tcBorders>
            <w:shd w:fill="CCEEFF" w:val="clear"/>
            <w:tcMar>
              <w:bottom w:w="28" w:type="dxa"/>
            </w:tcMar>
            <w:vAlign w:val="center"/>
          </w:tcPr>
          <w:p>
            <w:pPr>
              <w:pStyle w:val="TableContents"/>
              <w:bidi w:val="0"/>
              <w:spacing w:before="0" w:after="283"/>
              <w:jc w:val="right"/>
              <w:rPr/>
            </w:pPr>
            <w:r>
              <w:rPr/>
              <w:t>(29,320</w:t>
            </w:r>
          </w:p>
        </w:tc>
        <w:tc>
          <w:tcPr>
            <w:tcW w:w="126"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sz w:val="20"/>
              </w:rPr>
            </w:pPr>
            <w:r>
              <w:rPr>
                <w:sz w:val="20"/>
              </w:rPr>
              <w:t>(1)</w:t>
            </w:r>
          </w:p>
        </w:tc>
        <w:tc>
          <w:tcPr>
            <w:tcW w:w="9936" w:type="dxa"/>
            <w:tcBorders/>
            <w:vAlign w:val="center"/>
          </w:tcPr>
          <w:p>
            <w:pPr>
              <w:pStyle w:val="TableContents"/>
              <w:bidi w:val="0"/>
              <w:spacing w:before="0" w:after="283"/>
              <w:jc w:val="both"/>
              <w:rPr>
                <w:sz w:val="20"/>
              </w:rPr>
            </w:pPr>
            <w:r>
              <w:rPr>
                <w:sz w:val="20"/>
              </w:rPr>
              <w:t>The weighted-average number of shares of as-converted Company Series B Preferred Stock used in the loss allocation was 11,428,129 for the six months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computation of basic net loss per share attributable to stockholders, the amount of weighted-average shares outstanding excludes all shares of unvested restricted common stock as such shares are not considered outstanding for accounting purposes until vested. The amount of weighted-average shares outstanding includes the pre-funded warrants as the exercise price is negligible and these warrants are fully vested and exercisable.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common stock that were excluded from the computation of diluted net loss per share attributable to stockholders for the periods presented because including them would have had an anti-dilutive effect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9"/>
        <w:gridCol w:w="90"/>
        <w:gridCol w:w="107"/>
        <w:gridCol w:w="1209"/>
        <w:gridCol w:w="90"/>
        <w:gridCol w:w="90"/>
        <w:gridCol w:w="101"/>
        <w:gridCol w:w="1285"/>
        <w:gridCol w:w="90"/>
        <w:gridCol w:w="90"/>
        <w:gridCol w:w="120"/>
        <w:gridCol w:w="1351"/>
        <w:gridCol w:w="90"/>
        <w:gridCol w:w="90"/>
        <w:gridCol w:w="125"/>
        <w:gridCol w:w="1579"/>
        <w:gridCol w:w="139"/>
      </w:tblGrid>
      <w:tr>
        <w:trPr/>
        <w:tc>
          <w:tcPr>
            <w:tcW w:w="355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w:t>
              <w:br/>
              <w:t xml:space="preserve">Months Ended </w:t>
              <w:br/>
              <w:t>June 30,</w:t>
              <w:b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February 6, 2024</w:t>
              <w:br/>
              <w:t>(Inception) to June 30,</w:t>
              <w:br/>
              <w:t>2024</w:t>
            </w:r>
          </w:p>
        </w:tc>
        <w:tc>
          <w:tcPr>
            <w:tcW w:w="139" w:type="dxa"/>
            <w:tcBorders/>
            <w:vAlign w:val="center"/>
          </w:tcPr>
          <w:p>
            <w:pPr>
              <w:pStyle w:val="TableContents"/>
              <w:bidi w:val="0"/>
              <w:spacing w:before="0" w:after="283"/>
              <w:ind w:left="0" w:right="0" w:hanging="90"/>
              <w:jc w:val="left"/>
              <w:rPr/>
            </w:pPr>
            <w:r>
              <w:rPr/>
              <w:t> </w:t>
            </w:r>
          </w:p>
        </w:tc>
      </w:tr>
      <w:tr>
        <w:trPr/>
        <w:tc>
          <w:tcPr>
            <w:tcW w:w="3559" w:type="dxa"/>
            <w:tcBorders/>
            <w:shd w:fill="CCEEFF" w:val="clear"/>
            <w:vAlign w:val="center"/>
          </w:tcPr>
          <w:p>
            <w:pPr>
              <w:pStyle w:val="TableContents"/>
              <w:bidi w:val="0"/>
              <w:spacing w:before="0" w:after="283"/>
              <w:jc w:val="left"/>
              <w:rPr/>
            </w:pPr>
            <w:r>
              <w:rPr/>
              <w:t>Outstanding convertible preferred stock (as converted to common stock)</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11,428,149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11,428,149</w:t>
            </w:r>
          </w:p>
        </w:tc>
        <w:tc>
          <w:tcPr>
            <w:tcW w:w="139" w:type="dxa"/>
            <w:tcBorders/>
            <w:shd w:fill="CCEEFF" w:val="clear"/>
            <w:vAlign w:val="center"/>
          </w:tcPr>
          <w:p>
            <w:pPr>
              <w:pStyle w:val="TableContents"/>
              <w:bidi w:val="0"/>
              <w:spacing w:before="0" w:after="283"/>
              <w:jc w:val="left"/>
              <w:rPr/>
            </w:pPr>
            <w:r>
              <w:rPr/>
              <w:t> </w:t>
            </w:r>
          </w:p>
        </w:tc>
      </w:tr>
      <w:tr>
        <w:trPr/>
        <w:tc>
          <w:tcPr>
            <w:tcW w:w="3559" w:type="dxa"/>
            <w:tcBorders/>
            <w:vAlign w:val="center"/>
          </w:tcPr>
          <w:p>
            <w:pPr>
              <w:pStyle w:val="TableContents"/>
              <w:bidi w:val="0"/>
              <w:spacing w:before="0" w:after="283"/>
              <w:jc w:val="left"/>
              <w:rPr/>
            </w:pPr>
            <w:r>
              <w:rPr/>
              <w:t>Outstanding employee warrants to purchase common stock</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3,054,358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3,054,358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0"/>
              <w:jc w:val="right"/>
              <w:rPr/>
            </w:pPr>
            <w:r>
              <w:rPr/>
              <w:t>—</w:t>
            </w:r>
          </w:p>
        </w:tc>
        <w:tc>
          <w:tcPr>
            <w:tcW w:w="139" w:type="dxa"/>
            <w:tcBorders/>
            <w:vAlign w:val="center"/>
          </w:tcPr>
          <w:p>
            <w:pPr>
              <w:pStyle w:val="TableContents"/>
              <w:bidi w:val="0"/>
              <w:spacing w:before="0" w:after="283"/>
              <w:jc w:val="left"/>
              <w:rPr/>
            </w:pPr>
            <w:r>
              <w:rPr/>
              <w:t> </w:t>
            </w:r>
          </w:p>
        </w:tc>
      </w:tr>
      <w:tr>
        <w:trPr/>
        <w:tc>
          <w:tcPr>
            <w:tcW w:w="3559" w:type="dxa"/>
            <w:tcBorders/>
            <w:shd w:fill="CCEEFF" w:val="clear"/>
            <w:vAlign w:val="center"/>
          </w:tcPr>
          <w:p>
            <w:pPr>
              <w:pStyle w:val="TableContents"/>
              <w:bidi w:val="0"/>
              <w:spacing w:before="0" w:after="283"/>
              <w:jc w:val="left"/>
              <w:rPr/>
            </w:pPr>
            <w:r>
              <w:rPr/>
              <w:t>Outstanding unvested restricted stock awards</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1,493,010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2,207,553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351" w:type="dxa"/>
            <w:tcBorders/>
            <w:shd w:fill="CCEEFF" w:val="clear"/>
            <w:vAlign w:val="center"/>
          </w:tcPr>
          <w:p>
            <w:pPr>
              <w:pStyle w:val="TableContents"/>
              <w:bidi w:val="0"/>
              <w:spacing w:before="0" w:after="283"/>
              <w:jc w:val="right"/>
              <w:rPr/>
            </w:pPr>
            <w:r>
              <w:rPr/>
              <w:t>1,493,010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2,207,553</w:t>
            </w:r>
          </w:p>
        </w:tc>
        <w:tc>
          <w:tcPr>
            <w:tcW w:w="139" w:type="dxa"/>
            <w:tcBorders/>
            <w:shd w:fill="CCEEFF" w:val="clear"/>
            <w:vAlign w:val="center"/>
          </w:tcPr>
          <w:p>
            <w:pPr>
              <w:pStyle w:val="TableContents"/>
              <w:bidi w:val="0"/>
              <w:spacing w:before="0" w:after="283"/>
              <w:jc w:val="left"/>
              <w:rPr/>
            </w:pPr>
            <w:r>
              <w:rPr/>
              <w:t> </w:t>
            </w:r>
          </w:p>
        </w:tc>
      </w:tr>
      <w:tr>
        <w:trPr/>
        <w:tc>
          <w:tcPr>
            <w:tcW w:w="3559" w:type="dxa"/>
            <w:tcBorders/>
            <w:vAlign w:val="center"/>
          </w:tcPr>
          <w:p>
            <w:pPr>
              <w:pStyle w:val="TableContents"/>
              <w:bidi w:val="0"/>
              <w:spacing w:before="0" w:after="283"/>
              <w:jc w:val="left"/>
              <w:rPr/>
            </w:pPr>
            <w:r>
              <w:rPr/>
              <w:t>Outstanding and issued common stock options</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right"/>
              <w:rPr/>
            </w:pPr>
            <w:r>
              <w:rPr/>
              <w:t>3,668,560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1,179,193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1" w:type="dxa"/>
            <w:tcBorders/>
            <w:vAlign w:val="center"/>
          </w:tcPr>
          <w:p>
            <w:pPr>
              <w:pStyle w:val="TableContents"/>
              <w:bidi w:val="0"/>
              <w:spacing w:before="0" w:after="283"/>
              <w:jc w:val="right"/>
              <w:rPr/>
            </w:pPr>
            <w:r>
              <w:rPr/>
              <w:t>3,668,560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1,179,193</w:t>
            </w:r>
          </w:p>
        </w:tc>
        <w:tc>
          <w:tcPr>
            <w:tcW w:w="139" w:type="dxa"/>
            <w:tcBorders/>
            <w:vAlign w:val="center"/>
          </w:tcPr>
          <w:p>
            <w:pPr>
              <w:pStyle w:val="TableContents"/>
              <w:bidi w:val="0"/>
              <w:spacing w:before="0" w:after="283"/>
              <w:jc w:val="left"/>
              <w:rPr/>
            </w:pPr>
            <w:r>
              <w:rPr/>
              <w:t> </w:t>
            </w:r>
          </w:p>
        </w:tc>
      </w:tr>
      <w:tr>
        <w:trPr/>
        <w:tc>
          <w:tcPr>
            <w:tcW w:w="3559" w:type="dxa"/>
            <w:tcBorders/>
            <w:shd w:fill="CCEEFF" w:val="clear"/>
            <w:vAlign w:val="center"/>
          </w:tcPr>
          <w:p>
            <w:pPr>
              <w:pStyle w:val="TableContents"/>
              <w:bidi w:val="0"/>
              <w:spacing w:before="0" w:after="283"/>
              <w:jc w:val="left"/>
              <w:rPr/>
            </w:pPr>
            <w:r>
              <w:rPr/>
              <w:t>Outstanding and issued warrant to Paruka</w:t>
            </w:r>
          </w:p>
        </w:tc>
        <w:tc>
          <w:tcPr>
            <w:tcW w:w="9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9" w:type="dxa"/>
            <w:tcBorders>
              <w:bottom w:val="single" w:sz="12" w:space="0" w:color="000000"/>
            </w:tcBorders>
            <w:shd w:fill="CCEEFF" w:val="clear"/>
            <w:tcMar>
              <w:bottom w:w="28" w:type="dxa"/>
            </w:tcMar>
            <w:vAlign w:val="center"/>
          </w:tcPr>
          <w:p>
            <w:pPr>
              <w:pStyle w:val="TableContents"/>
              <w:bidi w:val="0"/>
              <w:spacing w:before="0" w:after="283"/>
              <w:jc w:val="right"/>
              <w:rPr/>
            </w:pPr>
            <w:r>
              <w:rPr/>
              <w:t>596,930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1" w:type="dxa"/>
            <w:tcBorders>
              <w:bottom w:val="single" w:sz="12" w:space="0" w:color="000000"/>
            </w:tcBorders>
            <w:shd w:fill="CCEEFF" w:val="clear"/>
            <w:tcMar>
              <w:bottom w:w="28" w:type="dxa"/>
            </w:tcMar>
            <w:vAlign w:val="center"/>
          </w:tcPr>
          <w:p>
            <w:pPr>
              <w:pStyle w:val="TableContents"/>
              <w:bidi w:val="0"/>
              <w:spacing w:before="0" w:after="283"/>
              <w:jc w:val="right"/>
              <w:rPr/>
            </w:pPr>
            <w:r>
              <w:rPr/>
              <w:t>596,930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9" w:type="dxa"/>
            <w:tcBorders/>
            <w:shd w:fill="CCEEFF" w:val="clear"/>
            <w:vAlign w:val="center"/>
          </w:tcPr>
          <w:p>
            <w:pPr>
              <w:pStyle w:val="TableContents"/>
              <w:bidi w:val="0"/>
              <w:spacing w:before="0" w:after="283"/>
              <w:jc w:val="left"/>
              <w:rPr/>
            </w:pPr>
            <w:r>
              <w:rPr/>
              <w:t> </w:t>
            </w:r>
          </w:p>
        </w:tc>
      </w:tr>
      <w:tr>
        <w:trPr/>
        <w:tc>
          <w:tcPr>
            <w:tcW w:w="3559"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07"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9" w:type="dxa"/>
            <w:tcBorders>
              <w:bottom w:val="double" w:sz="10" w:space="0" w:color="000000"/>
            </w:tcBorders>
            <w:tcMar>
              <w:bottom w:w="28" w:type="dxa"/>
            </w:tcMar>
            <w:vAlign w:val="center"/>
          </w:tcPr>
          <w:p>
            <w:pPr>
              <w:pStyle w:val="TableContents"/>
              <w:bidi w:val="0"/>
              <w:spacing w:before="0" w:after="283"/>
              <w:jc w:val="right"/>
              <w:rPr/>
            </w:pPr>
            <w:r>
              <w:rPr/>
              <w:t>8,812,858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bottom w:val="double" w:sz="10" w:space="0" w:color="000000"/>
            </w:tcBorders>
            <w:tcMar>
              <w:bottom w:w="28" w:type="dxa"/>
            </w:tcMar>
            <w:vAlign w:val="center"/>
          </w:tcPr>
          <w:p>
            <w:pPr>
              <w:pStyle w:val="TableContents"/>
              <w:bidi w:val="0"/>
              <w:spacing w:before="0" w:after="283"/>
              <w:jc w:val="left"/>
              <w:rPr/>
            </w:pPr>
            <w:r>
              <w:rPr/>
              <w:t> </w:t>
            </w:r>
          </w:p>
        </w:tc>
        <w:tc>
          <w:tcPr>
            <w:tcW w:w="1285" w:type="dxa"/>
            <w:tcBorders>
              <w:bottom w:val="double" w:sz="10" w:space="0" w:color="000000"/>
            </w:tcBorders>
            <w:tcMar>
              <w:bottom w:w="28" w:type="dxa"/>
            </w:tcMar>
            <w:vAlign w:val="center"/>
          </w:tcPr>
          <w:p>
            <w:pPr>
              <w:pStyle w:val="TableContents"/>
              <w:bidi w:val="0"/>
              <w:spacing w:before="0" w:after="283"/>
              <w:jc w:val="right"/>
              <w:rPr/>
            </w:pPr>
            <w:r>
              <w:rPr/>
              <w:t>14,814,895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bottom w:val="double" w:sz="10" w:space="0" w:color="000000"/>
            </w:tcBorders>
            <w:tcMar>
              <w:bottom w:w="28" w:type="dxa"/>
            </w:tcMar>
            <w:vAlign w:val="center"/>
          </w:tcPr>
          <w:p>
            <w:pPr>
              <w:pStyle w:val="TableContents"/>
              <w:bidi w:val="0"/>
              <w:spacing w:before="0" w:after="283"/>
              <w:jc w:val="left"/>
              <w:rPr/>
            </w:pPr>
            <w:r>
              <w:rPr/>
              <w:t> </w:t>
            </w:r>
          </w:p>
        </w:tc>
        <w:tc>
          <w:tcPr>
            <w:tcW w:w="1351" w:type="dxa"/>
            <w:tcBorders>
              <w:bottom w:val="double" w:sz="10" w:space="0" w:color="000000"/>
            </w:tcBorders>
            <w:tcMar>
              <w:bottom w:w="28" w:type="dxa"/>
            </w:tcMar>
            <w:vAlign w:val="center"/>
          </w:tcPr>
          <w:p>
            <w:pPr>
              <w:pStyle w:val="TableContents"/>
              <w:bidi w:val="0"/>
              <w:spacing w:before="0" w:after="283"/>
              <w:jc w:val="right"/>
              <w:rPr/>
            </w:pPr>
            <w:r>
              <w:rPr/>
              <w:t>8,812,858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bottom w:val="double" w:sz="10" w:space="0" w:color="000000"/>
            </w:tcBorders>
            <w:tcMar>
              <w:bottom w:w="28" w:type="dxa"/>
            </w:tcMar>
            <w:vAlign w:val="center"/>
          </w:tcPr>
          <w:p>
            <w:pPr>
              <w:pStyle w:val="TableContents"/>
              <w:bidi w:val="0"/>
              <w:spacing w:before="0" w:after="283"/>
              <w:jc w:val="left"/>
              <w:rPr/>
            </w:pPr>
            <w:r>
              <w:rPr/>
              <w:t> </w:t>
            </w:r>
          </w:p>
        </w:tc>
        <w:tc>
          <w:tcPr>
            <w:tcW w:w="1579" w:type="dxa"/>
            <w:tcBorders>
              <w:bottom w:val="double" w:sz="10" w:space="0" w:color="000000"/>
            </w:tcBorders>
            <w:tcMar>
              <w:bottom w:w="28" w:type="dxa"/>
            </w:tcMar>
            <w:vAlign w:val="center"/>
          </w:tcPr>
          <w:p>
            <w:pPr>
              <w:pStyle w:val="TableContents"/>
              <w:bidi w:val="0"/>
              <w:spacing w:before="0" w:after="283"/>
              <w:jc w:val="right"/>
              <w:rPr/>
            </w:pPr>
            <w:r>
              <w:rPr/>
              <w:t>14,814,895</w:t>
            </w:r>
          </w:p>
        </w:tc>
        <w:tc>
          <w:tcPr>
            <w:tcW w:w="1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Related Party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and Paruka each beneficially own less than 5% of the Company’s capital stock through their respective holdings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Fairmount beneficially owns more than 5% of the Company’s capital stock, currently has one representative appointed to the Board, and beneficially owns more than 5% of Paragon. Fairmount appointed Paragon’s board of directors and has the contractual right to approve the appointment of any executive officers of Paragon.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related party accounts payable and other current liabilities (in thousands): </w:t>
      </w:r>
    </w:p>
    <w:p>
      <w:pPr>
        <w:pStyle w:val="TextBody"/>
        <w:bidi w:val="0"/>
        <w:spacing w:before="0" w:after="0"/>
        <w:ind w:left="0" w:right="0" w:hanging="0"/>
        <w:jc w:val="both"/>
        <w:rPr>
          <w:caps w:val="false"/>
          <w:smallCaps w:val="false"/>
        </w:rPr>
      </w:pPr>
      <w:r>
        <w:rPr>
          <w:caps w:val="false"/>
          <w:smallCaps w:val="false"/>
        </w:rPr>
        <w:t> </w:t>
      </w:r>
    </w:p>
    <w:tbl>
      <w:tblPr>
        <w:tblW w:w="7754" w:type="dxa"/>
        <w:jc w:val="left"/>
        <w:tblInd w:w="0" w:type="dxa"/>
        <w:tblLayout w:type="fixed"/>
        <w:tblCellMar>
          <w:top w:w="0" w:type="dxa"/>
          <w:left w:w="0" w:type="dxa"/>
          <w:bottom w:w="0" w:type="dxa"/>
          <w:right w:w="0" w:type="dxa"/>
        </w:tblCellMar>
      </w:tblPr>
      <w:tblGrid>
        <w:gridCol w:w="5000"/>
        <w:gridCol w:w="90"/>
        <w:gridCol w:w="265"/>
        <w:gridCol w:w="639"/>
        <w:gridCol w:w="90"/>
        <w:gridCol w:w="90"/>
        <w:gridCol w:w="323"/>
        <w:gridCol w:w="1122"/>
        <w:gridCol w:w="135"/>
      </w:tblGrid>
      <w:tr>
        <w:trPr/>
        <w:tc>
          <w:tcPr>
            <w:tcW w:w="50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Paragon reimbursable Option Agreements’ fees</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63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1,482</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Paragon milestone payments for License Agreement</w:t>
            </w:r>
          </w:p>
        </w:tc>
        <w:tc>
          <w:tcPr>
            <w:tcW w:w="9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4,000</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Paragon reimbursable other research expenses</w:t>
            </w:r>
          </w:p>
        </w:tc>
        <w:tc>
          <w:tcPr>
            <w:tcW w:w="9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t>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515</w:t>
            </w:r>
          </w:p>
        </w:tc>
        <w:tc>
          <w:tcPr>
            <w:tcW w:w="13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Paragon reimbursable patent expenses</w:t>
            </w:r>
          </w:p>
        </w:tc>
        <w:tc>
          <w:tcPr>
            <w:tcW w:w="90" w:type="dxa"/>
            <w:tcBorders/>
            <w:vAlign w:val="center"/>
          </w:tcPr>
          <w:p>
            <w:pPr>
              <w:pStyle w:val="TableContents"/>
              <w:bidi w:val="0"/>
              <w:spacing w:before="0" w:after="283"/>
              <w:jc w:val="left"/>
              <w:rPr/>
            </w:pPr>
            <w:r>
              <w:rPr/>
              <w:t> </w:t>
            </w:r>
          </w:p>
        </w:tc>
        <w:tc>
          <w:tcPr>
            <w:tcW w:w="265" w:type="dxa"/>
            <w:tcBorders>
              <w:bottom w:val="single" w:sz="12" w:space="0" w:color="000000"/>
            </w:tcBorders>
            <w:tcMar>
              <w:bottom w:w="28" w:type="dxa"/>
            </w:tcMar>
            <w:vAlign w:val="center"/>
          </w:tcPr>
          <w:p>
            <w:pPr>
              <w:pStyle w:val="TableContents"/>
              <w:bidi w:val="0"/>
              <w:spacing w:before="0" w:after="283"/>
              <w:jc w:val="left"/>
              <w:rPr/>
            </w:pPr>
            <w:r>
              <w:rPr/>
              <w:t> </w:t>
            </w:r>
          </w:p>
        </w:tc>
        <w:tc>
          <w:tcPr>
            <w:tcW w:w="639" w:type="dxa"/>
            <w:tcBorders>
              <w:bottom w:val="single" w:sz="12" w:space="0" w:color="000000"/>
            </w:tcBorders>
            <w:tcMar>
              <w:bottom w:w="28" w:type="dxa"/>
            </w:tcMar>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3" w:type="dxa"/>
            <w:tcBorders>
              <w:bottom w:val="single" w:sz="1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12" w:space="0" w:color="000000"/>
            </w:tcBorders>
            <w:tcMar>
              <w:bottom w:w="28" w:type="dxa"/>
            </w:tcMar>
            <w:vAlign w:val="center"/>
          </w:tcPr>
          <w:p>
            <w:pPr>
              <w:pStyle w:val="TableContents"/>
              <w:bidi w:val="0"/>
              <w:spacing w:before="0" w:after="283"/>
              <w:jc w:val="right"/>
              <w:rPr/>
            </w:pPr>
            <w:r>
              <w:rPr/>
              <w:t>25</w:t>
            </w:r>
          </w:p>
        </w:tc>
        <w:tc>
          <w:tcPr>
            <w:tcW w:w="13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6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9" w:type="dxa"/>
            <w:tcBorders>
              <w:bottom w:val="double" w:sz="10" w:space="0" w:color="000000"/>
            </w:tcBorders>
            <w:shd w:fill="CCEEFF" w:val="clear"/>
            <w:tcMar>
              <w:bottom w:w="28" w:type="dxa"/>
            </w:tcMar>
            <w:vAlign w:val="center"/>
          </w:tcPr>
          <w:p>
            <w:pPr>
              <w:pStyle w:val="TableContents"/>
              <w:bidi w:val="0"/>
              <w:spacing w:before="0" w:after="283"/>
              <w:jc w:val="right"/>
              <w:rPr/>
            </w:pPr>
            <w:r>
              <w:rPr/>
              <w:t>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2" w:type="dxa"/>
            <w:tcBorders>
              <w:bottom w:val="double" w:sz="10" w:space="0" w:color="000000"/>
            </w:tcBorders>
            <w:shd w:fill="CCEEFF" w:val="clear"/>
            <w:tcMar>
              <w:bottom w:w="28" w:type="dxa"/>
            </w:tcMar>
            <w:vAlign w:val="center"/>
          </w:tcPr>
          <w:p>
            <w:pPr>
              <w:pStyle w:val="TableContents"/>
              <w:bidi w:val="0"/>
              <w:spacing w:before="0" w:after="283"/>
              <w:jc w:val="right"/>
              <w:rPr/>
            </w:pPr>
            <w:r>
              <w:rPr/>
              <w:t>6,022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Income Taxes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“Act”) was signed into law. The Act makes permanent key elements of the Tax Cuts and Jobs Act, including 100% bonus depreciation, domestic research cost expensing, and the business interest expense limitation. The Company is currently evaluating the impact of the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condensed consolidated financial statements and the related notes included in Part 1, Item 1 of this Quarterly Report on Form 10-Q for the quarterly period ended June 30, 2025 (this “Quarterly Report”) and with the audited consolidated financial statements and related notes included in our Annual Report on Form 10-K for the fiscal year ended December 31, 2024 filed with the Securities and Exchange Commission (“SEC”) on March 6, 2025. This discussion contains forward-looking statements that involve risks and uncertainties, such as statements regarding our plans, objectives, expectations, intentions, hopes, beliefs, strategies or projections regarding the future of its pipeline and business and words such as “may,” “will,”, “should,” “could,” “would,” “expect,” “plan,” “anticipate,” “believe,” “estimate,” “project,” “potential,” “seek,” “target,” “goal,” “intend” and variations of such words and any statements that refer to projections, forecasts or other characterizations of future events or circumstances, including any underlying assumptions, and similar expressions are intended to identify forward-looking statements. You should not place undue reliance on these forward-looking statements. These forward-looking statements are based on current expectations and beliefs concerning future developments and their potential effects. There can be no assurance that future developments affecting us will be those that have been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Factors that could cause or contribute to such differences include, but are not limited to, those discussed in the section of this Quarterly Report entitled “Risk Factors” and elsewhere in this Quarterly Report. These and many other factors could affect our future financial and operating results. We undertake no obligation to update any forward-looking statement to reflect events after the date of this Quarterly Report. As used in this Quarterly Report, unless the context suggests otherwise, “we,” “us,” “our,” “the Company,” “Oruka Therapeutics, Inc.,” “Oruka,” “ARCA biopharma, Inc.,” “ARCA,” refers to Oruka Therapeutics, Inc. and its consolidated subsidiaries, taken as a whole.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clinical-stage biopharmaceutical company focused on developing novel monoclonal antibody therapeutics for psoriasis (“PsO”) and other inflammatory and immunology (“I&amp;I”) indications. Our name is derived from </w:t>
      </w:r>
      <w:r>
        <w:rPr>
          <w:rFonts w:ascii="Times New Roman;Times;Serif" w:hAnsi="Times New Roman;Times;Serif"/>
          <w:b w:val="false"/>
          <w:i/>
          <w:caps w:val="false"/>
          <w:smallCaps w:val="false"/>
          <w:sz w:val="20"/>
        </w:rPr>
        <w:t>or</w:t>
      </w:r>
      <w:r>
        <w:rPr>
          <w:rFonts w:ascii="Times New Roman;Times;Serif" w:hAnsi="Times New Roman;Times;Serif"/>
          <w:b w:val="false"/>
          <w:i w:val="false"/>
          <w:caps w:val="false"/>
          <w:smallCaps w:val="false"/>
          <w:sz w:val="20"/>
        </w:rPr>
        <w:t xml:space="preserve">, for “skin,” and </w:t>
      </w:r>
      <w:r>
        <w:rPr>
          <w:rFonts w:ascii="Times New Roman;Times;Serif" w:hAnsi="Times New Roman;Times;Serif"/>
          <w:b w:val="false"/>
          <w:i/>
          <w:caps w:val="false"/>
          <w:smallCaps w:val="false"/>
          <w:sz w:val="20"/>
        </w:rPr>
        <w:t>arukah</w:t>
      </w:r>
      <w:r>
        <w:rPr>
          <w:rFonts w:ascii="Times New Roman;Times;Serif" w:hAnsi="Times New Roman;Times;Serif"/>
          <w:b w:val="false"/>
          <w:i w:val="false"/>
          <w:caps w:val="false"/>
          <w:smallCaps w:val="false"/>
          <w:sz w:val="20"/>
        </w:rPr>
        <w:t>, for “restoration,” and reflects our mission to deliver therapies for chronic skin diseases that provide patients the most possible freedom from their condition. Our strategy is to apply antibody engineering and format innovations to validated modes of action, which we believe will enable us to improve meaningfully upon the efficacy and dosing regimens of standard-of-care medicines while significantly reducing technical and biological risk. Our programs aim to treat and potentially modify disease by targeting mechanisms with proven efficacy and safety involved in disease pathology and the activity of pathogenic tissue-resident memory T cells.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program, ORKA-001, is designed to target the p19 subunit of interleukin-23 (“IL-23p19”) for the treatment of PsO. Our co-lead program, ORKA-002, is designed to target interleukin-17A and interleukin-17F (“IL-17A/F”) for the treatment of PsO, psoriatic arthritis (“PsA”), and other conditions. These programs each bind their respective targets at high affinity and incorporate half-life extension technology with the aim to increase exposure and decrease dosing frequency. We believe that our focused strategy, differentiated portfolio, and deep expertise position us to set a new treatment standard in large I&amp;I markets with continued unmet need.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February 2024, we have devoted substantially all of our resources to raising capital, organizing and staffing our company, business and scientific planning, conducting discovery and research activities, establishing and protecting our intellectual property portfolio, establishing arrangements with third parties for the manufacture of our programs and component materials, developing and progressing our pipeline, and providing general and administrative support for these operations. We do not have any products approved for sale and have not generated any revenue from product sales. To date, we have funded our operations primarily with proceeds from the issuance of convertible preferred stock, common stock, a convertible note, pre-funded warrants, and the proceeds from the reverse recapitalization and merger, our Pre-Closing Financing and subsequent PIPE Financing (as defined and further described in “Recent Developments”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losses and negative cash flows from our operations. Our ability to generate product revenue sufficient to achieve profitability will depend heavily on the successful development and eventual commercialization of any programs we may develop. During the three and six months ended June 30, 2025, we generated net losses of $24.6 million and $45.6 million, respectively, and for the six months ended June 30, 2025, we used net cash of $44.0 million for our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cash equivalents, and marketable securities of $351.5 million as of June 30, 2025. We expect that our existing cash, cash equivalents, and marketable securities will be sufficient to fund our operating plans for at least twelve months from the date of filing of this Quarterly Report.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a high affinity, extended half-life monoclonal antibody (“mAb”) designed to target IL-23p19. IL-23 is a pro-inflammatory cytokine that plays a critical role in the proliferation and development of T helper 17 (“Th17”) cells, which are the primary drivers of several autoimmune and inflammatory disorders, including PsO. IL-23 is composed of two subunits: a p40 subunit that is shared with IL-12 and a p19 subunit that is specific to IL-23. First-generation IL-23 antibodies bound p40 and inhibited both IL-12 and IL-23 signaling, while more recent IL-23 antibodies targeting the p19 subunit have shown improved efficacy and safety. Based on preclinical evidence, we believe that ORKA-001 could achieve higher response rates than established therapies in PsO while requiring less frequent dosing and maintaining the favorable safety profile of therapies targeting IL-23p19.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ORKA-001 is engineered with YTE half-life extension technology, a specific three amino acid change in the fragment crystallizable (“Fc”) domain to modify the pH-dependent binding to the neonatal Fc receptor. As a result, it has a pharmacokinetic profile designed to support a subcutaneous injection as infrequently as once or twice per year. In addition, emerging evidence suggests that IL-23 blockade can modify the disease biology of PsO, possibly leading to durable remissions and preventing the development of PsA. We believe that the expected characteristics of ORKA-001 increase its potential to deliver these disease-modifying benefits.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initiated the dosing of healthy volunteers in a Phase 1 trial of ORKA-001 in the fourth quarter of 2024. We expect to share interim data from the first-in-human trial in healthy volunteers, including initial pharmacokinetic data, at the European Academy of Dermatology &amp; Venereology (EADV) Congress in September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United States Food and Drug Administration (“FDA”) cleared our investigational new drug (“IND”) application and Health Canada cleared our Clinical Trial Application (“CTA”) for our Phase 2a trial of ORKA-001 in moderate-to-severe PsO, called EVERLAST-A. In the third quarter of 2025, we commenced dosing in a Phase 2a clinical trial of ORKA-001 in patients with moderate-to-severe PsO. We expect to share efficacy and response duration data from this study in the second half of 2026. Based on recent precedent for PsO, we anticipate that the entire development program from first-in-human to biologics license application (“BLA”) filing could take as little as six to seven years based on the averages for recently approved medicines. However, we have no control over the length of time needed for the FDA review, and this timeline could vary.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ORKA-002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ORKA-002 is a high affinity, extended half-life mAb designed to target IL-17A and IL-17F (“IL-17A/F”). IL-17 inhibition has become central to the treatment of psoriatic diseases, including PsO and PsA, and has also shown efficacy in other I&amp;I indications, such as hidradenitis suppurativa and axial spondyloarthritis. More recently, the importance of inhibiting the IL-17F isoform along with IL-17A has become appreciated, and dual blockade with the recently approved therapy Bimzelx (bimekizumab) has led to higher response rates in patients than blockade of IL-17A alone. ORKA-002 is designed to bind IL-17A/F at similar epitopes, or binding sites, and affinity ranges as bimekizumab, but incorporates half-life extension technology that could enable more convenient dosing intervals. We initiated the dosing of healthy volunteers in a Phase 1 trial of ORKA-002 in the second quarter of 2025. We expect to share interim data from the first-in-human trial in healthy volunteers, including initial pharmacokinetic data, around year end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ORKA-002 and ORKA-001 as highly complementary. Patients with moderate-to-severe PsO that have purely skin manifestations are most often treated with IL-23 inhibitors due to the high efficacy and tolerability of this mechanism. However, for patients who also have joint involvement, or signs and symptoms of PsA, an IL-17 inhibitor is typically used due to its efficacy in addressing both skin and joint symptoms. In addition, IL-17 inhibitors are often used in patients with highly resistant skin symptoms that do not adequately resolve through treatment with an IL-23 inhibitor. Furthermore, we plan to pursue a sequential combination regimen of ORKA-002 followed by ORKA-001, called ORKA-021. ORKA-021 has the potential to combine the rapid response of an IL-17 inhibitor with the ideal maintenance profile of an IL-23 inhibitor in a single regimen. We believe that ORKA-001 and ORKA-002 provide the potential to offer a highly compelling product profile for most patients with PsO and/or PsA, as well as the opportunity to address additional I&amp;I indications.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Pipeline Program</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third mAb program, ORKA-003, designed to target an undisclosed pathway. Our strategy as a company is to remain highly focused on I&amp;I diseases, and specifically on inflammatory dermatology conditions. Our third program provides the potential for indication expansion beyond PsO and may create combination opportunities with our more advanced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Pre-Merger Oruka</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2024 (the “Closing”), we completed the acquisition (the “Merger”) of the private company, Oruka Therapeutics, Inc. (“Pre-Merger Oruka”), a pre-clinical stage biotechnology company that was incorporated on February 6, 2024 under the direction of Peter Harwin, a Managing Member of Fairmount Funds Management LLC, for the purposes of holding rights to certain intellectual property being developed by Paragon Therapeutics, Inc. (“Paragon”). On August 29, 2024, we changed our name from “ARCA biopharma, Inc.” to “Oruka Therapeutics, Inc.” and our Nasdaq ticker symbol from “ABIO” to “ORKA”. Following consummation of the Merger, we effected a 1-for-12 reverse stock split (the “Reverse Stock Split”) of the common stock, par value $0.001 per share, of the Company (“Company Common Stock”). The Company Common Stock commenced trading on a post-Reverse Stock Split, post-Merger basis at the opening of trading on September 3,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Pre-Closing Financing and Closing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certain new and existing investors of Pre-Merger Oruka entered into a subscription agreement with Pre-Merger Oruka (as amended, the “Subscription Agreement”), pursuant to which, and on the terms and subject to the conditions of which, immediately prior to the Closing, those investors purchased shares of common stock of Pre-Merger Oruka and Pre-Merger Oruka pre-funded warrants for gross proceeds of approximately $275.0 million. We incurred transaction costs of $20.5 million. At the Closing, those shares of common stock of Pre-Merger Oruka and the Pre-Merger Oruka pre-funded warrants were converted into shares of Company Common Stock and pre-funded warrants of Company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we entered into a Securities Purchase Agreement for a private placement (the “PIPE Financing”) with certain institutional and accredited investors. The closing of the PIPE Financing occurred on September 13,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the investors purchased an aggregate of 5,600,000 shares of Company Common Stock at a purchase price of $23.00 per share, an aggregate of 2,439 shares of our Series A non-voting convertible preferred stock, par value $0.001 per share (“Company Series A Preferred Stock”), at a purchase price of $23,000.00 per share (each Company Series A Preferred Stock is convertible into 1,000 shares of Company Common Stock), and pre-funded warrants to purchase an aggregate of 680,000 shares of Company Common Stock at a purchase price of $22.999 per pre-funded warrant, for aggregate net proceeds of approximately $188.7 million (net of issuance costs of $11.9 million).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Agreements and License Agreements – Paragon Therapeutics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we entered into two Antibody Discovery and Option Agreements with Paragon and Paruka Holding, LLC (“Paruka”) (each, an “Option Agreement”), pursuant to which we initiated certain research programs with Paragon focusing on discovering, generating, identifying and/or characterizing antibodies directed to a particular target, including for IL-23 and IL-17A/F for ORKA-001 and ORKA-002, respectively. In September 2024, we exercised our exclusive option to acquire certain rights to ORKA-001, and in December 2024, we entered into a corresponding license agreement with Paragon pursuant to which Paragon granted us a royalty-bearing, world-wide, exclusive license to develop, manufacture, commercialize or otherwise exploit certain antibodies and products targeting IL-23 in all fields other than the field of inflammatory bowel disease. In December 2024, we exercised our exclusive option to acquire certain rights to ORKA-002, and in February 2025, we entered into the corresponding license agreement with Paragon pursuant to which Paragon granted us a royalty-bearing, world-wide, exclusive license to develop, manufacture, commercialize or otherwise exploit certain antibodies and products targeting IL-17A/F in all fields (collectively, the “License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each of the License Agreements, Paragon has agreed not to conduct any new campaigns that generate anti-IL-23 monospecific antibodies or anti-IL-17A/F monospecific antibodies in the respective agreed-upon fields. Each of the ORKA-001 and ORKA-002 License Agreements may be terminated on 60 days’ notice to Paragon, on material breach without cure, and on a party’s insolvency or bankruptcy to the extent permitted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each of the License Agreements, we are obligated to pay Paragon non-refundable milestone payments of up to $12.0 million under each respective agreement upon the achievement of certain clinical development milestones and up to $10.0 million under each respective agreement upon the achievement of certain regulatory milestones. In addition, we are obligated to pay Paragon a low single-digit percentage royalty for antibody products for each of ORKA-001 and ORKA-002. For each of the License Agreements, the royalty term ends on the later of (i) the last-to-expire licensed patent or our patent directed to the manufacture, use or sale of a licensed antibody in the country at issue or (ii) 12 years from the date of first sale of our product. There is also a royalty step-down if there is no Paragon patent in effect during the royalty term for each program.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Agreements, as of June 30, 2025, we have incurred and expensed milestone payments of $4.0 million for each of ORKA-001 and ORKA-002. Subsequent to the quarter end, we dosed the first patient in a Phase 2a clinical trial for ORKA-001. In the third quarter of 2025, we accrued for the additional milestone payment of $3.0 million under the ORKA-001 License Agreement, as it became probable that the milestone would be achieved.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revenue from any sources, including product sales, and do not expect to generate any revenue from the sale of products in the foreseeable future. If our development efforts for our product candidates are successful and result in regulatory approval, we may generate revenue in the future from product sales or payments from future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the development and research of our programs. These expenses include:</w:t>
      </w:r>
    </w:p>
    <w:p>
      <w:pPr>
        <w:pStyle w:val="TextBody"/>
        <w:bidi w:val="0"/>
        <w:spacing w:before="0" w:after="0"/>
        <w:ind w:left="0" w:right="0" w:firstLine="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105"/>
        <w:gridCol w:w="200"/>
        <w:gridCol w:w="9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455" w:type="dxa"/>
            <w:tcBorders/>
            <w:vAlign w:val="center"/>
          </w:tcPr>
          <w:p>
            <w:pPr>
              <w:pStyle w:val="TableContents"/>
              <w:bidi w:val="0"/>
              <w:spacing w:before="0" w:after="283"/>
              <w:jc w:val="both"/>
              <w:rPr>
                <w:sz w:val="20"/>
              </w:rPr>
            </w:pPr>
            <w:r>
              <w:rPr>
                <w:sz w:val="20"/>
              </w:rPr>
              <w:t>costs of funding research performed by third parties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both"/>
              <w:rPr>
                <w:sz w:val="20"/>
              </w:rPr>
            </w:pPr>
            <w:r>
              <w:rPr>
                <w:sz w:val="20"/>
              </w:rPr>
              <w:t>costs incurred, and milestone payments under license and option agreements;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expenses incurred in connection with continuing our current research programs and discovery-phase development of any programs we may identify, including under future agreements with third parties, such as consultants and contractors;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expenses incurred under agreements with contract research organizations (“CROs”), contract manufacturing organizations (“CMOs”), and with clinical trial sites that conduct research and development activities on our behalf;</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cost of development and validating our manufacturing process for use in our preclinical studies and current and future clinical trials;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personnel-related expenses, including salaries, bonuses, employee benefits, travel, and stock-based compensation expense;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allocated human resource costs, information technology costs, and facility-related costs, including rent, maintenance, utilities, and depreciation for our leased office space.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Our primary focus since inception has been the identification and development of our pipeline programs. Our research and development expenses primarily consist of external costs. See Note 10 to the condensed consolidated financial statements included in Part I - Item 1 of this Quarterly Report for further details on the Option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 we may identify and continue to conduct clinical trials. The success of programs we may identify and develop will depend on many factors, including the following:</w:t>
      </w:r>
    </w:p>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105"/>
        <w:gridCol w:w="200"/>
        <w:gridCol w:w="4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timely and successful completion of preclinical studies;</w:t>
            </w:r>
          </w:p>
        </w:tc>
      </w:tr>
    </w:tbl>
    <w:p>
      <w:pPr>
        <w:pStyle w:val="TextBody"/>
        <w:bidi w:val="0"/>
        <w:spacing w:before="0" w:after="0"/>
        <w:ind w:left="77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effective investigational new drug (“IND”) or comparable foreign applications that allow commencement of our planned clinical trials or future clinical trials for any programs we may develop;</w:t>
            </w:r>
          </w:p>
        </w:tc>
      </w:tr>
    </w:tbl>
    <w:p>
      <w:pPr>
        <w:pStyle w:val="TextBody"/>
        <w:bidi w:val="0"/>
        <w:spacing w:before="0" w:after="0"/>
        <w:ind w:left="720" w:right="0" w:hanging="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sz w:val="20"/>
              </w:rPr>
            </w:pPr>
            <w:r>
              <w:rPr>
                <w:sz w:val="20"/>
              </w:rPr>
              <w:t>successful enrollment and completion of clinical trials;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positive results from our clinical trials that support a finding of safety and effectiveness, acceptable pharmacokinetics profile, and an acceptable risk-benefit profile in the intended populations;</w:t>
            </w:r>
          </w:p>
        </w:tc>
      </w:tr>
    </w:tbl>
    <w:p>
      <w:pPr>
        <w:pStyle w:val="TextBody"/>
        <w:bidi w:val="0"/>
        <w:spacing w:before="0" w:after="0"/>
        <w:ind w:left="720"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sz w:val="20"/>
              </w:rPr>
            </w:pPr>
            <w:r>
              <w:rPr>
                <w:sz w:val="20"/>
              </w:rPr>
              <w:t>receipt of marketing approvals from applicable regulatory authorities;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establishment of arrangements through our own facilities or with third-party manufacturers for clinical supply and, where applicable, commercial manufacturing capabilities;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maintenance of a continued acceptable safety, tolerability, and efficacy profile of any programs we may develop following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the outcome of any of these variables with respect to the development of programs that we may identify could mean a significant change in the costs and possible delays in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expenses, including salaries, bonuses, employee benefits, travel, and stock-based compensation, for our executive and other administrative personnel. Other significant general and administrative expenses include legal services, including intellectual property and corporate matters; professional fees for accounting, auditing, tax, insurance, and allocated human resource costs, information technology costs, and facility-related costs, including rent, utilities, maintenance, and depreciation for our leased office space.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general and administrative expenses will increase substantially for the foreseeable future as we anticipate an increase in our personnel headcount to support the expansion of research and development activities, as well as to support our operations generally. We also expect to continue to incur significant expenses associated with being a public company, including costs related to accounting, audit, legal, regulatory, and tax-related services associated with maintaining compliance with applicable Nasdaq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 consists of interest earned on our cash, cash equivalents, and marketable securities; interest expense on the convertible note from a related party (see discussion herein); and foreign currency transactions gains and losses. Interest expense relates to a convertible note (the “Convertible Note”) issued to Fairmount Healthcare Fund II, L.P. (“Fairmount”), a related party, in March 2024. At the effective time of the Merger, the Convertible Note, along with the accrued interest, was automatically converted into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Comparison of the Three Months Ended June 30, 2025 and 2024 </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periods presented (in thousands):</w:t>
      </w:r>
    </w:p>
    <w:p>
      <w:pPr>
        <w:pStyle w:val="TextBody"/>
        <w:bidi w:val="0"/>
        <w:spacing w:before="0" w:after="0"/>
        <w:ind w:left="0" w:right="0" w:firstLine="360"/>
        <w:jc w:val="both"/>
        <w:rPr>
          <w:caps w:val="false"/>
          <w:smallCaps w:val="false"/>
        </w:rPr>
      </w:pPr>
      <w:r>
        <w:rPr>
          <w:caps w:val="false"/>
          <w:smallCaps w:val="false"/>
        </w:rPr>
        <w:t> </w:t>
      </w:r>
    </w:p>
    <w:tbl>
      <w:tblPr>
        <w:tblW w:w="8908" w:type="dxa"/>
        <w:jc w:val="left"/>
        <w:tblInd w:w="0" w:type="dxa"/>
        <w:tblLayout w:type="fixed"/>
        <w:tblCellMar>
          <w:top w:w="0" w:type="dxa"/>
          <w:left w:w="0" w:type="dxa"/>
          <w:bottom w:w="0" w:type="dxa"/>
          <w:right w:w="0" w:type="dxa"/>
        </w:tblCellMar>
      </w:tblPr>
      <w:tblGrid>
        <w:gridCol w:w="3230"/>
        <w:gridCol w:w="90"/>
        <w:gridCol w:w="278"/>
        <w:gridCol w:w="1286"/>
        <w:gridCol w:w="125"/>
        <w:gridCol w:w="90"/>
        <w:gridCol w:w="278"/>
        <w:gridCol w:w="1286"/>
        <w:gridCol w:w="125"/>
        <w:gridCol w:w="90"/>
        <w:gridCol w:w="170"/>
        <w:gridCol w:w="665"/>
        <w:gridCol w:w="125"/>
        <w:gridCol w:w="90"/>
        <w:gridCol w:w="90"/>
        <w:gridCol w:w="755"/>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Three</w:t>
              <w:br/>
              <w:t>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center"/>
              <w:rPr>
                <w:b/>
              </w:rPr>
            </w:pPr>
            <w:r>
              <w:rPr>
                <w:b/>
              </w:rPr>
              <w:t>Three</w:t>
              <w:br/>
              <w:t>Months 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and development</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24,087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286" w:type="dxa"/>
            <w:tcBorders/>
            <w:shd w:fill="CCEEFF" w:val="clear"/>
            <w:vAlign w:val="center"/>
          </w:tcPr>
          <w:p>
            <w:pPr>
              <w:pStyle w:val="TableContents"/>
              <w:bidi w:val="0"/>
              <w:spacing w:before="0" w:after="283"/>
              <w:jc w:val="right"/>
              <w:rPr/>
            </w:pPr>
            <w:r>
              <w:rPr/>
              <w:t>18,673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5,414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29%</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General and administrative</w:t>
            </w:r>
            <w:r>
              <w:rPr>
                <w:position w:val="8"/>
                <w:sz w:val="19"/>
              </w:rPr>
              <w:t>(2)</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4,342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2,820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1,522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54%</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28,429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21,493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6,936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32%</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(28,429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(21,493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(6,936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32%</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3,857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286"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3,857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Interest expense</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86" w:type="dxa"/>
            <w:tcBorders/>
            <w:shd w:fill="CCEEFF" w:val="cle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(100)%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3,855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6" w:type="dxa"/>
            <w:tcBorders>
              <w:bottom w:val="single" w:sz="12" w:space="0" w:color="000000"/>
            </w:tcBorders>
            <w:shd w:fill="CCEEFF" w:val="clear"/>
            <w:tcMar>
              <w:bottom w:w="28" w:type="dxa"/>
            </w:tcMar>
            <w:vAlign w:val="center"/>
          </w:tcPr>
          <w:p>
            <w:pPr>
              <w:pStyle w:val="TableContents"/>
              <w:bidi w:val="0"/>
              <w:spacing w:before="0" w:after="283"/>
              <w:jc w:val="right"/>
              <w:rPr/>
            </w:pPr>
            <w:r>
              <w:rPr/>
              <w:t>(750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4,605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(24,574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w:t>
            </w:r>
          </w:p>
        </w:tc>
        <w:tc>
          <w:tcPr>
            <w:tcW w:w="1286" w:type="dxa"/>
            <w:tcBorders>
              <w:bottom w:val="double" w:sz="10" w:space="0" w:color="000000"/>
            </w:tcBorders>
            <w:tcMar>
              <w:bottom w:w="28" w:type="dxa"/>
            </w:tcMar>
            <w:vAlign w:val="center"/>
          </w:tcPr>
          <w:p>
            <w:pPr>
              <w:pStyle w:val="TableContents"/>
              <w:bidi w:val="0"/>
              <w:spacing w:before="0" w:after="283"/>
              <w:jc w:val="right"/>
              <w:rPr/>
            </w:pPr>
            <w:r>
              <w:rPr/>
              <w:t>(22,243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(2,331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both"/>
              <w:rPr>
                <w:sz w:val="20"/>
              </w:rPr>
            </w:pPr>
            <w:r>
              <w:rPr>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1"/>
        <w:gridCol w:w="9866"/>
      </w:tblGrid>
      <w:tr>
        <w:trPr/>
        <w:tc>
          <w:tcPr>
            <w:tcW w:w="6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20"/>
              </w:rPr>
            </w:pPr>
            <w:r>
              <w:rPr>
                <w:sz w:val="20"/>
              </w:rPr>
              <w:t>(1)</w:t>
            </w:r>
          </w:p>
        </w:tc>
        <w:tc>
          <w:tcPr>
            <w:tcW w:w="9866" w:type="dxa"/>
            <w:tcBorders/>
            <w:vAlign w:val="center"/>
          </w:tcPr>
          <w:p>
            <w:pPr>
              <w:pStyle w:val="TableContents"/>
              <w:bidi w:val="0"/>
              <w:spacing w:before="0" w:after="283"/>
              <w:jc w:val="both"/>
              <w:rPr>
                <w:sz w:val="20"/>
              </w:rPr>
            </w:pPr>
            <w:r>
              <w:rPr>
                <w:sz w:val="20"/>
              </w:rPr>
              <w:t>Includes related party amounts of $4,281 and $15,379 for the three months ended June 30, 2025 and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20"/>
              </w:rPr>
            </w:pPr>
            <w:r>
              <w:rPr>
                <w:sz w:val="20"/>
              </w:rPr>
              <w:t>(2)</w:t>
            </w:r>
          </w:p>
        </w:tc>
        <w:tc>
          <w:tcPr>
            <w:tcW w:w="9863" w:type="dxa"/>
            <w:tcBorders/>
            <w:vAlign w:val="center"/>
          </w:tcPr>
          <w:p>
            <w:pPr>
              <w:pStyle w:val="TableContents"/>
              <w:bidi w:val="0"/>
              <w:spacing w:before="0" w:after="283"/>
              <w:jc w:val="both"/>
              <w:rPr>
                <w:sz w:val="20"/>
              </w:rPr>
            </w:pPr>
            <w:r>
              <w:rPr>
                <w:sz w:val="20"/>
              </w:rPr>
              <w:t>Includes related party amounts of $12 and $420 for the three months ended June 30, 2025 and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20"/>
              </w:rPr>
            </w:pPr>
            <w:r>
              <w:rPr>
                <w:sz w:val="20"/>
              </w:rPr>
              <w:t>(3)</w:t>
            </w:r>
          </w:p>
        </w:tc>
        <w:tc>
          <w:tcPr>
            <w:tcW w:w="9863" w:type="dxa"/>
            <w:tcBorders/>
            <w:vAlign w:val="center"/>
          </w:tcPr>
          <w:p>
            <w:pPr>
              <w:pStyle w:val="TableContents"/>
              <w:bidi w:val="0"/>
              <w:spacing w:before="0" w:after="283"/>
              <w:jc w:val="both"/>
              <w:rPr>
                <w:sz w:val="20"/>
              </w:rPr>
            </w:pPr>
            <w:r>
              <w:rPr>
                <w:sz w:val="20"/>
              </w:rPr>
              <w:t>Includes related party amounts of nil and $750 for the three months ended June 30, 2025 and June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50"/>
        <w:gridCol w:w="90"/>
        <w:gridCol w:w="290"/>
        <w:gridCol w:w="1213"/>
        <w:gridCol w:w="90"/>
        <w:gridCol w:w="90"/>
        <w:gridCol w:w="290"/>
        <w:gridCol w:w="1213"/>
        <w:gridCol w:w="90"/>
        <w:gridCol w:w="90"/>
        <w:gridCol w:w="170"/>
        <w:gridCol w:w="590"/>
        <w:gridCol w:w="125"/>
        <w:gridCol w:w="90"/>
        <w:gridCol w:w="90"/>
        <w:gridCol w:w="497"/>
        <w:gridCol w:w="137"/>
      </w:tblGrid>
      <w:tr>
        <w:trPr/>
        <w:tc>
          <w:tcPr>
            <w:tcW w:w="50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3" w:type="dxa"/>
            <w:gridSpan w:val="2"/>
            <w:tcBorders/>
            <w:vAlign w:val="center"/>
          </w:tcPr>
          <w:p>
            <w:pPr>
              <w:pStyle w:val="TableContents"/>
              <w:bidi w:val="0"/>
              <w:spacing w:before="0" w:after="283"/>
              <w:jc w:val="center"/>
              <w:rPr>
                <w:b/>
              </w:rPr>
            </w:pPr>
            <w:r>
              <w:rPr>
                <w:b/>
              </w:rPr>
              <w:t>Three</w:t>
              <w:br/>
              <w:t>Months Ended</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3" w:type="dxa"/>
            <w:gridSpan w:val="2"/>
            <w:tcBorders/>
            <w:vAlign w:val="center"/>
          </w:tcPr>
          <w:p>
            <w:pPr>
              <w:pStyle w:val="TableContents"/>
              <w:bidi w:val="0"/>
              <w:spacing w:before="0" w:after="283"/>
              <w:jc w:val="center"/>
              <w:rPr>
                <w:b/>
              </w:rPr>
            </w:pPr>
            <w:r>
              <w:rPr>
                <w:b/>
              </w:rPr>
              <w:t>Three</w:t>
              <w:br/>
              <w:t>Months Ended</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6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7" w:type="dxa"/>
            <w:tcBorders/>
            <w:vAlign w:val="center"/>
          </w:tcPr>
          <w:p>
            <w:pPr>
              <w:pStyle w:val="TableContents"/>
              <w:bidi w:val="0"/>
              <w:spacing w:before="0" w:after="283"/>
              <w:jc w:val="center"/>
              <w:rPr/>
            </w:pPr>
            <w:r>
              <w:rPr/>
              <w:t> </w:t>
            </w:r>
          </w:p>
        </w:tc>
      </w:tr>
      <w:tr>
        <w:trPr/>
        <w:tc>
          <w:tcPr>
            <w:tcW w:w="50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5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7" w:type="dxa"/>
            <w:tcBorders/>
            <w:vAlign w:val="center"/>
          </w:tcPr>
          <w:p>
            <w:pPr>
              <w:pStyle w:val="TableContents"/>
              <w:bidi w:val="0"/>
              <w:spacing w:before="0" w:after="283"/>
              <w:jc w:val="center"/>
              <w:rPr/>
            </w:pPr>
            <w:r>
              <w:rPr/>
              <w:t> </w:t>
            </w:r>
          </w:p>
        </w:tc>
      </w:tr>
      <w:tr>
        <w:trPr/>
        <w:tc>
          <w:tcPr>
            <w:tcW w:w="5050" w:type="dxa"/>
            <w:tcBorders/>
            <w:shd w:fill="CCEEFF" w:val="clear"/>
            <w:vAlign w:val="center"/>
          </w:tcPr>
          <w:p>
            <w:pPr>
              <w:pStyle w:val="TableContents"/>
              <w:bidi w:val="0"/>
              <w:spacing w:before="0" w:after="283"/>
              <w:jc w:val="left"/>
              <w:rPr/>
            </w:pPr>
            <w:r>
              <w:rPr/>
              <w:t>External research and development expenses</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16,416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3" w:type="dxa"/>
            <w:tcBorders/>
            <w:shd w:fill="CCEEFF" w:val="clear"/>
            <w:vAlign w:val="center"/>
          </w:tcPr>
          <w:p>
            <w:pPr>
              <w:pStyle w:val="TableContents"/>
              <w:bidi w:val="0"/>
              <w:spacing w:before="0" w:after="283"/>
              <w:jc w:val="right"/>
              <w:rPr/>
            </w:pPr>
            <w:r>
              <w:rPr/>
              <w:t>17,113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(4)%</w:t>
            </w:r>
          </w:p>
        </w:tc>
        <w:tc>
          <w:tcPr>
            <w:tcW w:w="137" w:type="dxa"/>
            <w:tcBorders/>
            <w:shd w:fill="CCEEFF" w:val="clear"/>
            <w:vAlign w:val="center"/>
          </w:tcPr>
          <w:p>
            <w:pPr>
              <w:pStyle w:val="TableContents"/>
              <w:bidi w:val="0"/>
              <w:spacing w:before="0" w:after="283"/>
              <w:jc w:val="left"/>
              <w:rPr/>
            </w:pPr>
            <w:r>
              <w:rPr/>
              <w:t> </w:t>
            </w:r>
          </w:p>
        </w:tc>
      </w:tr>
      <w:tr>
        <w:trPr/>
        <w:tc>
          <w:tcPr>
            <w:tcW w:w="5050"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r>
      <w:tr>
        <w:trPr/>
        <w:tc>
          <w:tcPr>
            <w:tcW w:w="5050" w:type="dxa"/>
            <w:tcBorders/>
            <w:shd w:fill="CCEEFF" w:val="clear"/>
            <w:vAlign w:val="center"/>
          </w:tcPr>
          <w:p>
            <w:pPr>
              <w:pStyle w:val="TableContents"/>
              <w:bidi w:val="0"/>
              <w:spacing w:before="0" w:after="283"/>
              <w:jc w:val="left"/>
              <w:rPr/>
            </w:pPr>
            <w:r>
              <w:rPr/>
              <w:t>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3,301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3" w:type="dxa"/>
            <w:tcBorders/>
            <w:shd w:fill="CCEEFF" w:val="clear"/>
            <w:vAlign w:val="center"/>
          </w:tcPr>
          <w:p>
            <w:pPr>
              <w:pStyle w:val="TableContents"/>
              <w:bidi w:val="0"/>
              <w:spacing w:before="0" w:after="283"/>
              <w:jc w:val="right"/>
              <w:rPr/>
            </w:pPr>
            <w:r>
              <w:rPr/>
              <w:t>876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2,425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w:t>
            </w:r>
          </w:p>
        </w:tc>
        <w:tc>
          <w:tcPr>
            <w:tcW w:w="137" w:type="dxa"/>
            <w:tcBorders/>
            <w:shd w:fill="CCEEFF" w:val="clear"/>
            <w:vAlign w:val="center"/>
          </w:tcPr>
          <w:p>
            <w:pPr>
              <w:pStyle w:val="TableContents"/>
              <w:bidi w:val="0"/>
              <w:spacing w:before="0" w:after="283"/>
              <w:jc w:val="left"/>
              <w:rPr/>
            </w:pPr>
            <w:r>
              <w:rPr/>
              <w:t> </w:t>
            </w:r>
          </w:p>
        </w:tc>
      </w:tr>
      <w:tr>
        <w:trPr/>
        <w:tc>
          <w:tcPr>
            <w:tcW w:w="5050"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3,368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right"/>
              <w:rPr/>
            </w:pPr>
            <w:r>
              <w:rPr/>
              <w:t>468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2,900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center"/>
              <w:rPr/>
            </w:pPr>
            <w:r>
              <w:rPr/>
              <w:t>*</w:t>
            </w:r>
          </w:p>
        </w:tc>
        <w:tc>
          <w:tcPr>
            <w:tcW w:w="137" w:type="dxa"/>
            <w:tcBorders/>
            <w:vAlign w:val="center"/>
          </w:tcPr>
          <w:p>
            <w:pPr>
              <w:pStyle w:val="TableContents"/>
              <w:bidi w:val="0"/>
              <w:spacing w:before="0" w:after="283"/>
              <w:jc w:val="left"/>
              <w:rPr/>
            </w:pPr>
            <w:r>
              <w:rPr/>
              <w:t> </w:t>
            </w:r>
          </w:p>
        </w:tc>
      </w:tr>
      <w:tr>
        <w:trPr/>
        <w:tc>
          <w:tcPr>
            <w:tcW w:w="505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1,002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3"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786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97" w:type="dxa"/>
            <w:tcBorders/>
            <w:shd w:fill="CCEEFF" w:val="clear"/>
            <w:vAlign w:val="center"/>
          </w:tcPr>
          <w:p>
            <w:pPr>
              <w:pStyle w:val="TableContents"/>
              <w:bidi w:val="0"/>
              <w:spacing w:before="0" w:after="283"/>
              <w:jc w:val="center"/>
              <w:rPr/>
            </w:pPr>
            <w:r>
              <w:rPr/>
              <w:t>*</w:t>
            </w:r>
          </w:p>
        </w:tc>
        <w:tc>
          <w:tcPr>
            <w:tcW w:w="137" w:type="dxa"/>
            <w:tcBorders/>
            <w:shd w:fill="CCEEFF" w:val="clear"/>
            <w:vAlign w:val="center"/>
          </w:tcPr>
          <w:p>
            <w:pPr>
              <w:pStyle w:val="TableContents"/>
              <w:bidi w:val="0"/>
              <w:spacing w:before="0" w:after="283"/>
              <w:jc w:val="left"/>
              <w:rPr/>
            </w:pPr>
            <w:r>
              <w:rPr/>
              <w:t> </w:t>
            </w:r>
          </w:p>
        </w:tc>
      </w:tr>
      <w:tr>
        <w:trPr/>
        <w:tc>
          <w:tcPr>
            <w:tcW w:w="5050"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3" w:type="dxa"/>
            <w:tcBorders>
              <w:bottom w:val="double" w:sz="10" w:space="0" w:color="000000"/>
            </w:tcBorders>
            <w:tcMar>
              <w:bottom w:w="28" w:type="dxa"/>
            </w:tcMar>
            <w:vAlign w:val="center"/>
          </w:tcPr>
          <w:p>
            <w:pPr>
              <w:pStyle w:val="TableContents"/>
              <w:bidi w:val="0"/>
              <w:spacing w:before="0" w:after="283"/>
              <w:jc w:val="right"/>
              <w:rPr/>
            </w:pPr>
            <w:r>
              <w:rPr/>
              <w:t>24,087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double" w:sz="10" w:space="0" w:color="000000"/>
            </w:tcBorders>
            <w:tcMar>
              <w:bottom w:w="28" w:type="dxa"/>
            </w:tcMar>
            <w:vAlign w:val="center"/>
          </w:tcPr>
          <w:p>
            <w:pPr>
              <w:pStyle w:val="TableContents"/>
              <w:bidi w:val="0"/>
              <w:spacing w:before="0" w:after="283"/>
              <w:jc w:val="left"/>
              <w:rPr/>
            </w:pPr>
            <w:r>
              <w:rPr/>
              <w:t>$</w:t>
            </w:r>
          </w:p>
        </w:tc>
        <w:tc>
          <w:tcPr>
            <w:tcW w:w="1213" w:type="dxa"/>
            <w:tcBorders>
              <w:bottom w:val="double" w:sz="10" w:space="0" w:color="000000"/>
            </w:tcBorders>
            <w:tcMar>
              <w:bottom w:w="28" w:type="dxa"/>
            </w:tcMar>
            <w:vAlign w:val="center"/>
          </w:tcPr>
          <w:p>
            <w:pPr>
              <w:pStyle w:val="TableContents"/>
              <w:bidi w:val="0"/>
              <w:spacing w:before="0" w:after="283"/>
              <w:jc w:val="right"/>
              <w:rPr/>
            </w:pPr>
            <w:r>
              <w:rPr/>
              <w:t>18,673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5,414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center"/>
              <w:rPr/>
            </w:pPr>
            <w:r>
              <w:rPr/>
              <w:t>29%</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105"/>
        <w:gridCol w:w="155"/>
        <w:gridCol w:w="227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both"/>
              <w:rPr>
                <w:sz w:val="20"/>
              </w:rPr>
            </w:pPr>
            <w:r>
              <w:rPr>
                <w:sz w:val="20"/>
              </w:rPr>
              <w:t>Percentage not meaningful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$5.4 million, from $18.7 million for the three months ended June 30, 2024 to $24.1 million for the three months ended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including CROs, CMOs and other third-party preclinical studies and clinical trials expenses decreased by $0.7 million, from $17.1 million for the three months ended June 30, 2024 to $16.4 million for the three months ended June 30, 2025. The decrease is primarily related to the decrease in research expenses incurred by Paragon partially offset by increased CMO product development and manufacturing expenses and an increase in our CRO expenses related to our ongoing clinical trials and toxicology studies.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$2.4 million, from $0.9 million for the three months ended June 30, 2024 to $3.3 million for the three months ended June 30, 2025, as we continue hiring employees in our research and development organization. Stock-based compensation expense increased by $2.9 million, from $0.5 million for the three months ended June 30, 2024 to $3.4 million for the three months ended June 30, 2025. The increase in stock-based compensation expense is related to the $1.3 million increase in Paruka warrant liability under the Option Agreements and $1.6 million related to the increase in employee awards. Other research and development expenses increased by $0.8 million, from $0.2 million for the three months ended June 30, 2024 to $1.0 million for the three months ended June 30, 2025, primarily due to increases to facilities and allocated overhead expenses as we commenced using our leased Menlo Park office space from June 2024 and Waltham office from April 2025, as well as an increase in our research and development employee count.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63"/>
        <w:gridCol w:w="90"/>
        <w:gridCol w:w="331"/>
        <w:gridCol w:w="1158"/>
        <w:gridCol w:w="90"/>
        <w:gridCol w:w="90"/>
        <w:gridCol w:w="331"/>
        <w:gridCol w:w="1158"/>
        <w:gridCol w:w="90"/>
        <w:gridCol w:w="90"/>
        <w:gridCol w:w="170"/>
        <w:gridCol w:w="590"/>
        <w:gridCol w:w="125"/>
        <w:gridCol w:w="90"/>
        <w:gridCol w:w="90"/>
        <w:gridCol w:w="612"/>
        <w:gridCol w:w="137"/>
      </w:tblGrid>
      <w:tr>
        <w:trPr/>
        <w:tc>
          <w:tcPr>
            <w:tcW w:w="49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9" w:type="dxa"/>
            <w:gridSpan w:val="2"/>
            <w:tcBorders/>
            <w:vAlign w:val="center"/>
          </w:tcPr>
          <w:p>
            <w:pPr>
              <w:pStyle w:val="TableContents"/>
              <w:bidi w:val="0"/>
              <w:spacing w:before="0" w:after="283"/>
              <w:jc w:val="center"/>
              <w:rPr>
                <w:b/>
              </w:rPr>
            </w:pPr>
            <w:r>
              <w:rPr>
                <w:b/>
              </w:rPr>
              <w:t>Three</w:t>
              <w:br/>
              <w:t>Months Ended</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9" w:type="dxa"/>
            <w:gridSpan w:val="2"/>
            <w:tcBorders/>
            <w:vAlign w:val="center"/>
          </w:tcPr>
          <w:p>
            <w:pPr>
              <w:pStyle w:val="TableContents"/>
              <w:bidi w:val="0"/>
              <w:spacing w:before="0" w:after="283"/>
              <w:jc w:val="center"/>
              <w:rPr>
                <w:b/>
              </w:rPr>
            </w:pPr>
            <w:r>
              <w:rPr>
                <w:b/>
              </w:rPr>
              <w:t>Three</w:t>
              <w:br/>
              <w:t>Months Ended</w:t>
              <w:br/>
              <w:t>June 30,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7" w:type="dxa"/>
            <w:tcBorders/>
            <w:vAlign w:val="center"/>
          </w:tcPr>
          <w:p>
            <w:pPr>
              <w:pStyle w:val="TableContents"/>
              <w:bidi w:val="0"/>
              <w:spacing w:before="0" w:after="283"/>
              <w:jc w:val="center"/>
              <w:rPr/>
            </w:pPr>
            <w:r>
              <w:rPr/>
              <w:t> </w:t>
            </w:r>
          </w:p>
        </w:tc>
      </w:tr>
      <w:tr>
        <w:trPr/>
        <w:tc>
          <w:tcPr>
            <w:tcW w:w="49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4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7" w:type="dxa"/>
            <w:tcBorders/>
            <w:vAlign w:val="center"/>
          </w:tcPr>
          <w:p>
            <w:pPr>
              <w:pStyle w:val="TableContents"/>
              <w:bidi w:val="0"/>
              <w:spacing w:before="0" w:after="283"/>
              <w:jc w:val="center"/>
              <w:rPr/>
            </w:pPr>
            <w:r>
              <w:rPr/>
              <w:t> </w:t>
            </w:r>
          </w:p>
        </w:tc>
      </w:tr>
      <w:tr>
        <w:trPr/>
        <w:tc>
          <w:tcPr>
            <w:tcW w:w="4963" w:type="dxa"/>
            <w:tcBorders/>
            <w:shd w:fill="CCEEFF" w:val="clear"/>
            <w:vAlign w:val="center"/>
          </w:tcPr>
          <w:p>
            <w:pPr>
              <w:pStyle w:val="TableContents"/>
              <w:bidi w:val="0"/>
              <w:spacing w:before="0" w:after="283"/>
              <w:jc w:val="left"/>
              <w:rPr/>
            </w:pPr>
            <w:r>
              <w:rPr/>
              <w:t>Personnel-related (including stock-based compensation)</w:t>
            </w:r>
          </w:p>
        </w:tc>
        <w:tc>
          <w:tcPr>
            <w:tcW w:w="9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3,426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1,374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2,052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center"/>
              <w:rPr/>
            </w:pPr>
            <w:r>
              <w:rPr/>
              <w:t>149%</w:t>
            </w:r>
          </w:p>
        </w:tc>
        <w:tc>
          <w:tcPr>
            <w:tcW w:w="137" w:type="dxa"/>
            <w:tcBorders/>
            <w:shd w:fill="CCEEFF" w:val="clear"/>
            <w:vAlign w:val="center"/>
          </w:tcPr>
          <w:p>
            <w:pPr>
              <w:pStyle w:val="TableContents"/>
              <w:bidi w:val="0"/>
              <w:spacing w:before="0" w:after="283"/>
              <w:ind w:left="0" w:right="0" w:hanging="184"/>
              <w:jc w:val="left"/>
              <w:rPr/>
            </w:pPr>
            <w:r>
              <w:rPr/>
              <w:t> </w:t>
            </w:r>
          </w:p>
        </w:tc>
      </w:tr>
      <w:tr>
        <w:trPr/>
        <w:tc>
          <w:tcPr>
            <w:tcW w:w="4963" w:type="dxa"/>
            <w:tcBorders/>
            <w:vAlign w:val="center"/>
          </w:tcPr>
          <w:p>
            <w:pPr>
              <w:pStyle w:val="TableContents"/>
              <w:bidi w:val="0"/>
              <w:spacing w:before="0" w:after="283"/>
              <w:jc w:val="left"/>
              <w:rPr/>
            </w:pPr>
            <w:r>
              <w:rPr/>
              <w:t>Professional and consulting services</w:t>
            </w:r>
          </w:p>
        </w:tc>
        <w:tc>
          <w:tcPr>
            <w:tcW w:w="9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758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1,419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pPr>
            <w:r>
              <w:rPr/>
              <w:t>(47)%</w:t>
            </w:r>
          </w:p>
        </w:tc>
        <w:tc>
          <w:tcPr>
            <w:tcW w:w="137" w:type="dxa"/>
            <w:tcBorders/>
            <w:vAlign w:val="center"/>
          </w:tcPr>
          <w:p>
            <w:pPr>
              <w:pStyle w:val="TableContents"/>
              <w:bidi w:val="0"/>
              <w:spacing w:before="0" w:after="283"/>
              <w:jc w:val="left"/>
              <w:rPr/>
            </w:pPr>
            <w:r>
              <w:rPr/>
              <w:t> </w:t>
            </w:r>
          </w:p>
        </w:tc>
      </w:tr>
      <w:tr>
        <w:trPr/>
        <w:tc>
          <w:tcPr>
            <w:tcW w:w="4963"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158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center"/>
              <w:rPr/>
            </w:pPr>
            <w:r>
              <w:rPr/>
              <w:t>*</w:t>
            </w:r>
          </w:p>
        </w:tc>
        <w:tc>
          <w:tcPr>
            <w:tcW w:w="137" w:type="dxa"/>
            <w:tcBorders/>
            <w:shd w:fill="CCEEFF" w:val="clear"/>
            <w:vAlign w:val="center"/>
          </w:tcPr>
          <w:p>
            <w:pPr>
              <w:pStyle w:val="TableContents"/>
              <w:bidi w:val="0"/>
              <w:spacing w:before="0" w:after="283"/>
              <w:jc w:val="left"/>
              <w:rPr/>
            </w:pPr>
            <w:r>
              <w:rPr/>
              <w:t> </w:t>
            </w:r>
          </w:p>
        </w:tc>
      </w:tr>
      <w:tr>
        <w:trPr/>
        <w:tc>
          <w:tcPr>
            <w:tcW w:w="4963"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331" w:type="dxa"/>
            <w:tcBorders>
              <w:bottom w:val="double" w:sz="10" w:space="0" w:color="000000"/>
            </w:tcBorders>
            <w:tcMar>
              <w:bottom w:w="28" w:type="dxa"/>
            </w:tcMar>
            <w:vAlign w:val="center"/>
          </w:tcPr>
          <w:p>
            <w:pPr>
              <w:pStyle w:val="TableContents"/>
              <w:bidi w:val="0"/>
              <w:spacing w:before="0" w:after="283"/>
              <w:jc w:val="left"/>
              <w:rPr/>
            </w:pPr>
            <w:r>
              <w:rPr/>
              <w:t>$</w:t>
            </w:r>
          </w:p>
        </w:tc>
        <w:tc>
          <w:tcPr>
            <w:tcW w:w="1158" w:type="dxa"/>
            <w:tcBorders>
              <w:bottom w:val="double" w:sz="10" w:space="0" w:color="000000"/>
            </w:tcBorders>
            <w:tcMar>
              <w:bottom w:w="28" w:type="dxa"/>
            </w:tcMar>
            <w:vAlign w:val="center"/>
          </w:tcPr>
          <w:p>
            <w:pPr>
              <w:pStyle w:val="TableContents"/>
              <w:bidi w:val="0"/>
              <w:spacing w:before="0" w:after="283"/>
              <w:jc w:val="right"/>
              <w:rPr/>
            </w:pPr>
            <w:r>
              <w:rPr/>
              <w:t>4,342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1" w:type="dxa"/>
            <w:tcBorders>
              <w:bottom w:val="double" w:sz="10" w:space="0" w:color="000000"/>
            </w:tcBorders>
            <w:tcMar>
              <w:bottom w:w="28" w:type="dxa"/>
            </w:tcMar>
            <w:vAlign w:val="center"/>
          </w:tcPr>
          <w:p>
            <w:pPr>
              <w:pStyle w:val="TableContents"/>
              <w:bidi w:val="0"/>
              <w:spacing w:before="0" w:after="283"/>
              <w:jc w:val="left"/>
              <w:rPr/>
            </w:pPr>
            <w:r>
              <w:rPr/>
              <w:t>$</w:t>
            </w:r>
          </w:p>
        </w:tc>
        <w:tc>
          <w:tcPr>
            <w:tcW w:w="1158" w:type="dxa"/>
            <w:tcBorders>
              <w:bottom w:val="double" w:sz="10" w:space="0" w:color="000000"/>
            </w:tcBorders>
            <w:tcMar>
              <w:bottom w:w="28" w:type="dxa"/>
            </w:tcMar>
            <w:vAlign w:val="center"/>
          </w:tcPr>
          <w:p>
            <w:pPr>
              <w:pStyle w:val="TableContents"/>
              <w:bidi w:val="0"/>
              <w:spacing w:before="0" w:after="283"/>
              <w:jc w:val="right"/>
              <w:rPr/>
            </w:pPr>
            <w:r>
              <w:rPr/>
              <w:t>2,820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1,522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2" w:type="dxa"/>
            <w:tcBorders/>
            <w:vAlign w:val="center"/>
          </w:tcPr>
          <w:p>
            <w:pPr>
              <w:pStyle w:val="TableContents"/>
              <w:bidi w:val="0"/>
              <w:spacing w:before="0" w:after="283"/>
              <w:jc w:val="center"/>
              <w:rPr/>
            </w:pPr>
            <w:r>
              <w:rPr/>
              <w:t>54%</w:t>
            </w:r>
          </w:p>
        </w:tc>
        <w:tc>
          <w:tcPr>
            <w:tcW w:w="13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General and administrative expenses increased by $1.5 million, from $2.8 million for the three months ended June 30, 2024 to $4.3 million for the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$2.1 million, from $1.3 million for the three months ended June 30, 2024 to $3.4 million for the three months ended June 30, 2025, as a result of continued hiring of executives and administrative employees. Stock-based compensation expense increased by $1.5 million, from $0.2 million for the three months ended June 30, 2024 to $1.7 million for three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professional and consulting services decreased by $0.6 million, from $1.4 million for the three months ended June 30, 2024 to $0.8 million for the three months ended June 30, 2025, due to higher spending in the prior period on accounting, audit, and legal fees as we began preparation to become a public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increased by $0.1 million primarily due to facilities and allocated overhead expenses as we commenced using our leased Menlo Park office space from June 2024 and Waltham office from April 2025, as well as an increase in our employee 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$3.9 million for the three months ended June 30, 2025. No interest income was recorded for the three months ended June 30, 2024.</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interest expense was recorded during the three months ended June 30, 2025. Interest expense of $0.8 million was incurred for the three months ended June 30, 2024 relating to the Convertible Note issued to Fairmount in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Six Months Ended June 30, 2025, and the period from February 6 (inception) to 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and comprehensive loss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8519" w:type="dxa"/>
        <w:jc w:val="left"/>
        <w:tblInd w:w="0" w:type="dxa"/>
        <w:tblLayout w:type="fixed"/>
        <w:tblCellMar>
          <w:top w:w="0" w:type="dxa"/>
          <w:left w:w="0" w:type="dxa"/>
          <w:bottom w:w="0" w:type="dxa"/>
          <w:right w:w="0" w:type="dxa"/>
        </w:tblCellMar>
      </w:tblPr>
      <w:tblGrid>
        <w:gridCol w:w="3230"/>
        <w:gridCol w:w="90"/>
        <w:gridCol w:w="214"/>
        <w:gridCol w:w="991"/>
        <w:gridCol w:w="125"/>
        <w:gridCol w:w="90"/>
        <w:gridCol w:w="251"/>
        <w:gridCol w:w="1163"/>
        <w:gridCol w:w="125"/>
        <w:gridCol w:w="90"/>
        <w:gridCol w:w="170"/>
        <w:gridCol w:w="785"/>
        <w:gridCol w:w="125"/>
        <w:gridCol w:w="90"/>
        <w:gridCol w:w="90"/>
        <w:gridCol w:w="755"/>
        <w:gridCol w:w="135"/>
      </w:tblGrid>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Six Months</w:t>
              <w:br/>
              <w:t>Ended</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Period from</w:t>
              <w:br/>
              <w:t>February 6,</w:t>
              <w:br/>
              <w:t>2024</w:t>
              <w:br/>
              <w:t>(Inception) to</w:t>
              <w:br/>
              <w:t>June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Operating expenses</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Research and development</w:t>
            </w:r>
            <w:r>
              <w:rPr>
                <w:position w:val="8"/>
                <w:sz w:val="19"/>
              </w:rPr>
              <w:t>(1)</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44,012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23,866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20,146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755" w:type="dxa"/>
            <w:tcBorders/>
            <w:shd w:fill="CCEEFF" w:val="clear"/>
            <w:vAlign w:val="center"/>
          </w:tcPr>
          <w:p>
            <w:pPr>
              <w:pStyle w:val="TableContents"/>
              <w:bidi w:val="0"/>
              <w:spacing w:before="0" w:after="283"/>
              <w:jc w:val="center"/>
              <w:rPr/>
            </w:pPr>
            <w:r>
              <w:rPr/>
              <w:t>84%</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General and administrative</w:t>
            </w:r>
            <w:r>
              <w:rPr>
                <w:position w:val="8"/>
                <w:sz w:val="19"/>
              </w:rPr>
              <w:t>(2)</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9,503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4,490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5,013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r>
              <w:rPr/>
              <w:t>112%</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53,515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28,356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25,159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755" w:type="dxa"/>
            <w:tcBorders/>
            <w:shd w:fill="CCEEFF" w:val="clear"/>
            <w:vAlign w:val="center"/>
          </w:tcPr>
          <w:p>
            <w:pPr>
              <w:pStyle w:val="TableContents"/>
              <w:bidi w:val="0"/>
              <w:spacing w:before="0" w:after="283"/>
              <w:jc w:val="center"/>
              <w:rPr/>
            </w:pPr>
            <w:r>
              <w:rPr/>
              <w:t>89%</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(53,515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(28,356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(25,159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r>
              <w:rPr/>
              <w:t>89%</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7,949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7,949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Interest expense</w:t>
            </w:r>
            <w:r>
              <w:rPr>
                <w:position w:val="8"/>
                <w:sz w:val="19"/>
              </w:rPr>
              <w:t>(3)</w:t>
            </w:r>
          </w:p>
        </w:tc>
        <w:tc>
          <w:tcPr>
            <w:tcW w:w="9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755" w:type="dxa"/>
            <w:tcBorders/>
            <w:shd w:fill="CCEEFF" w:val="clear"/>
            <w:vAlign w:val="center"/>
          </w:tcPr>
          <w:p>
            <w:pPr>
              <w:pStyle w:val="TableContents"/>
              <w:bidi w:val="0"/>
              <w:spacing w:before="0" w:after="283"/>
              <w:jc w:val="center"/>
              <w:rPr/>
            </w:pPr>
            <w:r>
              <w:rPr/>
              <w:t>(100)%</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Other expense, net</w:t>
            </w:r>
          </w:p>
        </w:tc>
        <w:tc>
          <w:tcPr>
            <w:tcW w:w="90" w:type="dxa"/>
            <w:tcBorders/>
            <w:vAlign w:val="center"/>
          </w:tcPr>
          <w:p>
            <w:pPr>
              <w:pStyle w:val="TableContents"/>
              <w:bidi w:val="0"/>
              <w:spacing w:before="0" w:after="283"/>
              <w:jc w:val="left"/>
              <w:rPr/>
            </w:pPr>
            <w:r>
              <w:rPr/>
              <w:t> </w:t>
            </w:r>
          </w:p>
        </w:tc>
        <w:tc>
          <w:tcPr>
            <w:tcW w:w="214" w:type="dxa"/>
            <w:tcBorders>
              <w:bottom w:val="single" w:sz="12" w:space="0" w:color="000000"/>
            </w:tcBorders>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1" w:type="dxa"/>
            <w:tcBorders>
              <w:bottom w:val="single" w:sz="12" w:space="0" w:color="000000"/>
            </w:tcBorders>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r>
              <w:rPr/>
              <w:t>100%</w:t>
            </w:r>
          </w:p>
        </w:tc>
        <w:tc>
          <w:tcPr>
            <w:tcW w:w="13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Total other income (expense), net</w:t>
            </w:r>
          </w:p>
        </w:tc>
        <w:tc>
          <w:tcPr>
            <w:tcW w:w="90" w:type="dxa"/>
            <w:tcBorders/>
            <w:shd w:fill="CCEEFF" w:val="clear"/>
            <w:vAlign w:val="center"/>
          </w:tcPr>
          <w:p>
            <w:pPr>
              <w:pStyle w:val="TableContents"/>
              <w:bidi w:val="0"/>
              <w:spacing w:before="0" w:after="283"/>
              <w:jc w:val="left"/>
              <w:rPr/>
            </w:pPr>
            <w:r>
              <w:rPr/>
              <w:t> </w:t>
            </w:r>
          </w:p>
        </w:tc>
        <w:tc>
          <w:tcPr>
            <w:tcW w:w="2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pPr>
            <w:r>
              <w:rPr/>
              <w:t>7,942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(964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8,906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center"/>
              <w:rPr/>
            </w:pPr>
            <w:r>
              <w:rPr/>
              <w:t> </w:t>
            </w:r>
          </w:p>
        </w:tc>
        <w:tc>
          <w:tcPr>
            <w:tcW w:w="755" w:type="dxa"/>
            <w:tcBorders/>
            <w:shd w:fill="CCEEFF" w:val="clear"/>
            <w:vAlign w:val="center"/>
          </w:tcPr>
          <w:p>
            <w:pPr>
              <w:pStyle w:val="TableContents"/>
              <w:bidi w:val="0"/>
              <w:spacing w:before="0" w:after="283"/>
              <w:jc w:val="center"/>
              <w:rPr>
                <w:sz w:val="20"/>
              </w:rPr>
            </w:pPr>
            <w:r>
              <w:rPr>
                <w:sz w:val="20"/>
              </w:rPr>
              <w:t>*</w:t>
            </w:r>
          </w:p>
        </w:tc>
        <w:tc>
          <w:tcPr>
            <w:tcW w:w="13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214" w:type="dxa"/>
            <w:tcBorders>
              <w:bottom w:val="double" w:sz="10" w:space="0" w:color="000000"/>
            </w:tcBorders>
            <w:tcMar>
              <w:bottom w:w="28" w:type="dxa"/>
            </w:tcMar>
            <w:vAlign w:val="center"/>
          </w:tcPr>
          <w:p>
            <w:pPr>
              <w:pStyle w:val="TableContents"/>
              <w:bidi w:val="0"/>
              <w:spacing w:before="0" w:after="283"/>
              <w:jc w:val="left"/>
              <w:rPr/>
            </w:pPr>
            <w:r>
              <w:rPr/>
              <w:t>$</w:t>
            </w:r>
          </w:p>
        </w:tc>
        <w:tc>
          <w:tcPr>
            <w:tcW w:w="991" w:type="dxa"/>
            <w:tcBorders>
              <w:bottom w:val="double" w:sz="10" w:space="0" w:color="000000"/>
            </w:tcBorders>
            <w:tcMar>
              <w:bottom w:w="28" w:type="dxa"/>
            </w:tcMar>
            <w:vAlign w:val="center"/>
          </w:tcPr>
          <w:p>
            <w:pPr>
              <w:pStyle w:val="TableContents"/>
              <w:bidi w:val="0"/>
              <w:spacing w:before="0" w:after="283"/>
              <w:jc w:val="right"/>
              <w:rPr/>
            </w:pPr>
            <w:r>
              <w:rPr/>
              <w:t>(45,573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51" w:type="dxa"/>
            <w:tcBorders>
              <w:bottom w:val="double" w:sz="10" w:space="0" w:color="000000"/>
            </w:tcBorders>
            <w:tcMar>
              <w:bottom w:w="28" w:type="dxa"/>
            </w:tcMar>
            <w:vAlign w:val="center"/>
          </w:tcPr>
          <w:p>
            <w:pPr>
              <w:pStyle w:val="TableContents"/>
              <w:bidi w:val="0"/>
              <w:spacing w:before="0" w:after="283"/>
              <w:jc w:val="left"/>
              <w:rPr/>
            </w:pPr>
            <w:r>
              <w:rPr/>
              <w:t>$</w:t>
            </w:r>
          </w:p>
        </w:tc>
        <w:tc>
          <w:tcPr>
            <w:tcW w:w="1163" w:type="dxa"/>
            <w:tcBorders>
              <w:bottom w:val="double" w:sz="10" w:space="0" w:color="000000"/>
            </w:tcBorders>
            <w:tcMar>
              <w:bottom w:w="28" w:type="dxa"/>
            </w:tcMar>
            <w:vAlign w:val="center"/>
          </w:tcPr>
          <w:p>
            <w:pPr>
              <w:pStyle w:val="TableContents"/>
              <w:bidi w:val="0"/>
              <w:spacing w:before="0" w:after="283"/>
              <w:jc w:val="right"/>
              <w:rPr/>
            </w:pPr>
            <w:r>
              <w:rPr/>
              <w:t>(29,320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85" w:type="dxa"/>
            <w:tcBorders>
              <w:bottom w:val="double" w:sz="10" w:space="0" w:color="000000"/>
            </w:tcBorders>
            <w:tcMar>
              <w:bottom w:w="28" w:type="dxa"/>
            </w:tcMar>
            <w:vAlign w:val="center"/>
          </w:tcPr>
          <w:p>
            <w:pPr>
              <w:pStyle w:val="TableContents"/>
              <w:bidi w:val="0"/>
              <w:spacing w:before="0" w:after="283"/>
              <w:jc w:val="right"/>
              <w:rPr/>
            </w:pPr>
            <w:r>
              <w:rPr/>
              <w:t>(16,253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755" w:type="dxa"/>
            <w:tcBorders/>
            <w:vAlign w:val="center"/>
          </w:tcPr>
          <w:p>
            <w:pPr>
              <w:pStyle w:val="TableContents"/>
              <w:bidi w:val="0"/>
              <w:spacing w:before="0" w:after="283"/>
              <w:jc w:val="center"/>
              <w:rPr/>
            </w:pPr>
            <w:r>
              <w:rPr/>
              <w:t>55%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both"/>
              <w:rPr>
                <w:sz w:val="20"/>
              </w:rPr>
            </w:pPr>
            <w:r>
              <w:rPr>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sz w:val="20"/>
              </w:rPr>
            </w:pPr>
            <w:r>
              <w:rPr>
                <w:sz w:val="20"/>
              </w:rPr>
              <w:t>(1)</w:t>
            </w:r>
          </w:p>
        </w:tc>
        <w:tc>
          <w:tcPr>
            <w:tcW w:w="9935" w:type="dxa"/>
            <w:tcBorders/>
            <w:vAlign w:val="center"/>
          </w:tcPr>
          <w:p>
            <w:pPr>
              <w:pStyle w:val="TableContents"/>
              <w:bidi w:val="0"/>
              <w:spacing w:before="0" w:after="283"/>
              <w:jc w:val="both"/>
              <w:rPr>
                <w:sz w:val="20"/>
              </w:rPr>
            </w:pPr>
            <w:r>
              <w:rPr>
                <w:sz w:val="20"/>
              </w:rPr>
              <w:t>Includes related party amounts of $6,403 and $20,430 for the six months ended June 30, 2025 and the period from February 6, 2024 (inception) to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sz w:val="20"/>
              </w:rPr>
            </w:pPr>
            <w:r>
              <w:rPr>
                <w:sz w:val="20"/>
              </w:rPr>
              <w:t>(2)</w:t>
            </w:r>
          </w:p>
        </w:tc>
        <w:tc>
          <w:tcPr>
            <w:tcW w:w="9934" w:type="dxa"/>
            <w:tcBorders/>
            <w:vAlign w:val="center"/>
          </w:tcPr>
          <w:p>
            <w:pPr>
              <w:pStyle w:val="TableContents"/>
              <w:bidi w:val="0"/>
              <w:spacing w:before="0" w:after="283"/>
              <w:jc w:val="both"/>
              <w:rPr>
                <w:sz w:val="20"/>
              </w:rPr>
            </w:pPr>
            <w:r>
              <w:rPr>
                <w:sz w:val="20"/>
              </w:rPr>
              <w:t>Includes related party amounts of $122 and $1,268 for the six months ended June 30, 2025 and the period from February 6, 2024 (inception) to June 30, 2024,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sz w:val="20"/>
              </w:rPr>
            </w:pPr>
            <w:r>
              <w:rPr>
                <w:sz w:val="20"/>
              </w:rPr>
              <w:t>(3)</w:t>
            </w:r>
          </w:p>
        </w:tc>
        <w:tc>
          <w:tcPr>
            <w:tcW w:w="9933" w:type="dxa"/>
            <w:tcBorders/>
            <w:vAlign w:val="center"/>
          </w:tcPr>
          <w:p>
            <w:pPr>
              <w:pStyle w:val="TableContents"/>
              <w:bidi w:val="0"/>
              <w:spacing w:before="0" w:after="283"/>
              <w:jc w:val="both"/>
              <w:rPr>
                <w:sz w:val="20"/>
              </w:rPr>
            </w:pPr>
            <w:r>
              <w:rPr>
                <w:sz w:val="20"/>
              </w:rPr>
              <w:t>Includes related party amounts of nil and $964 for the six months ended June 30, 2025 and the period from February 6, 2024 (inception) to June 30,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research and development expenses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6"/>
        <w:gridCol w:w="90"/>
        <w:gridCol w:w="232"/>
        <w:gridCol w:w="973"/>
        <w:gridCol w:w="90"/>
        <w:gridCol w:w="90"/>
        <w:gridCol w:w="272"/>
        <w:gridCol w:w="1140"/>
        <w:gridCol w:w="90"/>
        <w:gridCol w:w="90"/>
        <w:gridCol w:w="170"/>
        <w:gridCol w:w="710"/>
        <w:gridCol w:w="90"/>
        <w:gridCol w:w="90"/>
        <w:gridCol w:w="90"/>
        <w:gridCol w:w="484"/>
        <w:gridCol w:w="138"/>
      </w:tblGrid>
      <w:tr>
        <w:trPr/>
        <w:tc>
          <w:tcPr>
            <w:tcW w:w="536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Six Months</w:t>
              <w:br/>
              <w:t>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2" w:type="dxa"/>
            <w:gridSpan w:val="2"/>
            <w:tcBorders/>
            <w:vAlign w:val="center"/>
          </w:tcPr>
          <w:p>
            <w:pPr>
              <w:pStyle w:val="TableContents"/>
              <w:bidi w:val="0"/>
              <w:spacing w:before="0" w:after="283"/>
              <w:jc w:val="center"/>
              <w:rPr>
                <w:b/>
              </w:rPr>
            </w:pPr>
            <w:r>
              <w:rPr>
                <w:b/>
              </w:rPr>
              <w:t>Period from</w:t>
              <w:br/>
              <w:t>February 6,</w:t>
              <w:br/>
              <w:t>2024</w:t>
              <w:br/>
              <w:t>(Inception) to</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8" w:type="dxa"/>
            <w:tcBorders/>
            <w:vAlign w:val="center"/>
          </w:tcPr>
          <w:p>
            <w:pPr>
              <w:pStyle w:val="TableContents"/>
              <w:bidi w:val="0"/>
              <w:spacing w:before="0" w:after="283"/>
              <w:jc w:val="left"/>
              <w:rPr/>
            </w:pPr>
            <w:r>
              <w:rPr/>
              <w:t> </w:t>
            </w:r>
          </w:p>
        </w:tc>
      </w:tr>
      <w:tr>
        <w:trPr/>
        <w:tc>
          <w:tcPr>
            <w:tcW w:w="536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8" w:type="dxa"/>
            <w:tcBorders/>
            <w:vAlign w:val="center"/>
          </w:tcPr>
          <w:p>
            <w:pPr>
              <w:pStyle w:val="TableContents"/>
              <w:bidi w:val="0"/>
              <w:spacing w:before="0" w:after="283"/>
              <w:ind w:left="0" w:right="0" w:hanging="184"/>
              <w:jc w:val="left"/>
              <w:rPr/>
            </w:pPr>
            <w:r>
              <w:rPr/>
              <w:t> </w:t>
            </w:r>
          </w:p>
        </w:tc>
      </w:tr>
      <w:tr>
        <w:trPr/>
        <w:tc>
          <w:tcPr>
            <w:tcW w:w="5366" w:type="dxa"/>
            <w:tcBorders/>
            <w:shd w:fill="CCEEFF" w:val="clear"/>
            <w:vAlign w:val="center"/>
          </w:tcPr>
          <w:p>
            <w:pPr>
              <w:pStyle w:val="TableContents"/>
              <w:bidi w:val="0"/>
              <w:spacing w:before="0" w:after="283"/>
              <w:jc w:val="left"/>
              <w:rPr/>
            </w:pPr>
            <w:r>
              <w:rPr/>
              <w:t>External research and development expenses</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30,026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22,018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8,008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center"/>
              <w:rPr/>
            </w:pPr>
            <w:r>
              <w:rPr/>
              <w:t>36%</w:t>
            </w:r>
          </w:p>
        </w:tc>
        <w:tc>
          <w:tcPr>
            <w:tcW w:w="138" w:type="dxa"/>
            <w:tcBorders/>
            <w:shd w:fill="CCEEFF" w:val="clear"/>
            <w:vAlign w:val="center"/>
          </w:tcPr>
          <w:p>
            <w:pPr>
              <w:pStyle w:val="TableContents"/>
              <w:bidi w:val="0"/>
              <w:spacing w:before="0" w:after="283"/>
              <w:jc w:val="left"/>
              <w:rPr/>
            </w:pPr>
            <w:r>
              <w:rPr/>
              <w:t> </w:t>
            </w:r>
          </w:p>
        </w:tc>
      </w:tr>
      <w:tr>
        <w:trPr/>
        <w:tc>
          <w:tcPr>
            <w:tcW w:w="5366" w:type="dxa"/>
            <w:tcBorders/>
            <w:vAlign w:val="center"/>
          </w:tcPr>
          <w:p>
            <w:pPr>
              <w:pStyle w:val="TableContents"/>
              <w:bidi w:val="0"/>
              <w:spacing w:before="0" w:after="283"/>
              <w:jc w:val="left"/>
              <w:rPr/>
            </w:pPr>
            <w:r>
              <w:rPr/>
              <w:t>Other research and development expenses:</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center"/>
              <w:rPr/>
            </w:pPr>
            <w:r>
              <w:rPr/>
              <w:t> </w:t>
            </w:r>
          </w:p>
        </w:tc>
        <w:tc>
          <w:tcPr>
            <w:tcW w:w="138" w:type="dxa"/>
            <w:tcBorders/>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283"/>
              <w:jc w:val="left"/>
              <w:rPr/>
            </w:pPr>
            <w:r>
              <w:rPr/>
              <w:t>Personnel-related (excluding stock-based compensation)</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5,764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4,694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center"/>
              <w:rPr>
                <w:sz w:val="20"/>
              </w:rPr>
            </w:pPr>
            <w:r>
              <w:rPr>
                <w:sz w:val="20"/>
              </w:rPr>
              <w:t>*</w:t>
            </w:r>
          </w:p>
        </w:tc>
        <w:tc>
          <w:tcPr>
            <w:tcW w:w="138" w:type="dxa"/>
            <w:tcBorders/>
            <w:shd w:fill="CCEEFF" w:val="clear"/>
            <w:vAlign w:val="center"/>
          </w:tcPr>
          <w:p>
            <w:pPr>
              <w:pStyle w:val="TableContents"/>
              <w:bidi w:val="0"/>
              <w:spacing w:before="0" w:after="283"/>
              <w:jc w:val="left"/>
              <w:rPr/>
            </w:pPr>
            <w:r>
              <w:rPr/>
              <w:t> </w:t>
            </w:r>
          </w:p>
        </w:tc>
      </w:tr>
      <w:tr>
        <w:trPr/>
        <w:tc>
          <w:tcPr>
            <w:tcW w:w="5366"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6,371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center"/>
              <w:rPr>
                <w:sz w:val="20"/>
              </w:rPr>
            </w:pPr>
            <w:r>
              <w:rPr>
                <w:sz w:val="20"/>
              </w:rPr>
              <w:t>*</w:t>
            </w:r>
          </w:p>
        </w:tc>
        <w:tc>
          <w:tcPr>
            <w:tcW w:w="138" w:type="dxa"/>
            <w:tcBorders/>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12" w:space="0" w:color="000000"/>
            </w:tcBorders>
            <w:shd w:fill="CCEEFF" w:val="clear"/>
            <w:tcMar>
              <w:bottom w:w="28" w:type="dxa"/>
            </w:tcMar>
            <w:vAlign w:val="center"/>
          </w:tcPr>
          <w:p>
            <w:pPr>
              <w:pStyle w:val="TableContents"/>
              <w:bidi w:val="0"/>
              <w:spacing w:before="0" w:after="283"/>
              <w:jc w:val="right"/>
              <w:rPr/>
            </w:pPr>
            <w:r>
              <w:rPr/>
              <w:t>1,851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0" w:type="dxa"/>
            <w:tcBorders>
              <w:bottom w:val="single" w:sz="12" w:space="0" w:color="000000"/>
            </w:tcBorders>
            <w:shd w:fill="CCEEFF" w:val="clear"/>
            <w:tcMar>
              <w:bottom w:w="28" w:type="dxa"/>
            </w:tcMar>
            <w:vAlign w:val="center"/>
          </w:tcPr>
          <w:p>
            <w:pPr>
              <w:pStyle w:val="TableContents"/>
              <w:bidi w:val="0"/>
              <w:spacing w:before="0" w:after="283"/>
              <w:jc w:val="right"/>
              <w:rPr/>
            </w:pPr>
            <w:r>
              <w:rPr/>
              <w:t>240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1,611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center"/>
              <w:rPr>
                <w:sz w:val="20"/>
              </w:rPr>
            </w:pPr>
            <w:r>
              <w:rPr>
                <w:sz w:val="20"/>
              </w:rPr>
              <w:t>*</w:t>
            </w:r>
          </w:p>
        </w:tc>
        <w:tc>
          <w:tcPr>
            <w:tcW w:w="138" w:type="dxa"/>
            <w:tcBorders/>
            <w:shd w:fill="CCEEFF" w:val="clear"/>
            <w:vAlign w:val="center"/>
          </w:tcPr>
          <w:p>
            <w:pPr>
              <w:pStyle w:val="TableContents"/>
              <w:bidi w:val="0"/>
              <w:spacing w:before="0" w:after="283"/>
              <w:jc w:val="left"/>
              <w:rPr/>
            </w:pPr>
            <w:r>
              <w:rPr/>
              <w:t> </w:t>
            </w:r>
          </w:p>
        </w:tc>
      </w:tr>
      <w:tr>
        <w:trPr/>
        <w:tc>
          <w:tcPr>
            <w:tcW w:w="5366" w:type="dxa"/>
            <w:tcBorders/>
            <w:vAlign w:val="center"/>
          </w:tcPr>
          <w:p>
            <w:pPr>
              <w:pStyle w:val="TableContents"/>
              <w:bidi w:val="0"/>
              <w:spacing w:before="0" w:after="283"/>
              <w:jc w:val="left"/>
              <w:rPr/>
            </w:pPr>
            <w:r>
              <w:rPr/>
              <w:t>Total research and development expenses</w:t>
            </w:r>
          </w:p>
        </w:tc>
        <w:tc>
          <w:tcPr>
            <w:tcW w:w="90" w:type="dxa"/>
            <w:tcBorders/>
            <w:vAlign w:val="center"/>
          </w:tcPr>
          <w:p>
            <w:pPr>
              <w:pStyle w:val="TableContents"/>
              <w:bidi w:val="0"/>
              <w:spacing w:before="0" w:after="283"/>
              <w:jc w:val="left"/>
              <w:rPr/>
            </w:pPr>
            <w:r>
              <w:rPr/>
              <w:t> </w:t>
            </w:r>
          </w:p>
        </w:tc>
        <w:tc>
          <w:tcPr>
            <w:tcW w:w="232" w:type="dxa"/>
            <w:tcBorders>
              <w:bottom w:val="double" w:sz="10" w:space="0" w:color="000000"/>
            </w:tcBorders>
            <w:tcMar>
              <w:bottom w:w="28" w:type="dxa"/>
            </w:tcMar>
            <w:vAlign w:val="center"/>
          </w:tcPr>
          <w:p>
            <w:pPr>
              <w:pStyle w:val="TableContents"/>
              <w:bidi w:val="0"/>
              <w:spacing w:before="0" w:after="283"/>
              <w:jc w:val="left"/>
              <w:rPr/>
            </w:pPr>
            <w:r>
              <w:rPr/>
              <w:t>$</w:t>
            </w:r>
          </w:p>
        </w:tc>
        <w:tc>
          <w:tcPr>
            <w:tcW w:w="973" w:type="dxa"/>
            <w:tcBorders>
              <w:bottom w:val="double" w:sz="10" w:space="0" w:color="000000"/>
            </w:tcBorders>
            <w:tcMar>
              <w:bottom w:w="28" w:type="dxa"/>
            </w:tcMar>
            <w:vAlign w:val="center"/>
          </w:tcPr>
          <w:p>
            <w:pPr>
              <w:pStyle w:val="TableContents"/>
              <w:bidi w:val="0"/>
              <w:spacing w:before="0" w:after="283"/>
              <w:jc w:val="right"/>
              <w:rPr/>
            </w:pPr>
            <w:r>
              <w:rPr/>
              <w:t>44,012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 w:type="dxa"/>
            <w:tcBorders>
              <w:bottom w:val="double" w:sz="10" w:space="0" w:color="000000"/>
            </w:tcBorders>
            <w:tcMar>
              <w:bottom w:w="28" w:type="dxa"/>
            </w:tcMar>
            <w:vAlign w:val="center"/>
          </w:tcPr>
          <w:p>
            <w:pPr>
              <w:pStyle w:val="TableContents"/>
              <w:bidi w:val="0"/>
              <w:spacing w:before="0" w:after="283"/>
              <w:jc w:val="left"/>
              <w:rPr/>
            </w:pPr>
            <w:r>
              <w:rPr/>
              <w:t>$</w:t>
            </w:r>
          </w:p>
        </w:tc>
        <w:tc>
          <w:tcPr>
            <w:tcW w:w="1140" w:type="dxa"/>
            <w:tcBorders>
              <w:bottom w:val="double" w:sz="10" w:space="0" w:color="000000"/>
            </w:tcBorders>
            <w:tcMar>
              <w:bottom w:w="28" w:type="dxa"/>
            </w:tcMar>
            <w:vAlign w:val="center"/>
          </w:tcPr>
          <w:p>
            <w:pPr>
              <w:pStyle w:val="TableContents"/>
              <w:bidi w:val="0"/>
              <w:spacing w:before="0" w:after="283"/>
              <w:jc w:val="right"/>
              <w:rPr/>
            </w:pPr>
            <w:r>
              <w:rPr/>
              <w:t>23,866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20,146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4" w:type="dxa"/>
            <w:tcBorders/>
            <w:vAlign w:val="center"/>
          </w:tcPr>
          <w:p>
            <w:pPr>
              <w:pStyle w:val="TableContents"/>
              <w:bidi w:val="0"/>
              <w:spacing w:before="0" w:after="283"/>
              <w:jc w:val="center"/>
              <w:rPr/>
            </w:pPr>
            <w:r>
              <w:rPr/>
              <w:t>84%</w:t>
            </w:r>
          </w:p>
        </w:tc>
        <w:tc>
          <w:tcPr>
            <w:tcW w:w="138"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170"/>
        <w:gridCol w:w="2270"/>
      </w:tblGrid>
      <w:tr>
        <w:trPr/>
        <w:tc>
          <w:tcPr>
            <w:tcW w:w="170" w:type="dxa"/>
            <w:tcBorders/>
            <w:vAlign w:val="center"/>
          </w:tcPr>
          <w:p>
            <w:pPr>
              <w:pStyle w:val="TableContents"/>
              <w:bidi w:val="0"/>
              <w:spacing w:before="0" w:after="283"/>
              <w:jc w:val="left"/>
              <w:rPr>
                <w:sz w:val="20"/>
              </w:rPr>
            </w:pPr>
            <w:r>
              <w:rPr>
                <w:sz w:val="20"/>
              </w:rPr>
              <w:t>*</w:t>
            </w:r>
          </w:p>
        </w:tc>
        <w:tc>
          <w:tcPr>
            <w:tcW w:w="2270" w:type="dxa"/>
            <w:tcBorders/>
            <w:vAlign w:val="center"/>
          </w:tcPr>
          <w:p>
            <w:pPr>
              <w:pStyle w:val="TableContents"/>
              <w:bidi w:val="0"/>
              <w:spacing w:before="0" w:after="283"/>
              <w:jc w:val="left"/>
              <w:rPr>
                <w:sz w:val="20"/>
              </w:rPr>
            </w:pPr>
            <w:r>
              <w:rPr>
                <w:sz w:val="20"/>
              </w:rPr>
              <w:t>Percentage 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$20.1 million, from $23.9 million for the period from February 6, 2024 (inception) to June 30, 2024 to $44.0 million for the six months ended June 30,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including CROs, CMOs and other third-party preclinical studies and clinical trials expenses increased by $8.0 million, from $22.0 million for the period from February 6, 2024 (inception) to June 30, 2024 to $30.0 million for the six months ended June 30, 2025. The increase is primarily related to increased CMO product development and manufacturing expenses, an increase in our CRO expenses related to our ongoing clinical trials and toxicology studies, partially offset by a reduction of research expenses incurred by Paragon.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$4.7 million, from $1.1 million for the period from February 6, 2024 (inception) to June 30, 2024 to $5.8 million for the six months ended June 30, 2025, as we continue hiring employees in our research and development organization. Stock-based compensation expense increased by $5.8 million, from $0.5 million for the period from February 6, 2024 (inception) to June 30, 2024 to $6.4 million for the six months ended June 30, 2025. Stock-based compensation expense increased by $3.2 million due to the increase in employee awards and $2.6 million due to an increase in Paruka warrant liability under the Option Agreements. Other research and development expenses increased by $1.6 million, from $0.2 million for the period from February 6, 2024 (inception) to June 30, 2024 to $1.8 million for the six months ended June 30, 2025, primarily due to facilities and allocated overhead expenses as we commenced using our leased Menlo Park office space from June 2024 and Waltham office from April 2025, as well as increased our research and development employee 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general and administrative expenses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169" w:type="dxa"/>
        <w:jc w:val="left"/>
        <w:tblInd w:w="0" w:type="dxa"/>
        <w:tblLayout w:type="fixed"/>
        <w:tblCellMar>
          <w:top w:w="0" w:type="dxa"/>
          <w:left w:w="0" w:type="dxa"/>
          <w:bottom w:w="0" w:type="dxa"/>
          <w:right w:w="0" w:type="dxa"/>
        </w:tblCellMar>
      </w:tblPr>
      <w:tblGrid>
        <w:gridCol w:w="5330"/>
        <w:gridCol w:w="90"/>
        <w:gridCol w:w="269"/>
        <w:gridCol w:w="936"/>
        <w:gridCol w:w="90"/>
        <w:gridCol w:w="90"/>
        <w:gridCol w:w="315"/>
        <w:gridCol w:w="1099"/>
        <w:gridCol w:w="90"/>
        <w:gridCol w:w="90"/>
        <w:gridCol w:w="170"/>
        <w:gridCol w:w="590"/>
        <w:gridCol w:w="90"/>
        <w:gridCol w:w="90"/>
        <w:gridCol w:w="90"/>
        <w:gridCol w:w="605"/>
        <w:gridCol w:w="135"/>
      </w:tblGrid>
      <w:tr>
        <w:trPr/>
        <w:tc>
          <w:tcPr>
            <w:tcW w:w="5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Six Months</w:t>
              <w:br/>
              <w:t>Ended</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Period from</w:t>
              <w:br/>
              <w:t>February 6,</w:t>
              <w:br/>
              <w:t>2024</w:t>
              <w:br/>
              <w:t>(Inception) to</w:t>
              <w:b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135"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183"/>
              <w:jc w:val="left"/>
              <w:rPr/>
            </w:pPr>
            <w:r>
              <w:rPr/>
              <w:t> </w:t>
            </w:r>
          </w:p>
        </w:tc>
      </w:tr>
      <w:tr>
        <w:trPr/>
        <w:tc>
          <w:tcPr>
            <w:tcW w:w="5330" w:type="dxa"/>
            <w:tcBorders/>
            <w:shd w:fill="CCEEFF" w:val="clear"/>
            <w:vAlign w:val="center"/>
          </w:tcPr>
          <w:p>
            <w:pPr>
              <w:pStyle w:val="TableContents"/>
              <w:bidi w:val="0"/>
              <w:spacing w:before="0" w:after="283"/>
              <w:jc w:val="left"/>
              <w:rPr/>
            </w:pPr>
            <w:r>
              <w:rPr/>
              <w:t>Personnel-related (including stock-based compensation)</w:t>
            </w:r>
          </w:p>
        </w:tc>
        <w:tc>
          <w:tcPr>
            <w:tcW w:w="9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936" w:type="dxa"/>
            <w:tcBorders/>
            <w:shd w:fill="CCEEFF" w:val="clear"/>
            <w:vAlign w:val="center"/>
          </w:tcPr>
          <w:p>
            <w:pPr>
              <w:pStyle w:val="TableContents"/>
              <w:bidi w:val="0"/>
              <w:spacing w:before="0" w:after="283"/>
              <w:jc w:val="right"/>
              <w:rPr/>
            </w:pPr>
            <w:r>
              <w:rPr/>
              <w:t>7,000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099" w:type="dxa"/>
            <w:tcBorders/>
            <w:shd w:fill="CCEEFF" w:val="clear"/>
            <w:vAlign w:val="center"/>
          </w:tcPr>
          <w:p>
            <w:pPr>
              <w:pStyle w:val="TableContents"/>
              <w:bidi w:val="0"/>
              <w:spacing w:before="0" w:after="283"/>
              <w:jc w:val="right"/>
              <w:rPr/>
            </w:pPr>
            <w:r>
              <w:rPr/>
              <w:t>2,155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4,845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pPr>
            <w:r>
              <w:rPr/>
              <w:t>225%</w:t>
            </w:r>
          </w:p>
        </w:tc>
        <w:tc>
          <w:tcPr>
            <w:tcW w:w="135" w:type="dxa"/>
            <w:tcBorders/>
            <w:shd w:fill="CCEEFF" w:val="clear"/>
            <w:vAlign w:val="center"/>
          </w:tcPr>
          <w:p>
            <w:pPr>
              <w:pStyle w:val="TableContents"/>
              <w:bidi w:val="0"/>
              <w:spacing w:before="0" w:after="283"/>
              <w:ind w:left="0" w:right="0" w:hanging="183"/>
              <w:jc w:val="left"/>
              <w:rPr/>
            </w:pPr>
            <w:r>
              <w:rPr/>
              <w:t> </w:t>
            </w:r>
          </w:p>
        </w:tc>
      </w:tr>
      <w:tr>
        <w:trPr/>
        <w:tc>
          <w:tcPr>
            <w:tcW w:w="5330" w:type="dxa"/>
            <w:tcBorders/>
            <w:vAlign w:val="center"/>
          </w:tcPr>
          <w:p>
            <w:pPr>
              <w:pStyle w:val="TableContents"/>
              <w:bidi w:val="0"/>
              <w:spacing w:before="0" w:after="283"/>
              <w:jc w:val="left"/>
              <w:rPr/>
            </w:pPr>
            <w:r>
              <w:rPr/>
              <w:t>Professional and consulting services</w:t>
            </w:r>
          </w:p>
        </w:tc>
        <w:tc>
          <w:tcPr>
            <w:tcW w:w="9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936" w:type="dxa"/>
            <w:tcBorders/>
            <w:vAlign w:val="center"/>
          </w:tcPr>
          <w:p>
            <w:pPr>
              <w:pStyle w:val="TableContents"/>
              <w:bidi w:val="0"/>
              <w:spacing w:before="0" w:after="283"/>
              <w:jc w:val="right"/>
              <w:rPr/>
            </w:pPr>
            <w:r>
              <w:rPr/>
              <w:t>2,120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099" w:type="dxa"/>
            <w:tcBorders/>
            <w:vAlign w:val="center"/>
          </w:tcPr>
          <w:p>
            <w:pPr>
              <w:pStyle w:val="TableContents"/>
              <w:bidi w:val="0"/>
              <w:spacing w:before="0" w:after="283"/>
              <w:jc w:val="right"/>
              <w:rPr/>
            </w:pPr>
            <w:r>
              <w:rPr/>
              <w:t>2,119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0%</w:t>
            </w:r>
          </w:p>
        </w:tc>
        <w:tc>
          <w:tcPr>
            <w:tcW w:w="135" w:type="dxa"/>
            <w:tcBorders/>
            <w:vAlign w:val="center"/>
          </w:tcPr>
          <w:p>
            <w:pPr>
              <w:pStyle w:val="TableContents"/>
              <w:bidi w:val="0"/>
              <w:spacing w:before="0" w:after="283"/>
              <w:ind w:left="0" w:right="0" w:hanging="183"/>
              <w:jc w:val="left"/>
              <w:rPr/>
            </w:pPr>
            <w:r>
              <w:rPr/>
              <w:t> </w:t>
            </w:r>
          </w:p>
        </w:tc>
      </w:tr>
      <w:tr>
        <w:trPr/>
        <w:tc>
          <w:tcPr>
            <w:tcW w:w="533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2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center"/>
          </w:tcPr>
          <w:p>
            <w:pPr>
              <w:pStyle w:val="TableContents"/>
              <w:bidi w:val="0"/>
              <w:spacing w:before="0" w:after="283"/>
              <w:jc w:val="right"/>
              <w:rPr/>
            </w:pPr>
            <w:r>
              <w:rPr/>
              <w:t>383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9"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center"/>
              <w:rPr/>
            </w:pPr>
            <w:r>
              <w:rPr/>
              <w:t>77%</w:t>
            </w:r>
          </w:p>
        </w:tc>
        <w:tc>
          <w:tcPr>
            <w:tcW w:w="135"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Total general and administrative expenses</w:t>
            </w:r>
          </w:p>
        </w:tc>
        <w:tc>
          <w:tcPr>
            <w:tcW w:w="90" w:type="dxa"/>
            <w:tcBorders/>
            <w:vAlign w:val="center"/>
          </w:tcPr>
          <w:p>
            <w:pPr>
              <w:pStyle w:val="TableContents"/>
              <w:bidi w:val="0"/>
              <w:spacing w:before="0" w:after="283"/>
              <w:jc w:val="left"/>
              <w:rPr/>
            </w:pPr>
            <w:r>
              <w:rPr/>
              <w:t> </w:t>
            </w:r>
          </w:p>
        </w:tc>
        <w:tc>
          <w:tcPr>
            <w:tcW w:w="269" w:type="dxa"/>
            <w:tcBorders>
              <w:bottom w:val="double" w:sz="10" w:space="0" w:color="000000"/>
            </w:tcBorders>
            <w:tcMar>
              <w:bottom w:w="28" w:type="dxa"/>
            </w:tcMar>
            <w:vAlign w:val="center"/>
          </w:tcPr>
          <w:p>
            <w:pPr>
              <w:pStyle w:val="TableContents"/>
              <w:bidi w:val="0"/>
              <w:spacing w:before="0" w:after="283"/>
              <w:jc w:val="left"/>
              <w:rPr/>
            </w:pPr>
            <w:r>
              <w:rPr/>
              <w:t>$</w:t>
            </w:r>
          </w:p>
        </w:tc>
        <w:tc>
          <w:tcPr>
            <w:tcW w:w="936" w:type="dxa"/>
            <w:tcBorders>
              <w:bottom w:val="double" w:sz="10" w:space="0" w:color="000000"/>
            </w:tcBorders>
            <w:tcMar>
              <w:bottom w:w="28" w:type="dxa"/>
            </w:tcMar>
            <w:vAlign w:val="center"/>
          </w:tcPr>
          <w:p>
            <w:pPr>
              <w:pStyle w:val="TableContents"/>
              <w:bidi w:val="0"/>
              <w:spacing w:before="0" w:after="283"/>
              <w:jc w:val="right"/>
              <w:rPr/>
            </w:pPr>
            <w:r>
              <w:rPr/>
              <w:t>9,503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 w:type="dxa"/>
            <w:tcBorders>
              <w:bottom w:val="double" w:sz="10" w:space="0" w:color="000000"/>
            </w:tcBorders>
            <w:tcMar>
              <w:bottom w:w="28" w:type="dxa"/>
            </w:tcMar>
            <w:vAlign w:val="center"/>
          </w:tcPr>
          <w:p>
            <w:pPr>
              <w:pStyle w:val="TableContents"/>
              <w:bidi w:val="0"/>
              <w:spacing w:before="0" w:after="283"/>
              <w:jc w:val="left"/>
              <w:rPr/>
            </w:pPr>
            <w:r>
              <w:rPr/>
              <w:t>$</w:t>
            </w:r>
          </w:p>
        </w:tc>
        <w:tc>
          <w:tcPr>
            <w:tcW w:w="1099" w:type="dxa"/>
            <w:tcBorders>
              <w:bottom w:val="double" w:sz="10" w:space="0" w:color="000000"/>
            </w:tcBorders>
            <w:tcMar>
              <w:bottom w:w="28" w:type="dxa"/>
            </w:tcMar>
            <w:vAlign w:val="center"/>
          </w:tcPr>
          <w:p>
            <w:pPr>
              <w:pStyle w:val="TableContents"/>
              <w:bidi w:val="0"/>
              <w:spacing w:before="0" w:after="283"/>
              <w:jc w:val="right"/>
              <w:rPr/>
            </w:pPr>
            <w:r>
              <w:rPr/>
              <w:t>4,490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5,013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112%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$5.0 million, from $4.5 million for the period from February 6, 2024 (inception) to June 30, 2024 to $9.5 million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Personnel-related expenses increased by $4.8 million, from $2.2 million for the period from February 6, 2024 (inception) to June 30, 2024 to $7.0 million for the six months ended June 30, 2025, as a result of continued hiring of executives and administrative employees. Stock-based compensation expense was $0.2 million and $3.6 million for the period from February 6, 2024 (inception) to June 30, 2024 and for the six months ended June 30,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related to professional and consulting services remained relatively consistent at $2.1 million for the period from February 6, 2024 (inception) to June 30, 2024 compared to $2.1 million for the six months ended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general and administrative expenses increased by $0.2 million primarily due to facilities and allocated overhead expenses as we commenced using our leased Menlo Park office space from June 2024 and Waltham office from April 2025, as well as an increase in our employee count.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Total Other Income (Expense), Net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equivalents and marketable securities was $7.9 million for the six months ended June 30, 2025. No interest income was recorded for the period from February 6, 2024 (inception) to June 30,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interest expense was recorded during the six months ended June 30, 2025. Interest expense was $1.0 million for the period from February 6, 2024 (inception) to June 30, 2024 relating to the Convertible Note issued to Fairmount in March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had $351.5 million of cash, cash equivalents, and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incurred significant operating losses and negative cash flow from operations. We expect to incur significant expenses and operating losses for the foreseeable future as we continue the pre-clinical and clinical development of our programs and our early-stage research activities. We have not yet commercialized any products, and we do not expect to generate revenue from sales of products for several years, if at all. Through June 30, 2025, we had funded our operations primarily with proceeds from issuances of convertible preferred stock, common stock, a convertible note, and pre-funded warrants. In March 2024, we received $2.9 million in net proceeds from the issuance of Pre-Merger Oruka Series A Preferred Stock and $25.0 million in gross proceeds from the issuance of the Convertible Note, both of which were related party transactions. In August 2024, we raised approximately $228.0 million in net proceeds from Pre-Closing Financing and received $4.9 million in cash from ARCA upon consummation of the Merger. In September 2024, we received approximately $188.7 million in net proceeds from the issuance of common stock, Company Series A Preferred Stock, and pre-funded warrants in connection with the PIPE Financing.</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the development of our product candidates and advance our pipeline. This includes both the research and development costs and the general and administrative expenses required to support those operations. Since we are a clinical stage biopharmaceutical company, we have incurred significant operating losses since our inception and we anticipate such losses, in absolute dollar terms, to increase as we continue to pursue clinical development of our product candidates, prepare for the potential commercialization of our product candidates, and expand our development efforts in our pipeline of nonclinical candidates. We expect that our existing cash, cash equivalents, and marketable securities will be sufficient to fund our operating plans for at least twelve months from the date of filing of this Quarterly Report. We will need to secure additional financing in the future to fund additional research and development, and before a commercial drug can be produced, marketed, and sold. At this time, due to the inherently unpredictable nature of clinical development, we cannot reasonably estimate the costs we will incur and the timelines that will be required to complete development, obtain marketing approval, and commercialize our current product candidate or any future product candidates. For the same reasons, we are also unable to predict when, if ever, we will generate revenue from product sales or our current or any future license agreements which we may enter into or whether, or when, if ever, we may achieve profitability. In addition, with a change in the presidential administration in 2025, there has been an economic policy shift towards increasing tariffs, which in turn has led and could lead to further retaliatory tariffs. These may have the potential to impact expenses as well as our ability to, if ever, generate revenue or achieve profitability. If we are unable to obtain additional financing or generate license or product revenue, the lack of liquidity could have a material adverse effect on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periods 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1"/>
        <w:gridCol w:w="90"/>
        <w:gridCol w:w="310"/>
        <w:gridCol w:w="1433"/>
        <w:gridCol w:w="125"/>
        <w:gridCol w:w="90"/>
        <w:gridCol w:w="814"/>
        <w:gridCol w:w="3770"/>
        <w:gridCol w:w="172"/>
      </w:tblGrid>
      <w:tr>
        <w:trPr/>
        <w:tc>
          <w:tcPr>
            <w:tcW w:w="340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br/>
              <w:t>2025</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5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 February 6, 2024 (Inception) to June 30,</w:t>
              <w:br/>
              <w:t>2024</w:t>
            </w:r>
          </w:p>
        </w:tc>
        <w:tc>
          <w:tcPr>
            <w:tcW w:w="172" w:type="dxa"/>
            <w:tcBorders/>
            <w:vAlign w:val="center"/>
          </w:tcPr>
          <w:p>
            <w:pPr>
              <w:pStyle w:val="TableContents"/>
              <w:bidi w:val="0"/>
              <w:spacing w:before="0" w:after="283"/>
              <w:jc w:val="center"/>
              <w:rPr/>
            </w:pPr>
            <w:r>
              <w:rPr/>
              <w:t> </w:t>
            </w:r>
          </w:p>
        </w:tc>
      </w:tr>
      <w:tr>
        <w:trPr/>
        <w:tc>
          <w:tcPr>
            <w:tcW w:w="3401"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left"/>
              <w:rPr/>
            </w:pPr>
            <w:r>
              <w:rPr/>
              <w:t>$</w:t>
            </w:r>
          </w:p>
        </w:tc>
        <w:tc>
          <w:tcPr>
            <w:tcW w:w="1433" w:type="dxa"/>
            <w:tcBorders/>
            <w:shd w:fill="CCEEFF" w:val="clear"/>
            <w:vAlign w:val="center"/>
          </w:tcPr>
          <w:p>
            <w:pPr>
              <w:pStyle w:val="TableContents"/>
              <w:bidi w:val="0"/>
              <w:spacing w:before="0" w:after="283"/>
              <w:jc w:val="right"/>
              <w:rPr/>
            </w:pPr>
            <w:r>
              <w:rPr/>
              <w:t>(44,014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w:t>
            </w:r>
          </w:p>
        </w:tc>
        <w:tc>
          <w:tcPr>
            <w:tcW w:w="3770" w:type="dxa"/>
            <w:tcBorders/>
            <w:shd w:fill="CCEEFF" w:val="clear"/>
            <w:vAlign w:val="center"/>
          </w:tcPr>
          <w:p>
            <w:pPr>
              <w:pStyle w:val="TableContents"/>
              <w:bidi w:val="0"/>
              <w:spacing w:before="0" w:after="283"/>
              <w:jc w:val="right"/>
              <w:rPr/>
            </w:pPr>
            <w:r>
              <w:rPr/>
              <w:t>(11,201</w:t>
            </w:r>
          </w:p>
        </w:tc>
        <w:tc>
          <w:tcPr>
            <w:tcW w:w="172" w:type="dxa"/>
            <w:tcBorders/>
            <w:shd w:fill="CCEEFF" w:val="clear"/>
            <w:vAlign w:val="center"/>
          </w:tcPr>
          <w:p>
            <w:pPr>
              <w:pStyle w:val="TableContents"/>
              <w:bidi w:val="0"/>
              <w:spacing w:before="0" w:after="283"/>
              <w:jc w:val="left"/>
              <w:rPr/>
            </w:pPr>
            <w:r>
              <w:rPr/>
              <w:t>)</w:t>
            </w:r>
          </w:p>
        </w:tc>
      </w:tr>
      <w:tr>
        <w:trPr/>
        <w:tc>
          <w:tcPr>
            <w:tcW w:w="3401" w:type="dxa"/>
            <w:tcBorders/>
            <w:vAlign w:val="center"/>
          </w:tcPr>
          <w:p>
            <w:pPr>
              <w:pStyle w:val="TableContents"/>
              <w:bidi w:val="0"/>
              <w:spacing w:before="0" w:after="283"/>
              <w:jc w:val="left"/>
              <w:rPr/>
            </w:pPr>
            <w:r>
              <w:rPr/>
              <w:t>Net cash provided by investing activities</w:t>
            </w:r>
          </w:p>
        </w:tc>
        <w:tc>
          <w:tcPr>
            <w:tcW w:w="90" w:type="dxa"/>
            <w:tcBorders/>
            <w:vAlign w:val="center"/>
          </w:tcPr>
          <w:p>
            <w:pPr>
              <w:pStyle w:val="TableContents"/>
              <w:bidi w:val="0"/>
              <w:spacing w:before="0" w:after="283"/>
              <w:jc w:val="left"/>
              <w:rPr/>
            </w:pPr>
            <w:r>
              <w:rPr/>
              <w:t> </w:t>
            </w:r>
          </w:p>
        </w:tc>
        <w:tc>
          <w:tcPr>
            <w:tcW w:w="310" w:type="dxa"/>
            <w:tcBorders/>
            <w:vAlign w:val="center"/>
          </w:tcPr>
          <w:p>
            <w:pPr>
              <w:pStyle w:val="TableContents"/>
              <w:bidi w:val="0"/>
              <w:spacing w:before="0" w:after="283"/>
              <w:jc w:val="left"/>
              <w:rPr/>
            </w:pPr>
            <w:r>
              <w:rPr/>
              <w:t> </w:t>
            </w:r>
          </w:p>
        </w:tc>
        <w:tc>
          <w:tcPr>
            <w:tcW w:w="1433" w:type="dxa"/>
            <w:tcBorders/>
            <w:vAlign w:val="center"/>
          </w:tcPr>
          <w:p>
            <w:pPr>
              <w:pStyle w:val="TableContents"/>
              <w:bidi w:val="0"/>
              <w:spacing w:before="0" w:after="283"/>
              <w:jc w:val="right"/>
              <w:rPr/>
            </w:pPr>
            <w:r>
              <w:rPr/>
              <w:t>47,726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4"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3401" w:type="dxa"/>
            <w:tcBorders/>
            <w:shd w:fill="CCEEFF" w:val="clear"/>
            <w:vAlign w:val="center"/>
          </w:tcPr>
          <w:p>
            <w:pPr>
              <w:pStyle w:val="TableContents"/>
              <w:bidi w:val="0"/>
              <w:spacing w:before="0" w:after="283"/>
              <w:jc w:val="left"/>
              <w:rPr/>
            </w:pPr>
            <w:r>
              <w:rPr/>
              <w:t>Net cash provided by financing activities</w:t>
            </w:r>
          </w:p>
        </w:tc>
        <w:tc>
          <w:tcPr>
            <w:tcW w:w="90" w:type="dxa"/>
            <w:tcBorders/>
            <w:shd w:fill="CCEEFF" w:val="clear"/>
            <w:vAlign w:val="center"/>
          </w:tcPr>
          <w:p>
            <w:pPr>
              <w:pStyle w:val="TableContents"/>
              <w:bidi w:val="0"/>
              <w:spacing w:before="0" w:after="283"/>
              <w:jc w:val="left"/>
              <w:rPr/>
            </w:pPr>
            <w:r>
              <w:rPr/>
              <w:t> </w:t>
            </w:r>
          </w:p>
        </w:tc>
        <w:tc>
          <w:tcPr>
            <w:tcW w:w="3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3"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770" w:type="dxa"/>
            <w:tcBorders>
              <w:bottom w:val="single" w:sz="12" w:space="0" w:color="000000"/>
            </w:tcBorders>
            <w:shd w:fill="CCEEFF" w:val="clear"/>
            <w:tcMar>
              <w:bottom w:w="28" w:type="dxa"/>
            </w:tcMar>
            <w:vAlign w:val="center"/>
          </w:tcPr>
          <w:p>
            <w:pPr>
              <w:pStyle w:val="TableContents"/>
              <w:bidi w:val="0"/>
              <w:spacing w:before="0" w:after="283"/>
              <w:jc w:val="right"/>
              <w:rPr/>
            </w:pPr>
            <w:r>
              <w:rPr/>
              <w:t>26,322</w:t>
            </w:r>
          </w:p>
        </w:tc>
        <w:tc>
          <w:tcPr>
            <w:tcW w:w="172" w:type="dxa"/>
            <w:tcBorders/>
            <w:shd w:fill="CCEEFF" w:val="clear"/>
            <w:vAlign w:val="center"/>
          </w:tcPr>
          <w:p>
            <w:pPr>
              <w:pStyle w:val="TableContents"/>
              <w:bidi w:val="0"/>
              <w:spacing w:before="0" w:after="283"/>
              <w:jc w:val="left"/>
              <w:rPr/>
            </w:pPr>
            <w:r>
              <w:rPr/>
              <w:t> </w:t>
            </w:r>
          </w:p>
        </w:tc>
      </w:tr>
      <w:tr>
        <w:trPr/>
        <w:tc>
          <w:tcPr>
            <w:tcW w:w="3401" w:type="dxa"/>
            <w:tcBorders/>
            <w:vAlign w:val="center"/>
          </w:tcPr>
          <w:p>
            <w:pPr>
              <w:pStyle w:val="TableContents"/>
              <w:bidi w:val="0"/>
              <w:spacing w:before="0" w:after="283"/>
              <w:jc w:val="left"/>
              <w:rPr/>
            </w:pPr>
            <w:r>
              <w:rPr/>
              <w:t>Net increase in cash and cash equivalents</w:t>
            </w:r>
          </w:p>
        </w:tc>
        <w:tc>
          <w:tcPr>
            <w:tcW w:w="90" w:type="dxa"/>
            <w:tcBorders/>
            <w:vAlign w:val="center"/>
          </w:tcPr>
          <w:p>
            <w:pPr>
              <w:pStyle w:val="TableContents"/>
              <w:bidi w:val="0"/>
              <w:spacing w:before="0" w:after="283"/>
              <w:jc w:val="left"/>
              <w:rPr/>
            </w:pPr>
            <w:r>
              <w:rPr/>
              <w:t> </w:t>
            </w:r>
          </w:p>
        </w:tc>
        <w:tc>
          <w:tcPr>
            <w:tcW w:w="310" w:type="dxa"/>
            <w:tcBorders>
              <w:bottom w:val="double" w:sz="10" w:space="0" w:color="000000"/>
            </w:tcBorders>
            <w:tcMar>
              <w:bottom w:w="28" w:type="dxa"/>
            </w:tcMar>
            <w:vAlign w:val="center"/>
          </w:tcPr>
          <w:p>
            <w:pPr>
              <w:pStyle w:val="TableContents"/>
              <w:bidi w:val="0"/>
              <w:spacing w:before="0" w:after="283"/>
              <w:jc w:val="left"/>
              <w:rPr/>
            </w:pPr>
            <w:r>
              <w:rPr/>
              <w:t>$</w:t>
            </w:r>
          </w:p>
        </w:tc>
        <w:tc>
          <w:tcPr>
            <w:tcW w:w="1433" w:type="dxa"/>
            <w:tcBorders>
              <w:bottom w:val="double" w:sz="10" w:space="0" w:color="000000"/>
            </w:tcBorders>
            <w:tcMar>
              <w:bottom w:w="28" w:type="dxa"/>
            </w:tcMar>
            <w:vAlign w:val="center"/>
          </w:tcPr>
          <w:p>
            <w:pPr>
              <w:pStyle w:val="TableContents"/>
              <w:bidi w:val="0"/>
              <w:spacing w:before="0" w:after="283"/>
              <w:jc w:val="right"/>
              <w:rPr/>
            </w:pPr>
            <w:r>
              <w:rPr/>
              <w:t>3,821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4" w:type="dxa"/>
            <w:tcBorders>
              <w:bottom w:val="double" w:sz="10" w:space="0" w:color="000000"/>
            </w:tcBorders>
            <w:tcMar>
              <w:bottom w:w="28" w:type="dxa"/>
            </w:tcMar>
            <w:vAlign w:val="center"/>
          </w:tcPr>
          <w:p>
            <w:pPr>
              <w:pStyle w:val="TableContents"/>
              <w:bidi w:val="0"/>
              <w:spacing w:before="0" w:after="283"/>
              <w:jc w:val="left"/>
              <w:rPr/>
            </w:pPr>
            <w:r>
              <w:rPr/>
              <w:t>$</w:t>
            </w:r>
          </w:p>
        </w:tc>
        <w:tc>
          <w:tcPr>
            <w:tcW w:w="3770" w:type="dxa"/>
            <w:tcBorders>
              <w:bottom w:val="double" w:sz="10" w:space="0" w:color="000000"/>
            </w:tcBorders>
            <w:tcMar>
              <w:bottom w:w="28" w:type="dxa"/>
            </w:tcMar>
            <w:vAlign w:val="center"/>
          </w:tcPr>
          <w:p>
            <w:pPr>
              <w:pStyle w:val="TableContents"/>
              <w:bidi w:val="0"/>
              <w:spacing w:before="0" w:after="283"/>
              <w:jc w:val="right"/>
              <w:rPr/>
            </w:pPr>
            <w:r>
              <w:rPr/>
              <w:t>15,121</w:t>
            </w:r>
          </w:p>
        </w:tc>
        <w:tc>
          <w:tcPr>
            <w:tcW w:w="1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used in operating activities was $44.0 million, which was primarily attributable to a net loss of $45.6 million and net changes in our operating assets and liabilities of $5.3 million, partially offset by net non-cash charges of $6.9 million. Net changes in our operating assets and liabilities were primarily comprised of a decrease of $5.9 million in related party accounts payable and other current liabilities and an increase of $1.2 million in accounts payable. Net non-cash charges primarily comprised of an increase of $10.0 million in stock-based compensation expense, partially offset by $3.3 million in net accretion of premiums and discounts on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June 30, 2024, net cash used in operating activities was $11.2 million, which was primarily attributable to a net loss of $29.3 million, partially offset by non-cash charges of $0.8 million and net cash provided by changes in operating activities of $17.3 million. Non-cash charges consisted of a $0.8 million increase in stock-based compensation expense. Net cash provided by changes in our operating activities primarily consisted of a $15.4 million increase in related parties accounts payable and other current liabilities, $2.0 million increase in accounts payable, $1.0 million increase in accrued interest, related party, $0.6 million increase in accrued expenses and other current liabilities, partially offset by a $1.7 million increase in prepaid expenses and other current assets.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investing activities was $47.7 million, which included $200.1 million in proceeds from maturities of marketable securities, offset by $152.3 million in purchases of marketable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June 30, 2024, no cash was used in or provided by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2025, net cash provided by financing activities was $0.1 million due to proceeds from the issuance of shares of common stock in connection with purchases under our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6, 2024 (inception) to June 30, 2024, net cash provided by financing activities was $26.3 million, consisting of $2.9 million of net proceeds from the issuance of Pre-Merger Oruka Series A Preferred Stock and $25.0 million of net proceeds from the issuance of the Convertible Note, partially offset by $1.6 million of payments in deferred 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48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contracts in the normal course of business with CROs, CMOs and with other vendors for preclinical research studies, clinical trials, manufacturing, and other services and products for operating purposes. These contracts generally provide for termination on notice or may have a potential termination fee if the contract is cancelled within a specified time, and therefore, are cancelable contracts. We do not expect any such contract terminations and did not have any non-cancellable obligations under these agreements as of June 30, 2025. See Notes 10 and 11 to the condensed consolidated financial statements included in Part I - Item 1 of this Quarterly Report for further information on our contractual lease obligations for our headquarters in Menlo Park, California, and our office in Waltham, Massachusetts, and other commitments, including the commitments under the Option and License Agreements.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management’s discussion and analysis of our financial condition and results of operations is based on our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significant accounting policies are described in more detail in Note 2 to our condensed consolidated financial statements included in Part I - Item 1 of this Quarterly Report. During the three months ended June 30, 2025, there were no changes to our critical accounting policies and significant judgments and estimates as disclosed in our Annual Report on Form 10-K for the period from February 6 (inception) to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we did not have any off-balance sheet arrangements, as defined in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under the Securities Exchange Act of 1934, as amended (the “Exchange Act”), and in Item 10(f)(1) of Regulation S-K, and are not required to provide the information under this item.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Changes in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defined in Rules 13a-15(f) and 15d-15(f) under the Exchange Act) during the quarter ended June 30,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on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principal executive officer and principal financial officer, believes that our disclosure controls and procedures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relating to claims arising from the ordinary course of business. Our management believes that there are currently no claims or actions pending against us, the ultimate disposition of which could reasonably be expected to have a material adverse effect on our results of operations, financial condition or cash flows.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 Summary</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number of risks that could harm our business, financial condition, results of operations and/or growth prospects or cause our actual results to differ materially from those contained in forward-looking statements we have made in this Quarterly Report and those we may make from time to time. The success of our product candidates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current or future collaborator. In addition,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below is not exhaustive and is qualified by reference to the full set of risk factors set forth in Item 1A of this Quarterly Report “Risk Factors”. Please carefully consider all the information in this Quarterly Report, including the full set of risks set forth in the “Risk Factors” section, and in our other filings with the SEC before making an investment decision regarding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are a clinical stage biopharmaceutical company with a limited operating history on which to assess our business. We have not completed any clinical trials and have no products approved for commercial sale.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have historically incurred losses and we anticipate that we will continue to incur losses for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have never generated revenue from product sales and may never be profitable.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not be able to raise the capital that we need to support our business plans.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Raising additional capital may cause dilution to our stockholders, restrict our operations or require us to relinquish rights to our technologies or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Drug development and obtaining and maintaining regulatory approval for drug products is costly, time-consuming, and highly uncertain.</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are substantially dependent on the success of our two most advanced programs, ORKA-001 and ORKA-002. We may not achieve our projected development goals in the time frames we announce and expect,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face competition from entities that have developed or may develop programs for the diseases addressed by our product candidates.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Regulations</w:t>
      </w:r>
    </w:p>
    <w:p>
      <w:pPr>
        <w:pStyle w:val="TextBody"/>
        <w:bidi w:val="0"/>
        <w:spacing w:before="0" w:after="0"/>
        <w:ind w:left="0" w:right="0" w:firstLine="36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05"/>
        <w:gridCol w:w="200"/>
        <w:gridCol w:w="84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We may not be able to meet requirements for the chemistry, manufacturing and control of our programs.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U.S. Food and Drug Administration (“FDA”) and comparable foreign regulatory approval processes are lengthy and time consuming and we may not be able to obtain or may be delayed in obtaining regulatory approvals for our product candidates. Moreover, even if we obtain regulatory approval, we will be subject to ongoing regulatory obligations.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ability to obtain and protect our patents and other proprietary rights is uncertain and we may fail in obtaining or maintaining necessary rights to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become subject to claims challenging the inventorship or ownership of our intellectual property and may be subject to patent infringement claims or may need to file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patents and our ability to protect our products may be impaired by changes to patent laws, and our patent protection could be reduced or eliminated for non-compliance with legal requirements.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fail to identify or interpret relevant third-party patents.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Patent terms may be inadequate to protect our competitive position of our programs.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technology licensed from third parties may be subject to retained rights.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currently rely on agreements with third parties to develop our product candidates. Our business could be negatively impacted if we are unable to maintain these arrangements or if these arrangements are not successful.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Third parties we rely on for the execution of nonclinical studies and clinical trials may fail to carry out their contractual duties.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third-party manufacturing partners and manufacturing sites may fail to perform adequately in their efforts to support the manufacture of our product candidates and we may need to switch or create third-party manufacturer redundancies.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Other Risks Related to Our Business, and Risks Related to Owning Our Common Stock</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estimates of market opportunity and forecasts of market growth may prove to be inaccurate, and even if the markets in which we compete achieve the forecasted growth, our business may not grow at similar rates, or at all.</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business is dependent on key personnel, and we will be harmed if we cannot recruit and retain highly qualified personnel to successfully implement our business strategies.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In order to successfully implement our plans and strategies, we will need to grow the size of our organization, and we may experience difficulties in managing this growth.</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Significant disruptions of information technology systems or breaches of data security could adversely affect our business.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Changes in and failures to comply with United States and foreign privacy and data protection laws, regulations and standards may adversely affect our business, operations and consolidated financial performance.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may become exposed to costly and damaging liability claims and our insurance may not cover all damages from such claims.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Our business could be adversely affected by macroeconomic or geopolitical conditions.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We do not anticipate paying any dividends in the foreseeable future.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Future sales of shares by existing stockholders could cause our stock price to decline.</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Future sales and issuances of equity and debt could result in additional dilution to our stockholders and could cause our stock price to decline.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Financial Condition and Capital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clinical stage biopharmaceutical company with a limited operating history on which to assess our business; we have not completed any clinical trials, have no products approved for commercial sale, have historically incurred losses, and we anticipate that we will continue to incur significant losses for the foreseeable future. Moreover, we have never generated revenue from product sales and may never be profitable.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with a limited operating history. We will need to raise substantial additional capital to continue to fund our operations in the future. We have based our estimates on assumptions that may prove to be wrong, and could exhaust our available financial resources sooner than we currently anticipate. We have devoted substantially all of our financial resources to identifying, acquiring, and developing our product candidates, organizing and staffing our company, and providing general and administrative support for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capital may not be available in sufficient amounts or on reasonable terms, if at all. The current market environment for small and midcap biotechnology companies and broader macroeconomic factors may preclude us from successfully raising additional capital. For example, escalating geopolitical tensions, elevated interest rates and regulatory uncertainty have caused significant market volatility in recent months, and particularly in the biotechnology and biopharmaceutical industries, which such volatility can have an adverse effect on the ability to raise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Biopharmaceutical product development is a highly speculative undertaking and involves a substantial degree of risk. We expect our losses to increase as our product candidates enter advanced clinical trials. It may be several years, if ever, before we complete pivotal clinical trials or have a product candidate approved for commercialization. We expect to invest significant funds into the research and development of our programs to determine the potential to advance product candidates to regulatory approval. If we obtain regulatory approval to market a product candidate, our future revenue will depend upon the size of any markets in which our product candidates may receive approval, and our ability to achieve sufficient market acceptance, pricing, coverage and adequate reimbursement from third-party payors, and adequate market share for our product candidates in those markets. Even if we obtain adequate market share for our product candidates, we may never become profitable despite obtaining such market share and acceptance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increasing operating losses for the foreseeable future and our expenses will increase substantially if and as we: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continue the clinical development of our product candidates, including advancing our product candidates into larger, more expensive trials;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continue efforts to discover and develop new product candidates, including initiating preclinical studies or clinical trials;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progress our chemistry, manufacturing and control development, registration, and validation, including the manufacture of our product candidates by third parties, including increasing volumes manufactured by third parties;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seek regulatory and marketing approvals and reimbursement for our product candidates;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establish a sales, marketing, and distribution infrastructure to commercialize any products for which we may obtain marketing approval and market for ourselves;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make milestone, royalty, or other payments under third-party license agreements;</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seek to maintain, protect, and expand our intellectual property portfolio; and</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sz w:val="20"/>
              </w:rPr>
            </w:pPr>
            <w:r>
              <w:rPr>
                <w:sz w:val="20"/>
              </w:rPr>
              <w:t>experience any delays or encounter issues with the development and potential regulatory approval of our product candidates such as safety issues, manufacturing delays, clinical trial delays, longer follow-up for planned studies or trials, additional major studies or trials, or supportive trials necessary to support marketing approval.</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raise additional capital when required or on acceptable terms, we may be required to curtail our product development activities and other activities commensurate with the magnitude of the shortfall and our product development activities may cease altogether, which could materially harm our business, financial condition, and results of operations. To the extent that the costs of our activities exceed our current estimates and we are unable to raise sufficient additional capital to cover such costs, we will need to reduce operating expenses, sell assets, enter into strategic transactions, or effect a combination of the above. No assurance can be given that we will be able to enter into any of such transactions on acceptable terms, if at all. Any of the following events could have a material adverse effect on our business, operating results, and prospects:</w:t>
      </w:r>
    </w:p>
    <w:p>
      <w:pPr>
        <w:pStyle w:val="TextBody"/>
        <w:bidi w:val="0"/>
        <w:spacing w:before="0" w:after="0"/>
        <w:ind w:left="0" w:right="0" w:firstLine="36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05"/>
        <w:gridCol w:w="200"/>
        <w:gridCol w:w="89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a delay, scaling back, or discontinuation of the development or commercialization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seeking strategic partnerships, or amending existing partnerships, for research and development programs at an earlier stage than otherwise would be desirable or that we otherwise would have sought to develop independently, or on terms that are less favorable than might otherwise be available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disposal of technology assets, or the relinquishing or licensing of assets on unfavorable terms, of our rights to technologies or any of our product candidates that we otherwise would seek to develop or commercialize ourselves;</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105"/>
        <w:gridCol w:w="200"/>
        <w:gridCol w:w="9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sz w:val="20"/>
              </w:rPr>
            </w:pPr>
            <w:r>
              <w:rPr>
                <w:sz w:val="20"/>
              </w:rPr>
              <w:t>pursuing the sale of the company to a third party at a price that may result in a loss on investment for our stockholders; or</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filing for bankruptcy or ceasing operations altogether.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raising new capital, we could be limited in the amount of capital we raise due to investor demand restrictions placed on the amount of capital we raise, or other reasons.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stockholders, restrict our operations, or require us to relinquish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securities or convertible debt securities, the ownership interest of our stockholders will be diluted, and the terms of these securities may include liquidation or other preferences that adversely affect the rights of holders of our common stock. Debt financing and preferred equity financing, if available, may involve agreements that include covenants limiting or restricting our ability to take specific actions, such as incurring additional debt, making capital expenditures, or declaring dividends. For example, in September 2024, we entered into a Securities Purchase Agreement with certain new institutional and accredited investors, whereby the investors purchased an aggregate of 5,600,000 shares of common stock, 2,439 shares of Series A Preferred Stock and pre-funded warrants to purchase an aggregate of 680,000 shares of common stock for an aggregate purchase price of approximately $200.5 million. Each share of Series A Preferred Stock is convertible into 1,000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through collaborations, strategic alliances or marketing, distribution or licensing arrangements with third parties, we may be required to relinquish valuable rights to our research programs or product candidates or grant licenses on terms that may not be favorable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Clinical Development, Regulatory Approval and Commercialization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competition from entities that have developed or may develop programs for the diseases addressed by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commercialization of drugs is highly competitive. Product candidates developed by us, if approved, will face significant competition and our failure to effectively compete may prevent us from achieving significant market penetration. We compete with a variety of biopharmaceutical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clinical trials, regulatory approvals, and marketing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establishing clinical trial sites, recruiting participants for clinical trials, as well as in acquiring technologies complementary to, or necessary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biosimilars enter the market and are able to gain market acceptance more quickly than we do or at wider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may fail in development or suffer delays. We depend on the successful initiation and completion of clinical trials for our product candidates to advance our product development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products on the market, and all of our programs are in preclinical or clinical stages of development. As a result, we expect it will be many years before we can obtain regulatory approval for and commercialize any product candidate, if ever. Clinical testing is expensive, difficult to design and implement, and can take years to complete and is uncertain as to outcome. A failure of one or more of our clinical trials can occur at any stage of testing. The outcome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 It may be difficult for us to raise additional capital if we experience any issues that delay or prevent the regulatory approval or the ability to commercialize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 number of unforeseen events affecting our product development timeline,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clinical trials may fail to show safety or efficacy, produce negative or inconclusive results, or our product candidates may have undesirable side effects or unexpected characteristics, and we may decide, or regulators may require that we conduct additional preclinical studies or clinical trials or we may decide to abandon product development programs;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the supply or quality of our clinical trial materials or other materials necessary to conduct clinical trials of our product candidates may be insufficient or inadequate;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regulators, Institutional Review Boards (“IRBs”), the FDA, or ethics committees may not authorize us or our investigators to commence or conduct a clinical trial at one or more prospective trial sites; or may require that we or our investigators materially modify, suspend or terminate clinical research or trials for various reasons, including noncompliance with regulatory requirements or a finding that the participants in our trials are being exposed to unacceptable health risks;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0"/>
              </w:rPr>
            </w:pPr>
            <w:r>
              <w:rPr>
                <w:sz w:val="20"/>
              </w:rPr>
              <w:t>our failure to establish an appropriate safety profile for a product candidate based on clinical or preclinical data as well as data emerging from other therapies in the same class as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number of subjects required for clinical trials of any product candidates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trial conduct or data analysis errors may occur, including, but not limited to, failure by investigators or participants to adhere to the study protocol or data entry and/or labeling errors;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we may experience delays in reaching, or fail to reach, agreement on acceptable terms with prospective trial sites and/or contract research organizations;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our third-party contractors or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 and could potentially complicate the analysis of data;</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105"/>
        <w:gridCol w:w="200"/>
        <w:gridCol w:w="6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sz w:val="20"/>
              </w:rPr>
            </w:pPr>
            <w:r>
              <w:rPr>
                <w:sz w:val="20"/>
              </w:rPr>
              <w:t>the cost of clinical trials of any of our programs may be greater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05"/>
        <w:gridCol w:w="200"/>
        <w:gridCol w:w="88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sz w:val="20"/>
              </w:rPr>
            </w:pPr>
            <w:r>
              <w:rPr>
                <w:sz w:val="20"/>
              </w:rPr>
              <w:t>reports from clinical testing of other therapies may raise safety or efficacy concerns about our programs;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the FDA or other regulatory authorities may require us to submit additional data or impose other requirements and our product development timeline may be adversely affected.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clinical trials do not produce favorable results, our ability to obtain regulatory approval for our product candidates will be adversely impacted. Moreover, the combined data from our trials may be inconclusive or may not be sufficient to ultimately gain marketing approval from the FDA or other regulatory authorities. There are equivalent processes and risks applicable to clinical trial applications in other countries outside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of the competitive landscape for immunology and inflammation (commonly referred to as “I&amp;I”) indications, we may also face competition for clinical trial enrollment. Clinical trial enrollment will depend on many factors, including if potential clinical trial participants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participants could, among other things, delay our development timeline, which may further harm our competitive position and have an adverse effect on our business and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substantially dependent on the success of our two most advanced programs, ORKA-001 and ORKA-002, and our clinical trials of such programs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is substantially dependent on our ability to develop and timely obtain marketing approval for, and then successfully commercialize, our two most advanced programs, ORKA-001 and ORKA-002. We are investing the majority of our efforts and financial resources into the research and development of these programs. We have initiated a Phase 1 clinical trial of ORKA-001 in healthy volunteers and have also initiated a Phase 2 clinical trial of ORKA-001 in patients with moderate-to-severe psoriasis in the third quarter of 2025. In addition, we have initiated a Phase 1 clinical trial of ORKA-002 in healthy volunteers and plan to initiate a Phase 2 clinical trial of ORKA-002 in the first half of 2026. Currently, we believe that the success of our programs is dependent on observing a longer half-life of our product candidates in humans than mAbs currently marketed and in development as we believe this longer half-life has the potential to result in a more favorable dosing schedule for our product candidates, assuming they successfully complete clinical development and obtain marketing approval. This is based in part on the assumption that the longer half-life we have observed in non-human primates will translate into an extended half-life of our product candidates in humans. To the extent we do not observe this extended half-life in humans, it would significantly and adversely affect the clinical and commercial potential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achieve our projected development goals in the time frames we announce and expect, the development and potential commercialization of our product candidates may be delayed and our expenses may increase and, as a result, our business may be materially harmed and our stock price may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announce the timing of the anticipated accomplishment of various scientific, clinical, regulatory and other product development goals, which we sometimes refer to as milestones. These milestones may include the commencement or completion of scientific studies and clinical trials, such as the expected timing of our clinical trials in our target indications, anticipated data analysis and the data results from our clinical trials, as well as the submission of regulatory filings. All of these milestones are and will be based on numerous assumptions. The actual timing of these milestones can vary dramatically compared to our estimates, in some cases for reasons beyond our control. If we do not meet these milestones or the timing of the milestones as publicly announced, or at all, the development and potential commercialization of our product candidates may be delayed or never achieved and, as a result, our business may be materially harmed and our stock price may decline. Additionally, delays relative to our projected timelines are likely to cause overall expenses to increase, which may require us to raise additional capital sooner than expected and prior to achieving targeted development milestones.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drug delivery device that we may use to deliver our product candidates may have its own regulatory, development, supply and other risks.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our product candidates via a drug delivery device, such as an injector or other delivery system. There may be unforeseen technical complications related to the development activities required to bring such a product to market, including primary container compatibility and/or dose volume requirements. If our product candidates are intended to be used with drug delivery devices, we currently expect to utilize drug delivery devices authorized for marketing under clearances of approvals held by third parties. Our product candidates may not be approved or may be substantially delayed in receiving approval if the devices that we choose to develop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third-party companies. We may be dependent on the sustained cooperation and effort of those third-party companies both to supply the devices and, in some cases, to conduct the studies required for approval or other regulatory clearance of the devices. Even if approval is obtained for our products, we may also be dependent on those third-party companies continuing to maintain such approvals or clearances, if required, for their drug delivery devices once they have been received. Failure of third-party companies to supply the devices on time and in accordance with the agreed-upon specifications, to successfully complete studies on the devices in a timely manner, or to obtain or maintain required approvals or clearances of the devices could result in increased development costs, delays in or failure to obtain regulatory approval and delays in product candidates reaching patients.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approach to the discovery and development of our programs is unproven, and we may not be successful in our efforts to build a pipeline of programs with commercial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approach to the discovery and development of the research programs with respect to which we have signed a license agreement, exercised the Option to acquire intellectual property license rights to or have the Option to acquire intellectual property license rights to pursuant to the Option Agreements,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is ongoing and may not result in viable programs. There is limited clinical data available on product candidates utilizing half-life extension technologies, especially in I&amp;I indications, demonstrating whether they are safe or effective for long-term treatment in humans. The long-term safety and efficacy of these technologies and the extended half-lives and exposure profiles of our programs compared to currently approved products are unknown.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discover that utilizing half-life extension technologies for our specific targets and indications and any programs resulting therefrom does not possess certain properties required for therapeutic effectiveness. In addition, programs using half-life extension technologies may demonstrate different chemical and pharmacological properties in human participants than they do in laboratory studies or preclinical studies. This technology and any programs resulting therefrom may not demonstrate the same chemical and pharmacological properties in humans and may interact with human biological systems in unforeseen, ineffective or harmful ways.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in the future seek to discover and develop programs that are based on novel targets and in the applicable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product candidate.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the research programs with respect to which we have signed license agreements with Paragon, exercised the option to acquire intellectual property license rights to or have the option to acquire intellectual property license rights to pursuant to the Option Agreements prove to be ineffective, unsafe or commercially unviable, such programs would have little, if any, value, which would have a material and adverse effect on our business, financial condition, results of operations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obtaining marketing approval from regulatory authorities for the sale of any product candidate, we must complete preclinical studies and then conduct extensive clinical trials to demonstrate the safety and efficacy of such product candidate in humans. Our clinical trials may not be conducted as planned or completed on schedule, if at all, and failure can occur at any time during the preclinical study or clinical trial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Moreover, clinical data are often susceptible to varying interpretations and analyses, and many companies that have believed their product candidates performed satisfactorily in clinical trials have nonetheless failed to obtain marketing approval of such product candidates. In addition, we expect to rely on participants to provide feedback on measures such as measures of quality of life, which are subjective and inherently difficult to evaluate. These measures can be influenced by factors outside of our control, and can vary widely from day-to-day for a particular participant, and from participant to participant and from site to site within a clinical trial.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sure that the FDA, or comparable foreign regulatory authority, as applicable, will agree with our clinical development plan. We plan to use the data from our Phase 1 trials of our ORKA-001 and ORKA-002 programs in healthy volunteers to support Phase 2 trials in PsO and potentially other I&amp;I indications. If the FDA and/or comparable foreign regulatory authority requires us to materially modify our proposed trial designs, conduct additional trials or enroll additional participants, our development timelines may be delayed. We cannot be sure that submission of an IND, Clinical Trial Application or similar application will result in the FDA or comparable foreign regulatory authorities, as applicable, allowing clinical trials to begin in a timely manner, if at all. Moreover, even if these trials begin, issues may arise that could suspend or terminate such clinical trials. Events that may prevent successful or timely initiation or completion of clinical trials include: inability to generate sufficient preclinical, toxicology or other in vivo or in vitro data to support the initiation or continuation of clinical trials; delays in reaching a consensus with regulatory authorities on trial design or implementation of the clinical trials; delays or failure in obtaining regulatory authorization to commence a trial; delays in reaching agreement on acceptable terms with prospective CROs and clinical trial sites; recruiting and training suitable clinical investigators; delays or difficulties in recruiting trial patients; delays in obtaining required IRB approval at each clinical trial site;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current Good Clinical Practice (“GCP”) requirements or applicable regulatory guidelines in other countries; changes to the clinical trial protocols; clinical sites deviating from trial protocol or dropping out of a trial; delays or failure by our third party vendors or us in the manufacturing, packaging, labeling and proper delivery of clinical trial materials; and third parties being unwilling or unable to satisfy their contractual obligations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also encounter delays if a clinical trial is required to be materially modified or suspended or terminated by us, the IRBs, by a Data Safety Monitoring Board, if any, or by the FDA or comparable foreign regulatory authorities. Such authorities may suspend, put on clinical hold or terminate a clinical trial due to a number of factors, including not aligning with or supporting our clinical trial designs or our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product candidates beyond those that we currently contemplate, if we are unable to successfully complete clinical trials of our product candidates, if the results of these trials are not positive or are only moderately positive or if there are safety concerns, our business and results of operations may be adversely affected and we may need to adjust or abandon our business plans and we may incur significant additional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participants in our current and future clinical trials, our clinical development activities could be delayed or otherwise adversely affected. We depend on the successful completion of clinical trials for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patient participant enrollment in our clinical trials for a variety of reasons. The timely completion of clinical trials in accordance with their protocols depends, among other things, on our ability to enroll a sufficient number of participants who remain in the trial until conclusion. The enrollment of participants in current or future trials for any of our programs will depend on many factors, including if participants choose to enroll in clinical trials, rather than using approved products, or if our competitors have ongoing clinical trials for programs that are under development for the same indications as our programs, and participants instead enroll in such clinical trials. Even if we are able to enroll a sufficient number of participants for our clinical trials, it may have difficulty maintaining participants in our clinical trials. Our inability to enroll or maintain a sufficient number of participants would result in significant delays in completing clinical trials and increased development costs or may require us to abandon one or more clinical trials altogether.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“topline” or interim data from our clinical trials may change as more participant data becomes available and are subject to audit and verification procedures, and should be viewed with caution until the final data are available.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preliminary or topline data from our preclinical studies and clinical trials that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disclose interim data from our preclinical studies and clinical trials. Interim data are subject to the risk that one or more of the clinical outcomes may materially change as participant enrollment continues and more participant data become available or as participants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the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negative or inconclusive results of clinical trials involving our product candidates could require that we repeat or conduct additional clinical trials. We do not know whether any clinical trials we may conduct will demonstrate adequate efficacy and safety to result in regulatory approval to market any of our product candidates. If the preliminary, topline or interim data that we report differ from actual results, or if final data or data from later stage clinical trials do not produce favorable results, our ability to obtain approval for, and commercialize, our product candidates may be harmed, which could harm our business, operating results, prospects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clinical trials may reveal significant adverse events, undesirable side effects or patient intolerance not seen in our preclinical studies or earlier clinical trials, and may result in a safety profile that could halt clinical development, inhibit regulatory approval or limit commercial potential or market acceptance of any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clinical trials could reveal a high and unacceptable severity and prevalence of side effects or patient intolerance, adverse events or unexpected characteristics, and any of these occurrences could harm our business, financial condition, results of operations and prospects significantly. If significant adverse events or other side effects are observed in any of our clinical trials, we may have difficulty recruiting participants to such trials, participants may drop out of the trials, or we may have to suspend, materially modify or abandon the trials or our development efforts of one or more programs altogether. We, the FDA or other applicable regulatory authorities, or an IRB, may suspend or require the material modification of any clinical trials of any program at any time for various reasons, including a belief that participants in such trials are being exposed to unacceptable health risks or adverse side effects. Moreover, negative or inconclusive results could cause the FDA or other regulatory agencies to require that we repeat or conduct additional clinical trials. If our clinical trials do not produce favorable results, our ability to obtain regulatory approval for our product candidates may be adversely impacted.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side effects do not preclude the product candidate from obtaining or maintaining marketing approval, undesirable side effects may inhibit market acceptance of the approved product due to their tolerability versus other therapies. In addition, an extended half-life could prolong the duration of undesirable side effects, which could also affect our clinical trials or inhibit market acceptance. Potential side effects associated with our product candidates may not be appropriately recognized or managed by the treating medical staff, as toxicities resulting from our product candidates may not be normally encountered in the general patient population and by medical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if we successfully advance our product candidates through clinical trials, such trials will only include a limited number of participants and limited duration of exposure to our product candidates. As a result, we cannot be assured that adverse effects of our product candidates will not be uncovered when a significantly larger number of participants are exposed to the product candidate after approval. Further, any clinical trials may not be sufficient to determine the effect and safety consequences of using our product candidates over a multi-year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foregoing events occur or if one or more of the research programs with respect to which we have signed a licensed agreement for or exercised the option to acquire intellectual property license rights to or have the option to acquire intellectual property license rights to pursuant to the Option Agreements prove to be unsafe, our pipeline could be affected, which would have a material adverse effect on our business, financial condition, results of operations and prospects.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expend our limited resources to pursue a particular program and fail to capitalize on programs that may be more profitable or for which there is a greater likelihood of success.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initially focused on our most advanced programs, ORKA-001 and ORKA-002, and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be in a position where we may have to relinquish valuable rights to that product candidate through collaboration, licensing or other arrangements in cases in which we would have been more advantageous for us to retain sole development and commercialization rights to such product candidate.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approved products resulting from our programs may not achieve adequate market acceptance among clinicians, patients, healthcare third-party payors and others in the medical community necessary for commercial success and we may not generate any future revenue from the sale or licensing of such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regulatory approval is obtained for a product candidate resulting from one of our current or future programs, it may not gain market acceptance among physicians, patients, third-party payors or others in the medical community. Market acceptance of our product candidates will depend on many factors, including factors that are not within our control. While there are several approved products and product candidates in later stages of development for the treatment of PsO, our programs incorporate advanced antibody engineering to optimize the half-life and formulation of antibodies, and to date, no such antibody has been approved by the FDA for the treatment of PsO. Market participants with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Moreover, an extended half-life may make it more difficult for patients to change treatments and there may be a perception that half-life extension could exacerbate side effects, each of which may adversely affect our ability to gain market acceptance.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medical products also depend on the willingness of healthcare providers to prescribe the treatment, and if any of our product candidates is approved but does not achieve an adequate level of acceptance, we may not generate or derive sufficient revenue from that product candidate and may not become or remain profitable.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programs may compete with our other programs, which could negatively impact our business and reduce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developing product candidates for the same indication, PsO, and may in the future develop our programs for other I&amp;I indications. Each such program targets a different mechanism of action. However, developing multiple programs for a single indication may negatively impact our business if the programs compete with each other. For example, if multiple programs are conducting clinical trials at the same time, they could compete for the enrollment of participants. In addition, if multiple product candidates are approved for the same indication, they may compete for market share, which could limit our future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conduct clinical trials for programs at sites outside the United States, and the FDA may not accept data from trials conducted in such locations. Moreover, conducting clinical trials outside of the United States presents additional risks that may delay our clinical trials.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conduct one or more of our future clinical trials outside the United States. Although the FDA may accept data from clinical trials conducted outside the United States, acceptance of this data is subject to conditions imposed by the FDA.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impose additional conditions, such as requiring us to modify our planned clinical trials to receive clearance to initiate such trials in the United States or to continue such trials once initiated.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outside of the United States. presents additional risks that may delay completion of our clinical trials. These risks include the failure of investigators or enrolled participants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potential restrictions, such as local privacy restrictions, on data generated from the clinical trial, diminished protection of intellectual property in some countries, as well as political and economic risks relevant to foreign countries.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Government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other comparable foreign regulatory authorities are lengthy, time-consuming and unpredictable. If we are not able to obtain, or if there are delays in obtaining, required regulatory approvals for our product candidates, we may not be able to commercialize, or may be delayed in commercializing, our product candidates, and our ability to generate revenue may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lengthy regulatory approval process as well as the unpredictability of clinical trial results may result in our failing to obtain or be delayed in obtaining approval to market our product candidates, which would significantly harm our business, results of operations and prospects. Of the large number of drugs in development, only a small percentage successfully complete the FDA or foreign regulatory approval processes and are commercialized. The process of obtaining regulatory approvals, both in the United States and abroad, is unpredictable, expensive and typically takes many years following commencement of clinical trials. Approval may never be obtained and the approval process can vary substantially based upon a variety of factors, including the type, complexity and novelty of the product candidates involved. Further, the FDA and comparable foreign regulatory authorities may undergo leadership changes, change their policies, issue additional regulations or revise existing regulations, or take other actions, such as those implemented by the recently established Department of Government Efficiency, which may impact our clinical development plans or prevent or delay approval of our programs under development on a timely basis. Such policy or regulatory changes could impose additional requirements upon us that could delay our ability to obtain approvals and increase the costs of compliance. Before obtaining regulatory approvals for the commercial sale of our product candidates, we must demonstrate through lengthy, complex and expensive preclinical studies and clinical trials that our product candidates are both safe and effective for each targeted indication. 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failure to demonstrate that a product candidate’s benefits outweigh safety risks; regulatory authorities may disagree with our interpretation of clinical data or the data collected may not be acceptable or sufficient to support submission; or the results may not meet the level of statistical significance required for approval by the relevant regulatory authorities or otherwise considered insufficient by the FDA or comparable foreign regulatory authorities. Regulatory authorities may require the addition of labeling statements, such as black box or other warnings or contraindications that could diminish the usage of the product or otherwise limit the commercial success of the affected product.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regulatory authorities may approve any of our product candidates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meet requirements for the chemistry, manufacturing and control of our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receive approval of our products by the FDA and comparable foreign regulatory authorities, we must show that we and our CMO partners are able to characterize, control and manufacture our drug products safely and in accordance with regulatory requirements. This includes manufacturing the active ingredient, developing an acceptable formulation, manufacturing the drug product, performing tests to adequately characterize the formulated product, documenting a repeatable manufacturing process, and demonstrating that our drug products meet stability requirements. As noted above, we may deliver our product candidates via a drug delivery device, which also requires us to meet certain chemistry, manufacturing and control requirements set forth by the FDA and other foreign regulatory authorities. Meeting these chemistry, manufacturing and control requirements is a complex task that requires specialized expertise. If we are not able to meet the chemistry, manufacturing and control requirements, we may not be successful in getting our products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product candidates for which we intend to seek approval as biologics may face competition sooner than anticipated.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Patient Protection and Affordable Care Act, as amended by the Healthcare and Education Reconciliation Act (the “ACA”), includes a subtitle called the Biologics Price Competition and Innovation Act (the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of our product candidates approved as biologics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of our product candidates, we will be subject to extensive ongoing regulatory obligations and continued regulatory review and may result in restrictions on the use of the product, which may result in significant additional expense and we may be subject to penalties if we fail to comply with regulatory requirements or experience unanticipated problems with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product candidates. In addition, even if our product candidates receive approval, our product candidates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Good Manufacturing Practices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a regulatory authority discover previously unknown problems with a product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regulatory filings and our ability to commence clinical trials can be affected by a variety of factors, including government budget and funding levels, ability to hire and retain key personnel and accept the payment of user fees, statutory, regulatory and policy changes, disruptions caused by government shutdowns and public health crises. There have been mass layoffs of federal government employees since the start of the Trump administration in January 2025, the full impact of which is unclear at this time.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Furthermore, the Trump administration has made and is expected to continue to make changes in the leadership of various U.S. federal regulatory agencies and changes to U.S. federal government policy that have led to, in some cases, legal challenges and uncertainty around the funding, functioning and policy priorities of the U.S. federal regulatory agencies, including the FDA.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at the FDA and other agencies or comparable foreign regulatory authorities, may also slow the time necessary for the review and approval of applications for clinical trial or marketing authorization, which would adversely affect our business. For example, in recent years, including in 2018 and 2019, the U.S. government shut down several times and certain regulatory agencies, such as the FDA and the SEC, had to furlough critical employees and stop critical activities. Additionally, action by the Trump administration to limit federal agency budgets or personnel may result in reductions to the FDA’s budget, employees, and operations, which may lead to slower response times and longer review periods, potentially affecting our ability to progress development of our product candidates or obtain regulatory approval for our product candidates.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extent to which the Trump administration may impose or seek to impose leadership or policy changes at the FDA or changes to rules and policies impacting our business and operations. It is unclear how these executive actions or other potential actions by the federal government will impact the FDA or other regulatory authorities that oversee our business. Government proposals to reduce or eliminate budgetary deficits may include reduced allocations to the FDA and other related government agencies. These budgetary pressures may reduce the FDA’s ability to perform its responsibilities, which could result in delays in our clinical trial timelines. If a significant reduction in the FDA’s workforce occurs, the FDA’s budget is significantly reduced or a prolonged government shutdown occurs, it could significantly impact the ability of the FDA to timely review and process our regulatory submissions or take other actions critical to the development or manufacturing of our product candidates,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difficulties from legislative or regulatory reform measures.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faced with additional or changing regulatory and governmental regulations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the Trump Administration has discussed several changes to the reach and oversight of the FDA, which could affect its relationship with the pharmaceutical industry, transparency in decision making and ultimately the cost and availability of prescription drugs.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pharmaceuticals has been a topic of considerable public discussion that could lead to price controls or other price-limiting strategies by third-party payors that have the effect of lowering payment and reimbursement rates for drugs or otherwise making the commercialization of pharmaceuticals less profitable. Many federal and state legislatures have considered, and adopted, healthcare policies intended to curb rising healthcare costs, such as the Inflation Reduction Act (“IRA”). These cost-containment measures may include, among other measures: requirements for pharmaceutical companies to negotiate prescription drug prices with government healthcare programs; controls on government-funded reimbursement for drugs; new or increased requirements to pay prescription drug rebates to government healthcare programs, including if drug prices increase at a higher rate than inflation;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payors to make coverage and payment decisions. Political, economic and regulatory developments may further complicate developments in healthcare systems and pharmaceutical drug pricing. These developments could, for example, impact our potential licensing agreements as commercial and collaborative partners may also consider the impact of these pressures on their licensing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new laws or regulations that have the effect of imposing additional costs or regulatory burden on pharmaceutical manufacturers, or otherwise negatively affect the industry, could adversely affect our ability to successfully commercialize our product candidates. The implementation of any price controls, caps on prescription drugs or price transparency requirements could adversely affect our business, operating results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current and future arrangements with investigators, healthcare professionals, consultants, third-party payors, patient organizations and customers will be subject to applicable healthcare regulatory laws, including conflicts of interest rules, which could expose us to penalties.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In addition, we may be subject to data privacy and security regulation by the U.S. federal government and the states and the foreign governments in which we conduct our business. Restrictions under applicable laws and regulations include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foreign privacy, data protection, and data security laws and regulations, such as the European Union’s General Data Protection Regulation (EU GDPR), which imposes comprehensive obligations on covered businesses to, among other things, make contractual privacy, data protection and data security commitments, cooperate with European data protection authorities, implement security measures, give data breach notifications, and keep records of personal information processing activities;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investigators for our clinical trials may serve as scientific advisors or consultants to us or may be affiliated with our other service providers, including CROs or site management organizations, and from time to time may receive cash compensation in connection with such services. If these relationships and any related compensation result in perceived or actual conflicts of interest, the integrity of the data generated at the applicable clinical trial site or in the applicable trial may be questioned or jeopardized.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Ensuring that our internal operations and future business arrangements with third parties comply with applicable healthcare laws and regulations will involve costs and management attention. If our operations are found to be in violation of any of these laws or any other governmental laws and regulations that may apply to it,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are able to commercialize any product candidates, we may be subject to unfavorable pricing regulations and/or third-party coverage and reimbursement policies, and we may not be able to offer such product candidates at competitive prices, which would seriously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seek approval to market our product candidates in the United States and in selected foreign jurisdictions, and we will be subject to rules and regulations in those jurisdictions where we obtain approval. Our ability to successfully commercialize any product candidates that we may develop will depend in part on the extent to which reimbursement for these product candidates and related treatments will be available from government health administration authorities, private health insurers and other organizations. In some jurisdictions, government authorities and other third-party payors decide which medications they will pay for and establish reimbursement levels, and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product candidates, we may become subject to significant liability, which would materially adversely affect our business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the U.S. Physician Payments Sunshine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Governments outside the United States tend to impose strict price controls, which may adversely affect our revenue,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countries, particularly member states of the EU (“EU Member States”),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EU Member States, can further reduce prices. To obtain coverage and reimbursement or pricing approvals in some countries, we or current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If the UK or EU Member States were to significantly alter their regulations affecting the pricing of prescription pharmaceuticals, we could face significant new costs.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obtain and protect our patents and other proprietary rights is uncertain, exposing us to the possible loss of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a combination of patents, trademarks, trade secret protection, confidentiality agreements and the Option and License Agreements to protect the intellectual property related to our programs and technologies and to prevent third parties from competing unfairly with it. Our success depends in large part on our ability to obtain and maintain patent protection for our programs and our product candidates and their uses, as well as our ability to operate without infringing on or violating the proprietary rights of others. Paragon has filed, on our behalf, provisional patent applications and we have filed non-provisional patent applications directed to antibodies that target IL-23, including applications covering composition of matter, pharmaceutical composition, and methods of using such antibodies, including ORKA-001. In addition, Paragon has filed, on our behalf, provisional patent applications and we intend to file one or more additional provisional patent applications directed to antibodies that target IL-17, including applications covering composition of matter, pharmaceutical composition, and methods of using such antibodies, including ORKA-002.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is expensive and our intellectual property rights in some foreign jurisdictions can be less extensive than those in the United States; the reverse may also occur.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product candidates under patent protection would be reduced. Thus, the patents that we may own and license may not afford us any meaningful competitive advantage.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personnel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agreements, such as confidentiality agreements, with our vendors,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state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Enforcing a claim that a party illegally obtained and is using our trade secrets is challenging and the outcome is unpredictable. In addition, courts outside of the U.S. may be less willing to protect trade secrets.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Lastly, if our trademarks and trade names are not registered or adequately protected, then we may not be able to build name recognition in our markets of interest and our business may be adversely affected.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obtaining or maintaining necessary rights to our programs through acquisitions and in-licenses.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development programs currently do and may in the future require the use of proprietary rights held by third parties, the growth of our business may depend in part on our ability to acquire, in-license, or use these third-party proprietary rights. It is possible that we may be unable to obtain licenses at a reasonable cost or on reasonable terms, if at all. Even if we are able to obtain a license, it may be non-exclusive, thereby giving our competitors access to the same technologies licensed to us.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maintain the existing intellectual property rights we do obtain, we may have to abandon development of the relevant program, which could have a material adverse effect on our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plan to obtain the right to control patent prosecution, maintenance and enforcement of the patents relating to our programs, there may be times when the filing and prosecution activities for patents and patent applications relating to our programs are controlled by our current and future licensors or collaboration partners. If any of our current and future licensors or collaboration partners fail to prosecute, maintain and enforce such patents and patent applications in a manner consistent with the best interests of our business,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our counsel that took place prior to the date upon which we assumed control over patent prosecution. Moreover, if other third parties have ownership rights to our future in-licensed patents, they may be able to license such patents to our competitors, and our competitors could market competing products and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obtain licenses at a reasonable cost or terms may require us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product candidates. This could have a material adverse effect on our competitive position, business, financial condition,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may arise between us and our future licensors regarding intellectual property subject to a license agreement, including without limitation: the scope of rights granted under the license agreement and other interpretation-related issues; whether and the extent to which our technology and processes may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patent infringement claims or may need to file claims to protect our intellectual property, which could result in substantial costs and liability and prevent us from commercializing our potential products.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intellectual property landscape in the biopharmaceutical industry is rapidly evolving and interdisciplinary, it is difficult to conclusively assess our freedom to operate and guarantee that we can operate without infringing on or violating third-party rights. Third-party patent rights, if found to be valid and enforceable, could be alleged to render one or more of our product candidates infringing. If a third party successfully brings a claim against us, we may be required to pay substantial damages, be forced to abandon or delay the development of any affected product candidate and/or seek a license from the patent holder. Any intellectual property claims brought against us, whether or not successful, may cause us to incur significant legal expenses and divert the attention of our management and key personnel from other business concerns. We cannot be certain that patents owned or licensed by us will not be challenged by others in litigation. Some of our competitors may be able to sustain the costs of complex intellectual property litigation more effectively than we can because they may have substantially greater resources. In addition, any litigation could have a material adverse effect on our business and operations, including our ability to raise funds.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or otherwise violate our patents, trademarks, copyrights or other intellectual property. To counter infringement or other violations, we may be required to file claims, which can be expensive and time-consuming, and any such claims could provoke these parties to assert counterclaims against us.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(“marks”)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we may be required to protect our patents through procedures created to attack the validity of a patent at the USPTO. An adverse determination in any such submission or proceeding could reduce the scope of, affect the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hired an employee from a competitor or that our employees, consultants or independent contractors have wrongfully used or disclosed confidential information of third parties.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common in the biopharmaceutical industry, in addition to our employees, we engage the services of consultants and independent contractors to assist us in the development of our programs. Many of these consultants, independent contractors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our employees, our consultants or our independent contractors have inadvertently or otherwise used or disclosed alleged intellectual property, such as trade secrets, or other confidential information of former employers or competitors. Although we try to ensure that our employees, consultants and independent contractors do not use the intellectual property, proprietary information, know-how or trade secrets of others in their work for us, we may become subject to claims that we caused an individual to breach the terms of his or her non-competition or non-solicitation agreement, or that we or these individuals have, inadvertently or otherwise, used or disclosed the alleged trade secrets or other proprietary information of a former employer or competitor.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consultants or independent contractors, each of which would have an adverse effect on our business, results of operations and financial condition. Even if we are successful in defending against such claims, litigation could result in substantial costs and be a distraction to management.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patent laws in the United States and other jurisdictions could diminish the value of patents in general, thereby impairing our ability to protect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patent laws in the United States and foreign jurisdictions could increase the uncertainties and costs surrounding the prosecution of our owned and in-licensed patent applications and the maintenance, enforcement or defense of our owned and in-licensed issued patents. Additionally, there have been proposals for additional changes to the patent laws of the United States and other countries that, if adopted, could impact our ability to enforce our proprietary technology. This combination of events has created uncertainty with respect to the validity and enforceability of patents once obtained. Depending on future actions by the U.S. Congress, the federal courts, the USPTO and the relevant law-making bodies in other countries, the laws and regulations governing patents could change in unpredictable ways that could have a material adverse effect on our patent rights and our ability to protect, defend and enforce our patent rights in the future. In addition, geopolitical instability could increase the uncertainties and costs surrounding the prosecution or maintenance of patent applications and the maintenance, enforcement or defense of issued patents.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For example, the United States Supreme Court in Amgen, Inc. v. Sanofi (Amgen) stated that if patent claims are directed to an entire class of compositions of matter, then the patent specification must enable a person skilled in the art to make and use the entire class of compositions. This decision makes it unlikely that we will be granted U.S. patents with composition of matter claims directed to antibodies functionally defined by their ability to bind a particular antigen. Even if we are granted claims directed to functionally defined antibodies, it is possible that a third party may challenge our patents, when issued, relying on the reasoning in Amgen or other recent precedential court decisions.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European Unified Patent Court (“UPC”) entered into force on June 1, 2023. The UPC is a common patent court that hears patent infringement and revocation proceedings effective for EU Member States. This could enable third parties to seek revocation of a European patent in a single proceeding at the UPC rather than through multiple proceedings in each of the jurisdictions in which the European patent is validated.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products or technology similar to ours. Any such patent application may have priority over our patent applications or patents, which could require us to obtain rights to issued patents covering such technologies.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claims challenging the inventorship or ownership of our patents and other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in our patents or other intellectual property as an inventor or co-inventor. The failure to name the proper inventors on a patent application can impact the validity of the patents issuing thereon.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terms may be inadequate to protect the competitive position of our product candidates for an adequate amount of time.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time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technology licensed from various third parties may be subject to retained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future licensors may rely on third-party consultants or collaborators or on funds from third parties, such as the U.S. government, such that our licensors would not be the sole and exclusive owners of any patents we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Third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licensing arrangements with Paragon through the License Agreements. If we are unable to maintain collaborations or licensing arrangements, or if our collaborations or licensing arrangements are not successful, our business could be negatively impacted.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our licensing arrangements with Paragon through the License Agreements for a substantial portion of our in-licenses, including for ORKA-001 and ORKA-002.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Collaborations or licensing arrangements that we enter into may not be successful, and any success will depend heavily on the efforts and activities of such collaborators or licensors. If any of our current or future collaborators or licensors experience delays in performance of, or fails to perform our obligations under their agreement with us, disagrees with our interpretation of the terms of such agreement or terminates their agreement with us, the research programs with respect to which we have the option to acquire intellectual property license rights to pursuant to the Option Agreements, the licensing agreements we have pursuant to the License Agreements and our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product candidates.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strategy, we plan to evaluate additional opportunities to enhance our capabilities and expand our development pipeline or provide development or commercialization capabilities that complement ours.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upon, among other things,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collaborations on a timely basis,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utilized and plan to continue to utilize and depend upon independent investigators and collaborators, such as medical institutions, CROs, contract testing labs, CMOs and strategic partners, to supply,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or refuse to approve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 federal or state fraud and abuse or false claims laws and regulations or healthcare privacy and security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third parties conducting our clinical trials will not be our employees and, except for remedies available to us under our agreements with such third parties, we cannot control whether they devote sufficient time and resources to our programs. These third parties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product candidates.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facility that may be used as our clinical or commercial manufacturing and processing facility and must currently rely on CMOs to manufacture our product candidates. We have not yet caused any product candidates to be manufactured on a commercial scale and may not be able to do so for any of our product candidates, if approved. We currently have a sole source relationship for our supply of the ORKA-001 and ORKA-002 programs.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do not control the manufacturing process of, and are completely dependent on, our contract manufacturing partners for compliance with cGMP requirements and any other regulatory requirements of the FDA or comparable foreign regulatory authorities for the manufacture of our product candidates. Beyond periodic audits, we have limited control over the ability of our CMOs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delays, and materially adversely affect our ability to develop, obtain regulatory approval for or market our product candidates,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our CMOs may experience manufacturing difficulties due to resource constraints, supply chain issues, proposed or actual legislative changes or requirements, or as a result of labor disputes or unstable political environments. If any CMOs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 candidates.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CMOs may be subject to U.S. legislation, including the proposed BIOSECURE bill,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We currently rely on foreign CROs and CMOs, including WuXi Biologics (Hong Kong) Limited and its affiliates (“WuXi Biologics”) and will likely continue to rely on foreign CROs and CMOs in the future. WuXi Biologics is identified in the U.S. legislation known as the BIOSECURE Act, which was proposed in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as a “biotechnology company of concern.” The version of the BIOSECURE Act introduced in the U.S. House of Representatives during the 118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would prohibit federal agencies from entering into procurement contracts with, as well as providing grants and loans to, an entity that uses biotechnology equipment or services from a biotechnology company of concern, and includes a grandfathering provision allowing biotechnology equipment and services provided or produced by named “biotechnology companies of concern” under a contract or agreement entered into before the effective date until January 1, 2032. The pathway and timing for the BIOSECURE Act or its provisions to become law are uncertain. Depending on whether the BIOSECURE Act becomes law, what the final language of the BIOSECURE Act includes, and how the law is interpreted by U.S. federal agencies, we could be potentially restricted from pursuing U.S. federal government business or grants in the future if we continue to use WuXi Biologics or other parties identified as “biotechnology companies of concern” beyond the grandfathering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operations and financial condition may be negatively impacted as a result of any delays or increased costs arising from the trade restrictions and other foreign regulatory requirements affecting such collaborators. In addition, while we have established relationships with CROs and CMOs outside of China, moving to those suppliers in the event of geopolitical instability affecting our collaborators in China could introduce delays into the development program. For example, in April 2025, the United States government imposed significant tariffs on imports from China and other countries and may impose more restrictions on goods, including biologically derived substances, manufactured in or imported from China or other countries or impose other restrictions on companies’ ability to work with Chinese or other foreign counterparties. To the extent these or future tariffs are applicable to the material we import from China and other countries or if we are not able to secure supply of our product candidates as a result of applicable legislation, our business and financial condition could be adversely affected.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Employee Matters, Managing Growth and Other Risks Related to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order to successfully implement our plans and strategies, we will need to grow the size of our organization and we may experience difficulties in managing this growth.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our key personnel and anticipate hiring new key personnel. If we are not successful in attracting and retaining highly qualified personnel, we may not be able to successfully implement our business strategy.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pursue our growth strategy will be limited if we are unable to continue to attract and retain high quality personnel. We have been and will continue to be highly dependent on the research and development, clinical and business development expertise of our executive officers, as well as the other principal members of our management, scientific and clinical team. Any of our management team members may terminate their employment with us at any time. We do not maintain “key person” insurance for any of our executives or other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Attracting and retaining qualified personnel will also be critical to our success, including with respect to any strategic transaction that we may pursue. The loss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facilitate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as well as from universities and research institutions.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rely on consultants and advisors to assist us in formulating our discovery and nonclinical and clinical development and commercialization strategy. Our consultants and advisors may be employed by employers other than us and may have commitments under consulting or advisory contracts with other entities that may limit their availability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growth may depend, in part, on our ability to operate in foreign markets, where we would be subject to additional regulatory burdens and other risks and uncertainties.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may depend, in part, on our ability to develop and commercialize our product candidates in foreign markets for which we may rely on collaboration with third parties. If we fail to comply with the regulatory requirements in foreign markets and receive applicable marketing approvals, our target market will be reduced and our ability to realize the full market potential of our product candidates will be harmed and our business will be adversely affected. Moreover, even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reduced protection of intellectual property rights in some foreign countries.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advisors, commercial collaborators, principal investigators, CROs, CMOs, suppliers and vendors may engage in misconduct or other improper activities, including noncompliance with regulatory standards and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that our employees, independent contractors, consultants, advisors, commercial collaborators, principal investigators, CROs, CMOs, suppliers and vendors acting for or on our behalf may engage in misconduct or other improper activities. We have adopted a code of conduct and ethics,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information technology systems, or those of any of our third-party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trade secrets, and other sensitive data (collectively, sensitive information). If we (or a third party upon whom we rely) experience a security incident or are perceived to have experienced a security incident, we may experience adverse consequences. While we have implemented security measures designed to protect against security incidents, there can be no assurance that these measures will be effective. Further, cybersecurity breaches or other cybersecurity incidents may allow hackers access to our preclinical compounds, strategies, discoveries, trade secrets, and/or other confidential information. Additionally, sensitive data could be leaked, disclosed, or revealed as a result of or in connection with our employees’, personnel’s, vendors’ or partners’ use of generative AI technologies. Our ability to monitor third parties’ information security practices is limited, and these third parties may not have adequate security measures in place.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 Moreover, while we may be entitled to damages if our third-party service providers fail to satisfy their privacy or security-related obligations to us, any award may be insufficient or we may be unable to recover such award. Security incidents and attendant consequences may negatively impact our ability to grow and operate our business. The risk of a cybersecurity incident or other informational technology disruption, particularly through cyber-attacks, has generally increased as the number, intensity and sophistication of attempted attacks and intrusions from around the world have increased.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any disruption or security breach were to result in loss, destruction, unavailability, alteration or dissemination of, or damage to, our data (including clinical trial data) or applications, or for it to be believed or reported that any of these occurred, we could incur liability, including under laws and regulations governing the protection of protected health information and other personal data, and reputational damage and the development and commercialization of our product candidates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contractors, sites performing our clinical trials, third-party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or from cyber-attacks by malicious third parties, or ransomware attacks, which, in each case, may compromise our system infrastructure or lead to the loss, destruction, alteration or dissemination of, or damage to, our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hybrid-remote workforce may create additional risks for our information technology systems and data because our employees work remotely and utilize network connections, computers, and devices working at home, while in transit and in public locations.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third parties who we work with are or may become subject to numerous domestic and foreign laws, regulations, and standards relating to privacy, data protection, data transfer,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adverse U.S. legislative or regulatory tax changes that could negatively impact our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dealing with U.S. federal, state and local income taxation are constantly under review by persons involved in the legislative process and by the Internal Revenue Service and the U.S. Treasury Department. Changes to tax laws (which may have retroactive application) could adversely affect our stockholders or us. We continue to assess the impact of various tax reform proposals and modifications to existing tax treaties in all jurisdictions where we have operations or employees to determine the potential effect on our business and any assumptions we make about our future taxable income. We cannot predict whether any specific proposals will be enacted, the terms of any such proposals or what effect, if any, such proposals would have on our business if they were to be enacted. For example, the United States enacted the IRA, which implements, among other changes, a 1% excise tax on certain stock buybacks. In addition, beginning in 2022, the Tax Cuts and Jobs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Such changes, among others, may adversely affect our effective tax rate, results of operation and general business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acquire businesses or products, or form strategic alliances, in the future, and may not realize the benefits of such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maintain our cash at financial institutions, often in balances that exceed federally-insured limits. The failure of financial institutions could adversely affect our ability to pay our operational expenses or make other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held in non-interest-bearing and interest-bearing accounts exceeds the Federal Deposit Insurance Corporation insurance limits. If such banking institutions were to fail, we could lose all or a portion of those amounts held in excess of such insurance limitations.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estimates of market opportunity and forecasts of market growth may prove to be inaccurate, and even if the markets in which we compete achieve the forecasted growth, our business may not grow at similar rates, or at all.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market opportunity estimates and growth forecasts are subject to significant uncertainty and are based on assumptions and estimates that may not prove to be 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exposed to costly and damaging product liability claims and our insurance may not cover all damages from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potential product liability and professional indemnity risks that are inherent in the research, development, manufacturing, marketing, and use of pharmaceutical products. The use of a product candidate in clinical trials and the sale of any approved products in the future may expose us to liability claims. An individual or group of individuals may bring a liability claim against us if one of our product candidates causes, or merely appears to have caused, an injury, either at the clinical or commercial stage. Any claims against us, regardless of their merit, could be difficult and costly to defend and could materially and adversely affect our business. While we carry product liability insurance for our clinical trials, it is possible that any liabilities could exceed our insurance coverage or that in the future we may not be able to maintain insurance coverage at a reasonable cost or obtain insurance coverage that will be adequate to satisfy any liability that may arise. On occasion, large judgments have been awarded in class action or individual lawsuits. A successful product liability claim or series of claims brought against us could cause our stock price to decline and, if judgments exceed our insurance coverage, could decrease our cash and our business operations could be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costs and the outcome of litigation could have a material adverse effect on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be adversely affected by economic downturns, inflation, fluctuation in interest rates, natural disasters, public health crises, political crises, geopolitical events or other macroeconomic conditions, which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new or increased tariffs and other barriers to trade, especially in light of recent executive orders made by the Trump administration, trade and other international disputes, increases in inflation rates, fluctuation in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biotechnology areas), political and military conflict, and uncertainty about economic stability. In recent months, the U.S. has announced tariffs on imports from most countries, including significant tariffs on imports from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There is substantial uncertainty about the duration of existing tariffs and whether additional tariffs may be imposed, modified or suspended. Fluctuation in interest rates, coupled with reduced government spending and volatility in financial markets, may increase economic uncertainty and affect consumer spending. Similarly, the ongoing military conflict between Russia and Ukraine and in the Middle East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events and global economic conditions may also affect the ability of the FDA and other regulatory authorities to perform routine functions.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Owning Our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has been, and may continue to be volatile.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has been and is likely to be highly volatile and is subject to significant fluctuations. Moreover, the stock markets in general have experienced substantial volatility that has often been unrelated to the operating performance of individual companies. These broad market fluctuations may also adversely affect the trading price of our common stock. For example, escalating trade tensions, elevated interest rates and regulatory uncertainty have caused significant market volatility in recent months, and particularly in the biotechnology and biopharmaceutical industries.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market volatility may lead to securities litigation or increased stockholder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factors that may cause the market price of our common stock to fluctuate include: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timing and results of clinical trials and preclinical studies of our product candidates, or those of our competitors or our existing or future collaborators;</w:t>
            </w:r>
          </w:p>
        </w:tc>
      </w:tr>
    </w:tbl>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105"/>
        <w:gridCol w:w="200"/>
        <w:gridCol w:w="8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sz w:val="20"/>
              </w:rPr>
            </w:pPr>
            <w:r>
              <w:rPr>
                <w:sz w:val="20"/>
              </w:rPr>
              <w:t>failure to meet or exceed financial and development projections that we may provide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105"/>
        <w:gridCol w:w="200"/>
        <w:gridCol w:w="56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sz w:val="20"/>
              </w:rPr>
            </w:pPr>
            <w:r>
              <w:rPr>
                <w:sz w:val="20"/>
              </w:rPr>
              <w:t>announcements of significant or potential equity or debt sales by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actions taken by regulatory agencies with respect to our product candidates, clinical studies, manufacturing process or sales and marketing terms;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failure to meet or exceed the financial and development projections of the investment community or if securities or industry analysts do not publish research or reports about our business, or if they issue adverse or misleading opinions regarding our business and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general market, macroeconomic or geopolitical conditions or market conditions in the pharmaceutical and biotechnology sectors;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announcements of significant acquisitions, strategic collaborations, joint ventures or capital commitments by us or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disputes or other developments relating to proprietary rights, including patents, litigation matters, and our ability to obtain patent protection for our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283"/>
              <w:jc w:val="both"/>
              <w:rPr>
                <w:sz w:val="20"/>
              </w:rPr>
            </w:pPr>
            <w:r>
              <w:rPr>
                <w:sz w:val="20"/>
              </w:rPr>
              <w:t>additions or departures of key personnel, including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sz w:val="20"/>
              </w:rPr>
            </w:pPr>
            <w:r>
              <w:rPr>
                <w:sz w:val="20"/>
              </w:rPr>
              <w:t>significant lawsuits, including patent or stockholder litigation;</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105"/>
        <w:gridCol w:w="200"/>
        <w:gridCol w:w="4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sz w:val="20"/>
              </w:rPr>
            </w:pPr>
            <w:r>
              <w:rPr>
                <w:sz w:val="20"/>
              </w:rPr>
              <w:t>changes in the market valuations of similar companies;</w:t>
            </w:r>
          </w:p>
        </w:tc>
      </w:tr>
    </w:tbl>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105"/>
        <w:gridCol w:w="200"/>
        <w:gridCol w:w="48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sales of securities by us or our securityholders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if we fail to raise an adequate amount of capital to fund our operations or continued development of our product candidates;</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05"/>
        <w:gridCol w:w="200"/>
        <w:gridCol w:w="3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left"/>
              <w:rPr>
                <w:sz w:val="20"/>
              </w:rPr>
            </w:pPr>
            <w:r>
              <w:rPr>
                <w:sz w:val="20"/>
              </w:rPr>
              <w:t>trading volume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announcements by competitors of new products, clinical progress or lack thereof, significant contracts, commercial relationships or capital commitments;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sz w:val="20"/>
              </w:rPr>
            </w:pPr>
            <w:r>
              <w:rPr>
                <w:sz w:val="20"/>
              </w:rPr>
              <w:t>the introduction of technological innovations or new therapies that compete with our products; and</w:t>
            </w:r>
          </w:p>
        </w:tc>
      </w:tr>
    </w:tbl>
    <w:p>
      <w:pPr>
        <w:pStyle w:val="TextBody"/>
        <w:bidi w:val="0"/>
        <w:spacing w:before="0" w:after="0"/>
        <w:ind w:left="0" w:right="0" w:hanging="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105"/>
        <w:gridCol w:w="200"/>
        <w:gridCol w:w="4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55" w:type="dxa"/>
            <w:tcBorders/>
            <w:vAlign w:val="center"/>
          </w:tcPr>
          <w:p>
            <w:pPr>
              <w:pStyle w:val="TableContents"/>
              <w:bidi w:val="0"/>
              <w:spacing w:before="0" w:after="283"/>
              <w:jc w:val="both"/>
              <w:rPr>
                <w:sz w:val="20"/>
              </w:rPr>
            </w:pPr>
            <w:r>
              <w:rPr>
                <w:sz w:val="20"/>
              </w:rPr>
              <w:t>period-to-period fluctuations in our financial results.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certificate of incorporation and bylaws, as well as provisions under Delaware law, could make an acquisition of the company more difficult and may prevent attempts by our stockholders to replace or remove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pStyle w:val="TextBody"/>
        <w:bidi w:val="0"/>
        <w:spacing w:before="0" w:after="0"/>
        <w:ind w:left="0" w:right="0" w:firstLine="360"/>
        <w:jc w:val="both"/>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68"/>
        <w:gridCol w:w="200"/>
        <w:gridCol w:w="8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283"/>
              <w:jc w:val="both"/>
              <w:rPr>
                <w:sz w:val="20"/>
              </w:rPr>
            </w:pPr>
            <w:r>
              <w:rPr>
                <w:sz w:val="20"/>
              </w:rPr>
              <w:t>establish a classified board of directors such that all members of the board are not elected at one time;</w:t>
            </w:r>
          </w:p>
        </w:tc>
      </w:tr>
    </w:tbl>
    <w:p>
      <w:pPr>
        <w:pStyle w:val="TextBody"/>
        <w:bidi w:val="0"/>
        <w:spacing w:before="0" w:after="0"/>
        <w:ind w:left="0" w:right="0" w:hanging="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105"/>
        <w:gridCol w:w="200"/>
        <w:gridCol w:w="84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sz w:val="20"/>
              </w:rPr>
            </w:pPr>
            <w:r>
              <w:rPr>
                <w:sz w:val="20"/>
              </w:rPr>
              <w:t>allow the authorized number of our directors to be changed only by resolution of our board of directors;</w:t>
            </w:r>
          </w:p>
        </w:tc>
      </w:tr>
    </w:tbl>
    <w:p>
      <w:pPr>
        <w:pStyle w:val="TextBody"/>
        <w:bidi w:val="0"/>
        <w:spacing w:before="0" w:after="0"/>
        <w:jc w:val="center"/>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sz w:val="20"/>
              </w:rPr>
            </w:pPr>
            <w:r>
              <w:rPr>
                <w:sz w:val="20"/>
              </w:rPr>
              <w:t>limit the manner in which stockholders can remove directors from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establish advance notice requirements for nominations for election to the board of directors or for proposing matters that can be acted on at stockholder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require that stockholder actions must be effected at a duly called stockholder meeting and prohibit actions by our stockholders by written consent;</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200"/>
        <w:gridCol w:w="4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sz w:val="20"/>
              </w:rPr>
            </w:pPr>
            <w:r>
              <w:rPr>
                <w:sz w:val="20"/>
              </w:rPr>
              <w:t>limit who may call a special meeting of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sz w:val="20"/>
              </w:rPr>
            </w:pPr>
            <w:r>
              <w:rPr>
                <w:sz w:val="20"/>
              </w:rPr>
              <w:t>require the approval of the holders of at least 66 2/3% of the votes that all stockholders would be entitled to cast to amend or repeal certain provisions of our charter or bylaws.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incorporated in Delaware, we are governed by the provisions of Section 203 of the Delaware General Corporation Law (“DGCL”), which prohibits stockholders owning more than 15% of our 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governing documents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shares by existing stockholders could cause our stock price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sell, or indicate an intention to sell, substantial amounts of our common stock in the public market after legal restrictions on resale lapse, the trading price of our common stock could decline. In addition, shares of our common stock that are subject to our outstanding options will become eligible for sale in the public market to the extent permitted by the provisions of various vesting agreements and Rules 144 and 701 under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anticipate that we will pay any cash dividends in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in the foreseeable future. The current expectation is that we will retain our future earnings, if any, to fund the development and growth of our business. As a result, capital appreciation, if any, of our common stock will be your sole source of gain, if any, for the foreseeable future.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executive officers, directors and principal stockholders have the ability to control or significantly influence all matters submitted to our stockholders for approval.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publish unfavorable research or reports about us, our business or our market, our stock price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Plans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2025, no director or Section 16 officer adopted or terminated any Rule 10b5-1 trading arrangements or non-Rule 10b5-1 trading arrangements (in each case, as defined in Item 408(a) of Regulation S-K).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9"/>
      <w:bookmarkEnd w:id="19"/>
      <w:r>
        <w:rPr>
          <w:rFonts w:ascii="Times New Roman;Times;Serif" w:hAnsi="Times New Roman;Times;Serif"/>
          <w:b/>
          <w:i w:val="false"/>
          <w:caps w:val="false"/>
          <w:smallCaps w:val="false"/>
          <w:sz w:val="20"/>
        </w:rPr>
        <w:t>Item 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filed or furnished as part of this Quarterly Report are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0"/>
        <w:gridCol w:w="90"/>
        <w:gridCol w:w="6196"/>
        <w:gridCol w:w="90"/>
        <w:gridCol w:w="635"/>
        <w:gridCol w:w="90"/>
        <w:gridCol w:w="890"/>
        <w:gridCol w:w="90"/>
        <w:gridCol w:w="1204"/>
      </w:tblGrid>
      <w:tr>
        <w:trPr/>
        <w:tc>
          <w:tcPr>
            <w:tcW w:w="920" w:type="dxa"/>
            <w:tcBorders>
              <w:bottom w:val="single" w:sz="12" w:space="0" w:color="000000"/>
            </w:tcBorders>
            <w:vAlign w:val="center"/>
          </w:tcPr>
          <w:p>
            <w:pPr>
              <w:pStyle w:val="TableContents"/>
              <w:bidi w:val="0"/>
              <w:spacing w:before="0" w:after="283"/>
              <w:jc w:val="left"/>
              <w:rPr>
                <w:b/>
                <w:sz w:val="20"/>
              </w:rPr>
            </w:pPr>
            <w:r>
              <w:rPr>
                <w:b/>
                <w:sz w:val="20"/>
              </w:rPr>
              <w:t>EXHIBIT</w:t>
              <w:br/>
              <w:t>NUMBER</w:t>
            </w:r>
          </w:p>
        </w:tc>
        <w:tc>
          <w:tcPr>
            <w:tcW w:w="90" w:type="dxa"/>
            <w:tcBorders/>
            <w:tcMar>
              <w:bottom w:w="0" w:type="dxa"/>
            </w:tcMar>
            <w:vAlign w:val="center"/>
          </w:tcPr>
          <w:p>
            <w:pPr>
              <w:pStyle w:val="TableContents"/>
              <w:bidi w:val="0"/>
              <w:spacing w:before="0" w:after="283"/>
              <w:jc w:val="center"/>
              <w:rPr/>
            </w:pPr>
            <w:r>
              <w:rPr/>
              <w:t> </w:t>
            </w:r>
          </w:p>
        </w:tc>
        <w:tc>
          <w:tcPr>
            <w:tcW w:w="6196" w:type="dxa"/>
            <w:tcBorders>
              <w:bottom w:val="single" w:sz="12" w:space="0" w:color="000000"/>
            </w:tcBorders>
            <w:vAlign w:val="center"/>
          </w:tcPr>
          <w:p>
            <w:pPr>
              <w:pStyle w:val="TableContents"/>
              <w:bidi w:val="0"/>
              <w:spacing w:before="0" w:after="283"/>
              <w:jc w:val="center"/>
              <w:rPr>
                <w:b/>
                <w:sz w:val="20"/>
              </w:rPr>
            </w:pPr>
            <w:r>
              <w:rPr>
                <w:b/>
                <w:sz w:val="20"/>
              </w:rPr>
              <w:t>DESCRIPTION</w:t>
            </w:r>
          </w:p>
        </w:tc>
        <w:tc>
          <w:tcPr>
            <w:tcW w:w="90" w:type="dxa"/>
            <w:tcBorders/>
            <w:tcMar>
              <w:bottom w:w="0" w:type="dxa"/>
            </w:tcMar>
            <w:vAlign w:val="center"/>
          </w:tcPr>
          <w:p>
            <w:pPr>
              <w:pStyle w:val="TableContents"/>
              <w:bidi w:val="0"/>
              <w:spacing w:before="0" w:after="283"/>
              <w:jc w:val="center"/>
              <w:rPr/>
            </w:pPr>
            <w:r>
              <w:rPr/>
              <w:t> </w:t>
            </w:r>
          </w:p>
        </w:tc>
        <w:tc>
          <w:tcPr>
            <w:tcW w:w="635" w:type="dxa"/>
            <w:tcBorders>
              <w:bottom w:val="single" w:sz="12" w:space="0" w:color="000000"/>
            </w:tcBorders>
            <w:vAlign w:val="center"/>
          </w:tcPr>
          <w:p>
            <w:pPr>
              <w:pStyle w:val="TableContents"/>
              <w:bidi w:val="0"/>
              <w:spacing w:before="0" w:after="283"/>
              <w:jc w:val="center"/>
              <w:rPr>
                <w:b/>
                <w:sz w:val="20"/>
              </w:rPr>
            </w:pPr>
            <w:r>
              <w:rPr>
                <w:b/>
                <w:sz w:val="20"/>
              </w:rPr>
              <w:t>FORM</w:t>
            </w:r>
          </w:p>
        </w:tc>
        <w:tc>
          <w:tcPr>
            <w:tcW w:w="90" w:type="dxa"/>
            <w:tcBorders/>
            <w:tcMar>
              <w:bottom w:w="0" w:type="dxa"/>
            </w:tcMar>
            <w:vAlign w:val="center"/>
          </w:tcPr>
          <w:p>
            <w:pPr>
              <w:pStyle w:val="TableContents"/>
              <w:bidi w:val="0"/>
              <w:spacing w:before="0" w:after="283"/>
              <w:jc w:val="center"/>
              <w:rPr/>
            </w:pPr>
            <w:r>
              <w:rPr/>
              <w:t> </w:t>
            </w:r>
          </w:p>
        </w:tc>
        <w:tc>
          <w:tcPr>
            <w:tcW w:w="890" w:type="dxa"/>
            <w:tcBorders>
              <w:bottom w:val="single" w:sz="12" w:space="0" w:color="000000"/>
            </w:tcBorders>
            <w:vAlign w:val="center"/>
          </w:tcPr>
          <w:p>
            <w:pPr>
              <w:pStyle w:val="TableContents"/>
              <w:bidi w:val="0"/>
              <w:spacing w:before="0" w:after="283"/>
              <w:jc w:val="center"/>
              <w:rPr>
                <w:b/>
                <w:sz w:val="20"/>
              </w:rPr>
            </w:pPr>
            <w:r>
              <w:rPr>
                <w:b/>
                <w:sz w:val="20"/>
              </w:rPr>
              <w:t>EXHIBIT</w:t>
            </w:r>
          </w:p>
        </w:tc>
        <w:tc>
          <w:tcPr>
            <w:tcW w:w="90" w:type="dxa"/>
            <w:tcBorders/>
            <w:tcMar>
              <w:bottom w:w="0" w:type="dxa"/>
            </w:tcMar>
            <w:vAlign w:val="center"/>
          </w:tcPr>
          <w:p>
            <w:pPr>
              <w:pStyle w:val="TableContents"/>
              <w:bidi w:val="0"/>
              <w:spacing w:before="0" w:after="283"/>
              <w:jc w:val="left"/>
              <w:rPr/>
            </w:pPr>
            <w:r>
              <w:rPr/>
              <w:t> </w:t>
            </w:r>
          </w:p>
        </w:tc>
        <w:tc>
          <w:tcPr>
            <w:tcW w:w="1204" w:type="dxa"/>
            <w:tcBorders>
              <w:bottom w:val="single" w:sz="12" w:space="0" w:color="000000"/>
            </w:tcBorders>
            <w:vAlign w:val="center"/>
          </w:tcPr>
          <w:p>
            <w:pPr>
              <w:pStyle w:val="TableContents"/>
              <w:bidi w:val="0"/>
              <w:spacing w:before="0" w:after="283"/>
              <w:jc w:val="center"/>
              <w:rPr>
                <w:b/>
                <w:sz w:val="20"/>
              </w:rPr>
            </w:pPr>
            <w:r>
              <w:rPr>
                <w:b/>
                <w:sz w:val="20"/>
              </w:rPr>
              <w:t>FILING</w:t>
              <w:br/>
              <w:t>DATE</w:t>
            </w:r>
          </w:p>
        </w:tc>
      </w:tr>
      <w:tr>
        <w:trPr/>
        <w:tc>
          <w:tcPr>
            <w:tcW w:w="92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2">
              <w:r>
                <w:rPr>
                  <w:rStyle w:val="InternetLink"/>
                  <w:sz w:val="20"/>
                </w:rPr>
                <w:t>Agreement and Plan of Merger and Reorganization, dated as of April 3, 2024, by and among ARCA biopharma, Inc., Atlas Merger Sub Corp., Atlas Merger Sub II, LLC and Oruka Therapeutics, Inc.</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April 3, 2024</w:t>
            </w:r>
          </w:p>
        </w:tc>
      </w:tr>
      <w:tr>
        <w:trPr/>
        <w:tc>
          <w:tcPr>
            <w:tcW w:w="920" w:type="dxa"/>
            <w:tcBorders/>
            <w:tcMar>
              <w:bottom w:w="0" w:type="dxa"/>
            </w:tcMar>
            <w:vAlign w:val="center"/>
          </w:tcPr>
          <w:p>
            <w:pPr>
              <w:pStyle w:val="TableContents"/>
              <w:bidi w:val="0"/>
              <w:spacing w:before="0" w:after="283"/>
              <w:jc w:val="left"/>
              <w:rPr>
                <w:sz w:val="20"/>
              </w:rPr>
            </w:pPr>
            <w:r>
              <w:rPr>
                <w:sz w:val="20"/>
              </w:rPr>
              <w:t>3.1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3">
              <w:r>
                <w:rPr>
                  <w:rStyle w:val="InternetLink"/>
                  <w:sz w:val="20"/>
                </w:rPr>
                <w:t>Second Amended and Restated Certificate of Incorporation of the Company, filed September 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3.5</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4">
              <w:r>
                <w:rPr>
                  <w:rStyle w:val="InternetLink"/>
                  <w:sz w:val="20"/>
                </w:rPr>
                <w:t>Amended and Restated Bylaws of the Company.</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tcMar>
              <w:bottom w:w="0" w:type="dxa"/>
            </w:tcMar>
            <w:vAlign w:val="center"/>
          </w:tcPr>
          <w:p>
            <w:pPr>
              <w:pStyle w:val="TableContents"/>
              <w:bidi w:val="0"/>
              <w:spacing w:before="0" w:after="283"/>
              <w:jc w:val="left"/>
              <w:rPr>
                <w:sz w:val="20"/>
              </w:rPr>
            </w:pPr>
            <w:r>
              <w:rPr>
                <w:sz w:val="20"/>
              </w:rPr>
              <w:t>3.3</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5">
              <w:r>
                <w:rPr>
                  <w:rStyle w:val="InternetLink"/>
                  <w:sz w:val="20"/>
                </w:rPr>
                <w:t>Form of Certificate of Designation of Preferences, Rights and Limitations of Series A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S-1/A</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3.1(b)</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sz w:val="20"/>
              </w:rPr>
            </w:pPr>
            <w:r>
              <w:rPr>
                <w:sz w:val="20"/>
              </w:rPr>
              <w:t>May 24, 2013</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6">
              <w:r>
                <w:rPr>
                  <w:rStyle w:val="InternetLink"/>
                  <w:sz w:val="20"/>
                </w:rPr>
                <w:t>Certificate of Elimination of Series A Convertible Preferred Stock, effective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3.8</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tcMar>
              <w:bottom w:w="0" w:type="dxa"/>
            </w:tcMar>
            <w:vAlign w:val="center"/>
          </w:tcPr>
          <w:p>
            <w:pPr>
              <w:pStyle w:val="TableContents"/>
              <w:bidi w:val="0"/>
              <w:spacing w:before="0" w:after="283"/>
              <w:jc w:val="left"/>
              <w:rPr>
                <w:sz w:val="20"/>
              </w:rPr>
            </w:pPr>
            <w:r>
              <w:rPr>
                <w:sz w:val="20"/>
              </w:rPr>
              <w:t>3.5</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7">
              <w:r>
                <w:rPr>
                  <w:rStyle w:val="InternetLink"/>
                  <w:sz w:val="20"/>
                </w:rPr>
                <w:t>Certificate of Designation of Preferences, Rights and Limitations of Series B Non-Voting Convertible Preferred Stock.</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3.9</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sz w:val="20"/>
              </w:rPr>
            </w:pPr>
            <w:r>
              <w:rPr>
                <w:sz w:val="20"/>
              </w:rPr>
              <w:t>September 5, 2024</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3.6</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8">
              <w:r>
                <w:rPr>
                  <w:rStyle w:val="InternetLink"/>
                  <w:sz w:val="20"/>
                </w:rPr>
                <w:t>Certificate of Designation of Preferences, Rights and Limitations of Series A Non-Voting Convertible Preferred Stock.</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8-K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September 13, 2024</w:t>
            </w:r>
          </w:p>
        </w:tc>
      </w:tr>
      <w:tr>
        <w:trPr/>
        <w:tc>
          <w:tcPr>
            <w:tcW w:w="920" w:type="dxa"/>
            <w:tcBorders/>
            <w:tcMar>
              <w:bottom w:w="0" w:type="dxa"/>
            </w:tcMar>
            <w:vAlign w:val="center"/>
          </w:tcPr>
          <w:p>
            <w:pPr>
              <w:pStyle w:val="TableContents"/>
              <w:bidi w:val="0"/>
              <w:spacing w:before="0" w:after="283"/>
              <w:jc w:val="left"/>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9">
              <w:r>
                <w:rPr>
                  <w:rStyle w:val="InternetLink"/>
                  <w:sz w:val="20"/>
                </w:rPr>
                <w:t>Description of Securities.</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10-K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sz w:val="20"/>
              </w:rPr>
            </w:pPr>
            <w:r>
              <w:rPr>
                <w:sz w:val="20"/>
              </w:rPr>
              <w:t>March 6, 2025</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10">
              <w:r>
                <w:rPr>
                  <w:rStyle w:val="InternetLink"/>
                  <w:sz w:val="20"/>
                </w:rPr>
                <w:t>Form of Pre-Funded Warrant, dated August 29,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10-K</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4.3</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March 6, 2025</w:t>
            </w:r>
          </w:p>
        </w:tc>
      </w:tr>
      <w:tr>
        <w:trPr/>
        <w:tc>
          <w:tcPr>
            <w:tcW w:w="920" w:type="dxa"/>
            <w:tcBorders/>
            <w:tcMar>
              <w:bottom w:w="0" w:type="dxa"/>
            </w:tcMar>
            <w:vAlign w:val="center"/>
          </w:tcPr>
          <w:p>
            <w:pPr>
              <w:pStyle w:val="TableContents"/>
              <w:bidi w:val="0"/>
              <w:spacing w:before="0" w:after="283"/>
              <w:jc w:val="left"/>
              <w:rPr>
                <w:sz w:val="20"/>
              </w:rPr>
            </w:pPr>
            <w:r>
              <w:rPr>
                <w:sz w:val="20"/>
              </w:rPr>
              <w:t>4.3</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r:id="rId11">
              <w:r>
                <w:rPr>
                  <w:rStyle w:val="InternetLink"/>
                  <w:sz w:val="20"/>
                </w:rPr>
                <w:t>Form of Pre-Funded Warrant, dated September 13, 2024.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sz w:val="20"/>
              </w:rPr>
            </w:pPr>
            <w:r>
              <w:rPr>
                <w:sz w:val="20"/>
              </w:rPr>
              <w:t>8-K</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sz w:val="20"/>
              </w:rPr>
            </w:pPr>
            <w:r>
              <w:rPr>
                <w:sz w:val="20"/>
              </w:rPr>
              <w:t>4.1</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sz w:val="20"/>
              </w:rPr>
            </w:pPr>
            <w:r>
              <w:rPr>
                <w:sz w:val="20"/>
              </w:rPr>
              <w:t>September 13, 2024</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r:id="rId12">
              <w:r>
                <w:rPr>
                  <w:rStyle w:val="InternetLink"/>
                  <w:sz w:val="20"/>
                </w:rPr>
                <w:t>Paruka Warrant, dated December 31, 2024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sz w:val="20"/>
              </w:rPr>
            </w:pPr>
            <w:r>
              <w:rPr>
                <w:sz w:val="20"/>
              </w:rPr>
              <w:t>10-Q</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sz w:val="20"/>
              </w:rPr>
            </w:pPr>
            <w:r>
              <w:rPr>
                <w:sz w:val="20"/>
              </w:rPr>
              <w:t>4.5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sz w:val="20"/>
              </w:rPr>
            </w:pPr>
            <w:r>
              <w:rPr>
                <w:sz w:val="20"/>
              </w:rPr>
              <w:t>May 14, 2025</w:t>
            </w:r>
          </w:p>
        </w:tc>
      </w:tr>
      <w:tr>
        <w:trPr/>
        <w:tc>
          <w:tcPr>
            <w:tcW w:w="920" w:type="dxa"/>
            <w:tcBorders/>
            <w:tcMar>
              <w:bottom w:w="0" w:type="dxa"/>
            </w:tcMar>
            <w:vAlign w:val="center"/>
          </w:tcPr>
          <w:p>
            <w:pPr>
              <w:pStyle w:val="TableContents"/>
              <w:bidi w:val="0"/>
              <w:spacing w:before="0" w:after="283"/>
              <w:jc w:val="left"/>
              <w:rPr>
                <w:sz w:val="20"/>
              </w:rPr>
            </w:pPr>
            <w:r>
              <w:rPr>
                <w:sz w:val="20"/>
              </w:rPr>
              <w:t>31.1*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w:anchor="ea025022401ex31-1_oruka.htm">
              <w:r>
                <w:rPr>
                  <w:rStyle w:val="InternetLink"/>
                  <w:sz w:val="20"/>
                </w:rPr>
                <w:t>Certification of the Principal Executive Officer pursuant to Rule 13a-14(a) or 15d-14(a)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31.2*</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pPr>
            <w:hyperlink w:anchor="ea025022401ex31-2_oruka.htm">
              <w:r>
                <w:rPr>
                  <w:rStyle w:val="InternetLink"/>
                  <w:sz w:val="20"/>
                </w:rPr>
                <w:t>Certification of the Principal Financial Officer pursuant to Rule 13a-14(a) or 15d-14(a) promulgated under the Securities Exchange Act of 1934</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32.1**</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pPr>
            <w:hyperlink w:anchor="ea025022401ex32-1_oruka.htm">
              <w:r>
                <w:rPr>
                  <w:rStyle w:val="InternetLink"/>
                  <w:sz w:val="20"/>
                </w:rPr>
                <w:t>Certification of the Principal Executive Officer and Principal Financial Officer pursuant to 18 U.S.C. Section 1350 and Rule 13a-14(B) promulgated under the Securities Exchange Act of 1934</w:t>
              </w:r>
            </w:hyperlink>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101.INS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sz w:val="20"/>
              </w:rPr>
            </w:pPr>
            <w:r>
              <w:rPr>
                <w:sz w:val="20"/>
              </w:rPr>
              <w:t>Inline XBRL Instance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r>
        <w:trPr/>
        <w:tc>
          <w:tcPr>
            <w:tcW w:w="920" w:type="dxa"/>
            <w:tcBorders/>
            <w:tcMar>
              <w:bottom w:w="0" w:type="dxa"/>
            </w:tcMar>
            <w:vAlign w:val="center"/>
          </w:tcPr>
          <w:p>
            <w:pPr>
              <w:pStyle w:val="TableContents"/>
              <w:bidi w:val="0"/>
              <w:spacing w:before="0" w:after="283"/>
              <w:jc w:val="left"/>
              <w:rPr>
                <w:sz w:val="20"/>
              </w:rPr>
            </w:pPr>
            <w:r>
              <w:rPr>
                <w:sz w:val="20"/>
              </w:rPr>
              <w:t>101.SCH</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sz w:val="20"/>
              </w:rPr>
            </w:pPr>
            <w:r>
              <w:rPr>
                <w:sz w:val="20"/>
              </w:rPr>
              <w:t>Inline XBRL Taxonomy Extension Schema with Embedded Linkbases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center"/>
              <w:rPr/>
            </w:pPr>
            <w:r>
              <w:rPr/>
              <w:t> </w:t>
            </w:r>
          </w:p>
        </w:tc>
      </w:tr>
      <w:tr>
        <w:trPr/>
        <w:tc>
          <w:tcPr>
            <w:tcW w:w="920" w:type="dxa"/>
            <w:tcBorders/>
            <w:shd w:fill="CCEEFF" w:val="clear"/>
            <w:tcMar>
              <w:bottom w:w="0" w:type="dxa"/>
            </w:tcMar>
            <w:vAlign w:val="center"/>
          </w:tcPr>
          <w:p>
            <w:pPr>
              <w:pStyle w:val="TableContents"/>
              <w:bidi w:val="0"/>
              <w:spacing w:before="0" w:after="283"/>
              <w:jc w:val="both"/>
              <w:rPr>
                <w:sz w:val="20"/>
              </w:rPr>
            </w:pPr>
            <w:r>
              <w:rPr>
                <w:sz w:val="20"/>
              </w:rPr>
              <w:t>101.CAL</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sz w:val="20"/>
              </w:rPr>
            </w:pPr>
            <w:r>
              <w:rPr>
                <w:sz w:val="20"/>
              </w:rPr>
              <w:t>Inline XBRL Taxonomy Extension Calculation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both"/>
              <w:rPr>
                <w:sz w:val="20"/>
              </w:rPr>
            </w:pPr>
            <w:r>
              <w:rPr>
                <w:sz w:val="20"/>
              </w:rPr>
              <w:t>101.DEF</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sz w:val="20"/>
              </w:rPr>
            </w:pPr>
            <w:r>
              <w:rPr>
                <w:sz w:val="20"/>
              </w:rPr>
              <w:t>Inline XBRL Taxonomy Extension Definition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both"/>
              <w:rPr>
                <w:sz w:val="20"/>
              </w:rPr>
            </w:pPr>
            <w:r>
              <w:rPr>
                <w:sz w:val="20"/>
              </w:rPr>
              <w:t>101.LAB</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sz w:val="20"/>
              </w:rPr>
            </w:pPr>
            <w:r>
              <w:rPr>
                <w:sz w:val="20"/>
              </w:rPr>
              <w:t>Inline XBRL Taxonomy Extension Label Linkbase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r>
      <w:tr>
        <w:trPr/>
        <w:tc>
          <w:tcPr>
            <w:tcW w:w="920" w:type="dxa"/>
            <w:tcBorders/>
            <w:tcMar>
              <w:bottom w:w="0" w:type="dxa"/>
            </w:tcMar>
            <w:vAlign w:val="center"/>
          </w:tcPr>
          <w:p>
            <w:pPr>
              <w:pStyle w:val="TableContents"/>
              <w:bidi w:val="0"/>
              <w:spacing w:before="0" w:after="283"/>
              <w:jc w:val="both"/>
              <w:rPr>
                <w:sz w:val="20"/>
              </w:rPr>
            </w:pPr>
            <w:r>
              <w:rPr>
                <w:sz w:val="20"/>
              </w:rPr>
              <w:t>101.PRE</w:t>
            </w:r>
          </w:p>
        </w:tc>
        <w:tc>
          <w:tcPr>
            <w:tcW w:w="90" w:type="dxa"/>
            <w:tcBorders/>
            <w:tcMar>
              <w:bottom w:w="0" w:type="dxa"/>
            </w:tcMar>
            <w:vAlign w:val="center"/>
          </w:tcPr>
          <w:p>
            <w:pPr>
              <w:pStyle w:val="TableContents"/>
              <w:bidi w:val="0"/>
              <w:spacing w:before="0" w:after="283"/>
              <w:jc w:val="left"/>
              <w:rPr/>
            </w:pPr>
            <w:r>
              <w:rPr/>
              <w:t> </w:t>
            </w:r>
          </w:p>
        </w:tc>
        <w:tc>
          <w:tcPr>
            <w:tcW w:w="6196" w:type="dxa"/>
            <w:tcBorders/>
            <w:tcMar>
              <w:bottom w:w="0" w:type="dxa"/>
            </w:tcMar>
            <w:vAlign w:val="center"/>
          </w:tcPr>
          <w:p>
            <w:pPr>
              <w:pStyle w:val="TableContents"/>
              <w:bidi w:val="0"/>
              <w:spacing w:before="0" w:after="283"/>
              <w:jc w:val="left"/>
              <w:rPr>
                <w:sz w:val="20"/>
              </w:rPr>
            </w:pPr>
            <w:r>
              <w:rPr>
                <w:sz w:val="20"/>
              </w:rPr>
              <w:t>Inline XBRL Taxonomy Extension Presentation Linkbase Document.</w:t>
            </w:r>
          </w:p>
        </w:tc>
        <w:tc>
          <w:tcPr>
            <w:tcW w:w="90"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r>
      <w:tr>
        <w:trPr/>
        <w:tc>
          <w:tcPr>
            <w:tcW w:w="920"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90" w:type="dxa"/>
            <w:tcBorders/>
            <w:shd w:fill="CCEEFF" w:val="clear"/>
            <w:tcMar>
              <w:bottom w:w="0" w:type="dxa"/>
            </w:tcMar>
            <w:vAlign w:val="center"/>
          </w:tcPr>
          <w:p>
            <w:pPr>
              <w:pStyle w:val="TableContents"/>
              <w:bidi w:val="0"/>
              <w:spacing w:before="0" w:after="283"/>
              <w:jc w:val="left"/>
              <w:rPr/>
            </w:pPr>
            <w:r>
              <w:rPr/>
              <w:t> </w:t>
            </w:r>
          </w:p>
        </w:tc>
        <w:tc>
          <w:tcPr>
            <w:tcW w:w="6196"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c>
          <w:tcPr>
            <w:tcW w:w="9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105"/>
        <w:gridCol w:w="155"/>
        <w:gridCol w:w="1310"/>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1310" w:type="dxa"/>
            <w:tcBorders/>
            <w:vAlign w:val="center"/>
          </w:tcPr>
          <w:p>
            <w:pPr>
              <w:pStyle w:val="TableContents"/>
              <w:bidi w:val="0"/>
              <w:spacing w:before="0" w:after="283"/>
              <w:jc w:val="both"/>
              <w:rPr>
                <w:sz w:val="20"/>
              </w:rPr>
            </w:pPr>
            <w:r>
              <w:rPr>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3"/>
        <w:gridCol w:w="9907"/>
      </w:tblGrid>
      <w:tr>
        <w:trPr/>
        <w:tc>
          <w:tcPr>
            <w:tcW w:w="10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sz w:val="20"/>
              </w:rPr>
            </w:pPr>
            <w:r>
              <w:rPr>
                <w:sz w:val="20"/>
              </w:rPr>
              <w:t>**</w:t>
            </w:r>
          </w:p>
        </w:tc>
        <w:tc>
          <w:tcPr>
            <w:tcW w:w="9907" w:type="dxa"/>
            <w:tcBorders/>
            <w:vAlign w:val="center"/>
          </w:tcPr>
          <w:p>
            <w:pPr>
              <w:pStyle w:val="TableContents"/>
              <w:bidi w:val="0"/>
              <w:spacing w:before="0" w:after="283"/>
              <w:jc w:val="both"/>
              <w:rPr>
                <w:sz w:val="20"/>
              </w:rPr>
            </w:pPr>
            <w:r>
              <w:rPr>
                <w:sz w:val="20"/>
              </w:rPr>
              <w:t>Furnished herewith. The certifications on Exhibit 32.1 hereto are deemed not “filed” for purposes of Section 18 of the Exchange Act or otherwise subject to the liability of that Section. Such certifications will not be deemed incorporated by reference into any filing under the Securities Act or the Exchange Act.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5430" w:type="dxa"/>
        <w:jc w:val="left"/>
        <w:tblInd w:w="0" w:type="dxa"/>
        <w:tblLayout w:type="fixed"/>
        <w:tblCellMar>
          <w:top w:w="0" w:type="dxa"/>
          <w:left w:w="0" w:type="dxa"/>
          <w:bottom w:w="0" w:type="dxa"/>
          <w:right w:w="0" w:type="dxa"/>
        </w:tblCellMar>
      </w:tblPr>
      <w:tblGrid>
        <w:gridCol w:w="1895"/>
        <w:gridCol w:w="350"/>
        <w:gridCol w:w="3185"/>
      </w:tblGrid>
      <w:tr>
        <w:trPr/>
        <w:tc>
          <w:tcPr>
            <w:tcW w:w="1895" w:type="dxa"/>
            <w:tcBorders/>
            <w:vAlign w:val="center"/>
          </w:tcPr>
          <w:p>
            <w:pPr>
              <w:pStyle w:val="TableContents"/>
              <w:bidi w:val="0"/>
              <w:spacing w:before="0" w:after="283"/>
              <w:jc w:val="left"/>
              <w:rPr/>
            </w:pPr>
            <w:r>
              <w:rPr/>
              <w:t> </w:t>
            </w:r>
          </w:p>
        </w:tc>
        <w:tc>
          <w:tcPr>
            <w:tcW w:w="3535" w:type="dxa"/>
            <w:gridSpan w:val="2"/>
            <w:tcBorders/>
            <w:vAlign w:val="center"/>
          </w:tcPr>
          <w:p>
            <w:pPr>
              <w:pStyle w:val="TableContents"/>
              <w:bidi w:val="0"/>
              <w:spacing w:before="0" w:after="283"/>
              <w:jc w:val="left"/>
              <w:rPr>
                <w:b/>
                <w:sz w:val="20"/>
              </w:rPr>
            </w:pPr>
            <w:r>
              <w:rPr>
                <w:b/>
                <w:sz w:val="20"/>
              </w:rPr>
              <w:t>Oruka Therapeutics, Inc.</w:t>
            </w:r>
          </w:p>
        </w:tc>
      </w:tr>
      <w:tr>
        <w:trPr/>
        <w:tc>
          <w:tcPr>
            <w:tcW w:w="189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20"/>
              </w:rPr>
            </w:pPr>
            <w:r>
              <w:rPr>
                <w:sz w:val="20"/>
              </w:rPr>
              <w:t>Date: August 11, 2025</w:t>
            </w:r>
          </w:p>
        </w:tc>
        <w:tc>
          <w:tcPr>
            <w:tcW w:w="350" w:type="dxa"/>
            <w:tcBorders/>
            <w:vAlign w:val="center"/>
          </w:tcPr>
          <w:p>
            <w:pPr>
              <w:pStyle w:val="TableContents"/>
              <w:bidi w:val="0"/>
              <w:spacing w:before="0" w:after="283"/>
              <w:jc w:val="left"/>
              <w:rPr>
                <w:sz w:val="20"/>
              </w:rPr>
            </w:pPr>
            <w:r>
              <w:rPr>
                <w:sz w:val="20"/>
              </w:rPr>
              <w:t>By:</w:t>
            </w:r>
          </w:p>
        </w:tc>
        <w:tc>
          <w:tcPr>
            <w:tcW w:w="318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Lawrence Klein</w:t>
            </w:r>
          </w:p>
        </w:tc>
      </w:tr>
      <w:tr>
        <w:trPr/>
        <w:tc>
          <w:tcPr>
            <w:tcW w:w="189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sz w:val="20"/>
              </w:rPr>
            </w:pPr>
            <w:r>
              <w:rPr>
                <w:sz w:val="20"/>
              </w:rPr>
              <w:t>Lawrence Klein</w:t>
              <w:br/>
            </w:r>
            <w:r>
              <w:rPr>
                <w:i/>
                <w:sz w:val="20"/>
              </w:rPr>
              <w:t>President and Chief Executive Officer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895"/>
        <w:gridCol w:w="350"/>
        <w:gridCol w:w="3830"/>
      </w:tblGrid>
      <w:tr>
        <w:trPr/>
        <w:tc>
          <w:tcPr>
            <w:tcW w:w="1895" w:type="dxa"/>
            <w:tcBorders/>
            <w:vAlign w:val="center"/>
          </w:tcPr>
          <w:p>
            <w:pPr>
              <w:pStyle w:val="TableContents"/>
              <w:bidi w:val="0"/>
              <w:spacing w:before="0" w:after="283"/>
              <w:jc w:val="left"/>
              <w:rPr>
                <w:sz w:val="20"/>
              </w:rPr>
            </w:pPr>
            <w:r>
              <w:rPr>
                <w:sz w:val="20"/>
              </w:rPr>
              <w:t>Date: August 11, 2025</w:t>
            </w:r>
          </w:p>
        </w:tc>
        <w:tc>
          <w:tcPr>
            <w:tcW w:w="350" w:type="dxa"/>
            <w:tcBorders/>
            <w:vAlign w:val="center"/>
          </w:tcPr>
          <w:p>
            <w:pPr>
              <w:pStyle w:val="TableContents"/>
              <w:bidi w:val="0"/>
              <w:spacing w:before="0" w:after="283"/>
              <w:jc w:val="left"/>
              <w:rPr>
                <w:sz w:val="20"/>
              </w:rPr>
            </w:pPr>
            <w:r>
              <w:rPr>
                <w:sz w:val="20"/>
              </w:rPr>
              <w:t>By:</w:t>
            </w:r>
          </w:p>
        </w:tc>
        <w:tc>
          <w:tcPr>
            <w:tcW w:w="383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Arjun Agarwal</w:t>
            </w:r>
          </w:p>
        </w:tc>
      </w:tr>
      <w:tr>
        <w:trPr/>
        <w:tc>
          <w:tcPr>
            <w:tcW w:w="189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sz w:val="20"/>
              </w:rPr>
            </w:pPr>
            <w:r>
              <w:rPr>
                <w:sz w:val="20"/>
              </w:rPr>
              <w:t>Arjun Agarwal</w:t>
              <w:br/>
            </w:r>
            <w:r>
              <w:rPr>
                <w:i/>
                <w:sz w:val="20"/>
              </w:rPr>
              <w:t>Senior Vice President, Finance and Treasurer</w:t>
              <w:br/>
              <w:t>(Principal Financial Officer and</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TextBody"/>
        <w:bidi w:val="0"/>
        <w:spacing w:before="20" w:after="2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5022401ex31-1_oruka.htm"/>
      <w:bookmarkStart w:id="22" w:name="ksea025022401ex311_oruka"/>
      <w:bookmarkEnd w:id="21"/>
      <w:bookmarkEnd w:id="2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Lawrence Klein, certify that:</w:t>
      </w:r>
    </w:p>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865"/>
        <w:gridCol w:w="320"/>
        <w:gridCol w:w="321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Lawrence Klein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Lawrence Klein</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President and Chief Executive Officer</w:t>
              <w:br/>
            </w:r>
            <w:r>
              <w:rPr>
                <w:rFonts w:ascii="Times New Roman;Times;Serif" w:hAnsi="Times New Roman;Times;Serif"/>
                <w:i/>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5022401ex31-2_oruka.htm"/>
      <w:bookmarkStart w:id="24" w:name="ksea025022401ex312_oruka"/>
      <w:bookmarkEnd w:id="23"/>
      <w:bookmarkEnd w:id="2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RULES 13a-14(a) AND 15d-14(a) UNDER THE SECURITIES EXCHANGE ACT OF 1934,</w:t>
        <w:b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Arjun Agarwal, certify that:</w:t>
      </w:r>
    </w:p>
    <w:p>
      <w:pPr>
        <w:pStyle w:val="TextBody"/>
        <w:bidi w:val="0"/>
        <w:spacing w:before="0" w:after="0"/>
        <w:ind w:left="490" w:right="0" w:hanging="49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185"/>
        <w:gridCol w:w="653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Oruka Therapeutics, Inc.;</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490"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865"/>
        <w:gridCol w:w="320"/>
        <w:gridCol w:w="3890"/>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Arjun Agarwal</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Arjun Agarwal</w:t>
              <w:br/>
              <w:t>Senior Vice President, Finance and Treasurer</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 xml:space="preserve">(Principal Financial Officer and </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5022401ex32-1_oruka.htm"/>
      <w:bookmarkStart w:id="26" w:name="ksea025022401ex321_oruka"/>
      <w:bookmarkEnd w:id="25"/>
      <w:bookmarkEnd w:id="26"/>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br/>
        <w:t>18 U.S.C. SECTION 1350, AS ADOPTED PURSUANT TO</w:t>
        <w:br/>
        <w:t>SECTION 906 OF THE SARBANES-OXLEY ACT OF 2002</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Oruka Therapeutics, Inc. (the “Company”) for the quarterly period ending June 30, 2025, as filed with the Securities and Exchange Commission on the date hereof (the “Report”), each of the undersigned officers of the Company hereby certifies, pursuant to 18 U.S.C. § 1350, as adopted pursuant to § 906 of the Sarbanes-Oxley Act of 2002, that to the best of his knowledge:</w:t>
      </w:r>
    </w:p>
    <w:p>
      <w:pPr>
        <w:pStyle w:val="TextBody"/>
        <w:bidi w:val="0"/>
        <w:spacing w:before="0" w:after="0"/>
        <w:ind w:left="979" w:right="0" w:hanging="49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245"/>
        <w:gridCol w:w="95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979" w:right="0" w:hanging="49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490" w:right="0" w:hanging="49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865"/>
        <w:gridCol w:w="320"/>
        <w:gridCol w:w="3215"/>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2025</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Lawrence Klein</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Lawrence Klein</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President and Chief Executive Officer</w:t>
            </w:r>
            <w:r>
              <w:rPr>
                <w:rFonts w:ascii="Times New Roman;Times;Serif" w:hAnsi="Times New Roman;Times;Serif"/>
                <w:sz w:val="20"/>
              </w:rPr>
              <w:br/>
            </w:r>
            <w:r>
              <w:rPr>
                <w:rFonts w:ascii="Times New Roman;Times;Serif" w:hAnsi="Times New Roman;Times;Serif"/>
                <w:i/>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1865"/>
        <w:gridCol w:w="320"/>
        <w:gridCol w:w="3890"/>
      </w:tblGrid>
      <w:tr>
        <w:trPr/>
        <w:tc>
          <w:tcPr>
            <w:tcW w:w="18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2025</w:t>
            </w:r>
          </w:p>
        </w:tc>
        <w:tc>
          <w:tcPr>
            <w:tcW w:w="3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9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Arjun Agarwal</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Arjun Agarwal</w:t>
            </w:r>
          </w:p>
        </w:tc>
      </w:tr>
      <w:tr>
        <w:trPr/>
        <w:tc>
          <w:tcPr>
            <w:tcW w:w="186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389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Senior Vice President, Finance and Treasurer</w:t>
            </w:r>
            <w:r>
              <w:rPr>
                <w:rFonts w:ascii="Times New Roman;Times;Serif" w:hAnsi="Times New Roman;Times;Serif"/>
                <w:sz w:val="20"/>
              </w:rPr>
              <w:br/>
            </w:r>
            <w:r>
              <w:rPr>
                <w:rFonts w:ascii="Times New Roman;Times;Serif" w:hAnsi="Times New Roman;Times;Serif"/>
                <w:i/>
                <w:sz w:val="20"/>
              </w:rPr>
              <w:t xml:space="preserve">(Principal Financial Officer and </w:t>
              <w:br/>
              <w:t>Principal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signed original of this written statement required by §906 has been provided to Oruka Therapeutics, Inc. and will be retained by Oruka Therapeutics, Inc. and furnished to the Securities and Exchange Commission or its staff upon request.</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7654/000119312524085437/d794675dex21.htm" TargetMode="External"/><Relationship Id="rId3" Type="http://schemas.openxmlformats.org/officeDocument/2006/relationships/hyperlink" Target="http://www.sec.gov/Archives/edgar/data/907654/000121390024076184/ea021319301ex3-5_oruka.htm" TargetMode="External"/><Relationship Id="rId4" Type="http://schemas.openxmlformats.org/officeDocument/2006/relationships/hyperlink" Target="http://www.sec.gov/Archives/edgar/data/907654/000121390024076184/ea021319301ex3-6_oruka.htm" TargetMode="External"/><Relationship Id="rId5" Type="http://schemas.openxmlformats.org/officeDocument/2006/relationships/hyperlink" Target="http://www.sec.gov/Archives/edgar/data/907654/000119312513233692/d507513dex31b.htm" TargetMode="External"/><Relationship Id="rId6" Type="http://schemas.openxmlformats.org/officeDocument/2006/relationships/hyperlink" Target="http://www.sec.gov/Archives/edgar/data/907654/000121390024076184/ea021319301ex3-8_oruka.htm" TargetMode="External"/><Relationship Id="rId7" Type="http://schemas.openxmlformats.org/officeDocument/2006/relationships/hyperlink" Target="http://www.sec.gov/Archives/edgar/data/907654/000121390024076184/ea021319301ex3-9_oruka.htm" TargetMode="External"/><Relationship Id="rId8" Type="http://schemas.openxmlformats.org/officeDocument/2006/relationships/hyperlink" Target="http://www.sec.gov/Archives/edgar/data/907654/000121390024078549/ea021443901ex3-1_oruka.htm" TargetMode="External"/><Relationship Id="rId9" Type="http://schemas.openxmlformats.org/officeDocument/2006/relationships/hyperlink" Target="https://www.sec.gov/Archives/edgar/data/907654/000121390025021165/ea023044501ex4-1_orukathe.htm" TargetMode="External"/><Relationship Id="rId10" Type="http://schemas.openxmlformats.org/officeDocument/2006/relationships/hyperlink" Target="https://www.sec.gov/Archives/edgar/data/907654/000121390025021165/ea023044501ex4-3_orukathe.htm" TargetMode="External"/><Relationship Id="rId11" Type="http://schemas.openxmlformats.org/officeDocument/2006/relationships/hyperlink" Target="http://www.sec.gov/Archives/edgar/data/907654/000121390024078549/ea021443901ex4-1_oruka.htm" TargetMode="External"/><Relationship Id="rId12" Type="http://schemas.openxmlformats.org/officeDocument/2006/relationships/hyperlink" Target="http://www.sec.gov/Archives/edgar/data/907654/000121390025043279/ea023989801ex4-5_oruk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44763</Words>
  <Characters>250270</Characters>
  <CharactersWithSpaces>297384</CharactersWithSpaces>
  <Paragraphs>7930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