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1041-s3_oruka.htm"/>
      <w:bookmarkStart w:id="1" w:name="ksea0301041s3_oruka"/>
      <w:bookmarkEnd w:id="0"/>
      <w:bookmarkEnd w:id="1"/>
      <w:r>
        <w:rPr>
          <w:rFonts w:ascii="Times New Roman;Times;Serif" w:hAnsi="Times New Roman;Times;Serif"/>
          <w:b/>
          <w:i w:val="false"/>
          <w:caps w:val="false"/>
          <w:smallCaps w:val="false"/>
          <w:sz w:val="20"/>
        </w:rPr>
        <w:t>As filed with the Securities and Exchange Commission on August 21,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28" w:type="dxa"/>
          <w:right w:w="0" w:type="dxa"/>
        </w:tblCellMar>
      </w:tblPr>
      <w:tblGrid>
        <w:gridCol w:w="2930"/>
        <w:gridCol w:w="60"/>
        <w:gridCol w:w="2195"/>
      </w:tblGrid>
      <w:tr>
        <w:trPr/>
        <w:tc>
          <w:tcPr>
            <w:tcW w:w="293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36-3855489</w:t>
            </w:r>
          </w:p>
        </w:tc>
      </w:tr>
      <w:tr>
        <w:trPr/>
        <w:tc>
          <w:tcPr>
            <w:tcW w:w="2930"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Oak Grove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Quinlan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Oak Grove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Alan F. Denenberg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W. LeBow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 Middlefield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 94063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752-2000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2405"/>
        <w:gridCol w:w="1850"/>
        <w:gridCol w:w="2270"/>
        <w:gridCol w:w="2900"/>
      </w:tblGrid>
      <w:tr>
        <w:trPr/>
        <w:tc>
          <w:tcPr>
            <w:tcW w:w="2405" w:type="dxa"/>
            <w:tcBorders/>
            <w:vAlign w:val="center"/>
          </w:tcPr>
          <w:p>
            <w:pPr>
              <w:pStyle w:val="TableContents"/>
              <w:bidi w:val="0"/>
              <w:spacing w:before="0" w:after="283"/>
              <w:jc w:val="both"/>
              <w:rPr/>
            </w:pPr>
            <w:r>
              <w:rPr/>
              <w:t>Large accelerated filer ☐</w:t>
            </w:r>
          </w:p>
        </w:tc>
        <w:tc>
          <w:tcPr>
            <w:tcW w:w="1850" w:type="dxa"/>
            <w:tcBorders/>
            <w:vAlign w:val="center"/>
          </w:tcPr>
          <w:p>
            <w:pPr>
              <w:pStyle w:val="TableContents"/>
              <w:bidi w:val="0"/>
              <w:spacing w:before="0" w:after="283"/>
              <w:jc w:val="left"/>
              <w:rPr/>
            </w:pPr>
            <w:r>
              <w:rPr/>
              <w:t>Accelerated filer ☐</w:t>
            </w:r>
          </w:p>
        </w:tc>
        <w:tc>
          <w:tcPr>
            <w:tcW w:w="2270" w:type="dxa"/>
            <w:tcBorders/>
            <w:vAlign w:val="center"/>
          </w:tcPr>
          <w:p>
            <w:pPr>
              <w:pStyle w:val="TableContents"/>
              <w:bidi w:val="0"/>
              <w:spacing w:before="0" w:after="283"/>
              <w:jc w:val="both"/>
              <w:rPr/>
            </w:pPr>
            <w:r>
              <w:rPr/>
              <w:t>Non-accelerated filer ☒</w:t>
            </w:r>
          </w:p>
        </w:tc>
        <w:tc>
          <w:tcPr>
            <w:tcW w:w="2900" w:type="dxa"/>
            <w:tcBorders/>
            <w:vAlign w:val="center"/>
          </w:tcPr>
          <w:p>
            <w:pPr>
              <w:pStyle w:val="TableContents"/>
              <w:bidi w:val="0"/>
              <w:spacing w:before="0" w:after="283"/>
              <w:jc w:val="both"/>
              <w:rPr/>
            </w:pPr>
            <w:r>
              <w:rPr/>
              <w:t>Smaller reporting company ☒</w:t>
            </w:r>
          </w:p>
        </w:tc>
      </w:tr>
      <w:tr>
        <w:trPr/>
        <w:tc>
          <w:tcPr>
            <w:tcW w:w="2405" w:type="dxa"/>
            <w:tcBorders/>
            <w:vAlign w:val="center"/>
          </w:tcPr>
          <w:p>
            <w:pPr>
              <w:pStyle w:val="TableContents"/>
              <w:bidi w:val="0"/>
              <w:spacing w:before="0" w:after="283"/>
              <w:jc w:val="both"/>
              <w:rPr/>
            </w:pPr>
            <w:r>
              <w:rPr/>
              <w:t>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both"/>
              <w:rPr/>
            </w:pPr>
            <w:r>
              <w:rPr/>
              <w:t> </w:t>
            </w:r>
          </w:p>
        </w:tc>
      </w:tr>
      <w:tr>
        <w:trPr/>
        <w:tc>
          <w:tcPr>
            <w:tcW w:w="2405" w:type="dxa"/>
            <w:tcBorders/>
            <w:vAlign w:val="center"/>
          </w:tcPr>
          <w:p>
            <w:pPr>
              <w:pStyle w:val="TableContents"/>
              <w:bidi w:val="0"/>
              <w:spacing w:before="0" w:after="283"/>
              <w:jc w:val="both"/>
              <w:rPr/>
            </w:pPr>
            <w:r>
              <w:rPr/>
              <w:t>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both"/>
              <w:rPr/>
            </w:pPr>
            <w:r>
              <w:rPr/>
              <w:t>Emerging growth company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 base prospectus, which covers the offering, issuance and sale by the Company of shares of its common stock, preferred stock, depositary shares and/or warrants from time to time in one or more offerings, which together shall have an aggregate offering price not to exceed $1,000,000,000;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sales agreement prospectus covering the offering, issuance and sale by the Company of up to a maximum aggregate offering price of $500,000,000 of shares of its common stock that may be issued and sold from time to time under a sales agreement, as amended, or the “Sales Agreement”, with TD Securities (USA) LLC, as sales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will be specified in one or more prospectus supplements to the base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relating to the Sales Agreement immediately follows the base prospectus. The $500,000,000 of shares of the Company’s common stock that may be offered, issued and sold pursuant to the Sales Agreement and under the sales agreement prospectus is included in the $1,000,000,000 of securities that may be offered, issued and sold by the Company under the base prospectus. Upon termination of the Sales Agreement, any portion of the $500,000,000 included in the sales agreement prospectus that is not sold pursuant to the Sales Agreement will be available for sale in other offerings pursuant to the base prospectus and corresponding prospectus supplements, and if no shares are sold under the Sales Agreement, the full $1,000,000,000 of securities may be sold in other offerings pursuant to the base prospectus and corresponding prospectus supplements.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this registration statement, no further offers or sales will be made pursuant to our prior Registration Statements on Form S-3 (Registration Nos. 333-294852 and 333-290718).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or accept an offer to buy these securities until the registration statement filed with the Securities and Exchange Commission is effective. This preliminary prospectus is not an offer to sell these securities and it is not soliciting offers to buy these securities in any state where such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21, 2026</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790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Oruka Therapeutics, Inc. may offer and sell up to an aggregate amount of $1,000,000,000 of any combination of the securities described in this prospectus, either individually or in combination with other securities in one or more offerings. We may also offer common stock upon conversion of preferred stock or common stock or preferred stock upon the exercise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“ORKA.” On August 20, 2026, the last reported sale price of our common stock was $104.86 per share. If we decide to seek a listing of any securities offered by this prospectus, the applicable prospectus supplement will disclose the exchange or market on which such securities will be listed, if any, or where we have made an application for listing, if 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by us to investors, through agents designated from time to time or to or through underwriters or dealers or through a combination of methods,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 offered securities. The specific terms of any securities to be offered will be described in supplements to this prospectus, which may also add, update or change information contained in this prospectus. You should read this prospectus and the applicable prospectus supplement carefully before you make an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2 of this prospectus and in the documents incorporated by reference into this prospectus or any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sell securities unless accompanied by a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135"/>
        <w:gridCol w:w="60"/>
        <w:gridCol w:w="53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1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5135" w:type="dxa"/>
            <w:tcBorders/>
            <w:shd w:fill="FFFFFF" w:val="clear"/>
            <w:vAlign w:val="center"/>
          </w:tcPr>
          <w:p>
            <w:pPr>
              <w:pStyle w:val="TableContents"/>
              <w:bidi w:val="0"/>
              <w:spacing w:before="0" w:after="283"/>
              <w:jc w:val="left"/>
              <w:rPr/>
            </w:pPr>
            <w:hyperlink w:anchor="a_002">
              <w:r>
                <w:rPr>
                  <w:rStyle w:val="InternetLink"/>
                </w:rPr>
                <w:t>Oruka Therapeutics, Inc.</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w:t>
            </w:r>
          </w:p>
        </w:tc>
      </w:tr>
      <w:tr>
        <w:trPr/>
        <w:tc>
          <w:tcPr>
            <w:tcW w:w="5135"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w:t>
            </w:r>
          </w:p>
        </w:tc>
      </w:tr>
      <w:tr>
        <w:trPr/>
        <w:tc>
          <w:tcPr>
            <w:tcW w:w="5135" w:type="dxa"/>
            <w:tcBorders/>
            <w:shd w:fill="FFFFFF" w:val="clear"/>
            <w:vAlign w:val="center"/>
          </w:tcPr>
          <w:p>
            <w:pPr>
              <w:pStyle w:val="TableContents"/>
              <w:bidi w:val="0"/>
              <w:spacing w:before="0" w:after="283"/>
              <w:jc w:val="left"/>
              <w:rPr/>
            </w:pPr>
            <w:hyperlink w:anchor="a_004">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3</w:t>
            </w:r>
          </w:p>
        </w:tc>
      </w:tr>
      <w:tr>
        <w:trPr/>
        <w:tc>
          <w:tcPr>
            <w:tcW w:w="5135" w:type="dxa"/>
            <w:tcBorders/>
            <w:shd w:fill="CCEEFF" w:val="clear"/>
            <w:vAlign w:val="center"/>
          </w:tcPr>
          <w:p>
            <w:pPr>
              <w:pStyle w:val="TableContents"/>
              <w:bidi w:val="0"/>
              <w:spacing w:before="0" w:after="283"/>
              <w:jc w:val="left"/>
              <w:rPr/>
            </w:pPr>
            <w:hyperlink w:anchor="a_005">
              <w:r>
                <w:rPr>
                  <w:rStyle w:val="InternetLink"/>
                </w:rPr>
                <w:t>Description of Capital Stock</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w:t>
            </w:r>
          </w:p>
        </w:tc>
      </w:tr>
      <w:tr>
        <w:trPr/>
        <w:tc>
          <w:tcPr>
            <w:tcW w:w="5135" w:type="dxa"/>
            <w:tcBorders/>
            <w:shd w:fill="FFFFFF" w:val="clear"/>
            <w:vAlign w:val="center"/>
          </w:tcPr>
          <w:p>
            <w:pPr>
              <w:pStyle w:val="TableContents"/>
              <w:bidi w:val="0"/>
              <w:spacing w:before="0" w:after="283"/>
              <w:jc w:val="left"/>
              <w:rPr/>
            </w:pPr>
            <w:hyperlink w:anchor="a_006">
              <w:r>
                <w:rPr>
                  <w:rStyle w:val="InternetLink"/>
                </w:rPr>
                <w:t>Description of Depositary Shares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9</w:t>
            </w:r>
          </w:p>
        </w:tc>
      </w:tr>
      <w:tr>
        <w:trPr/>
        <w:tc>
          <w:tcPr>
            <w:tcW w:w="5135" w:type="dxa"/>
            <w:tcBorders/>
            <w:shd w:fill="CCEEFF" w:val="clear"/>
            <w:vAlign w:val="center"/>
          </w:tcPr>
          <w:p>
            <w:pPr>
              <w:pStyle w:val="TableContents"/>
              <w:bidi w:val="0"/>
              <w:spacing w:before="0" w:after="283"/>
              <w:jc w:val="left"/>
              <w:rPr/>
            </w:pPr>
            <w:hyperlink w:anchor="a_007">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hyperlink w:anchor="a_008">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11</w:t>
            </w:r>
          </w:p>
        </w:tc>
      </w:tr>
      <w:tr>
        <w:trPr/>
        <w:tc>
          <w:tcPr>
            <w:tcW w:w="5135" w:type="dxa"/>
            <w:tcBorders/>
            <w:shd w:fill="CCEEFF" w:val="clear"/>
            <w:vAlign w:val="center"/>
          </w:tcPr>
          <w:p>
            <w:pPr>
              <w:pStyle w:val="TableContents"/>
              <w:bidi w:val="0"/>
              <w:spacing w:before="0" w:after="283"/>
              <w:jc w:val="left"/>
              <w:rPr/>
            </w:pPr>
            <w:hyperlink w:anchor="a_009">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r>
      <w:tr>
        <w:trPr/>
        <w:tc>
          <w:tcPr>
            <w:tcW w:w="5135" w:type="dxa"/>
            <w:tcBorders/>
            <w:shd w:fill="FFFFFF" w:val="clear"/>
            <w:vAlign w:val="center"/>
          </w:tcPr>
          <w:p>
            <w:pPr>
              <w:pStyle w:val="TableContents"/>
              <w:bidi w:val="0"/>
              <w:spacing w:before="0" w:after="283"/>
              <w:jc w:val="left"/>
              <w:rPr/>
            </w:pPr>
            <w:hyperlink w:anchor="a_010">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5135" w:type="dxa"/>
            <w:tcBorders/>
            <w:shd w:fill="CCEEFF" w:val="clear"/>
            <w:vAlign w:val="center"/>
          </w:tcPr>
          <w:p>
            <w:pPr>
              <w:pStyle w:val="TableContents"/>
              <w:bidi w:val="0"/>
              <w:spacing w:before="0" w:after="283"/>
              <w:jc w:val="left"/>
              <w:rPr/>
            </w:pPr>
            <w:hyperlink w:anchor="a_011">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r>
      <w:tr>
        <w:trPr/>
        <w:tc>
          <w:tcPr>
            <w:tcW w:w="5135" w:type="dxa"/>
            <w:tcBorders/>
            <w:shd w:fill="FFFFFF" w:val="clear"/>
            <w:vAlign w:val="center"/>
          </w:tcPr>
          <w:p>
            <w:pPr>
              <w:pStyle w:val="TableContents"/>
              <w:bidi w:val="0"/>
              <w:spacing w:before="0" w:after="283"/>
              <w:jc w:val="left"/>
              <w:rPr/>
            </w:pPr>
            <w:hyperlink w:anchor="a_012">
              <w:r>
                <w:rPr>
                  <w:rStyle w:val="InternetLink"/>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14</w:t>
            </w:r>
          </w:p>
        </w:tc>
      </w:tr>
      <w:tr>
        <w:trPr/>
        <w:tc>
          <w:tcPr>
            <w:tcW w:w="5135" w:type="dxa"/>
            <w:tcBorders/>
            <w:shd w:fill="CCEEFF" w:val="clear"/>
            <w:vAlign w:val="center"/>
          </w:tcPr>
          <w:p>
            <w:pPr>
              <w:pStyle w:val="TableContents"/>
              <w:bidi w:val="0"/>
              <w:spacing w:before="0" w:after="283"/>
              <w:jc w:val="left"/>
              <w:rPr/>
            </w:pPr>
            <w:hyperlink w:anchor="a_013">
              <w:r>
                <w:rPr>
                  <w:rStyle w:val="InternetLink"/>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process, we may, from time to time, sell any combination of the securities described in this prospectus in one or more offerings.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we may offer. Each time we sell securities, we will provide a prospectus supplement that contains specific information about the terms of that offering, including the specific amounts, prices and terms of the securities offered. The prospectus supplement may also add information to this prospectus or update or change information in this prospectus. If there is any inconsistency between the information in this prospectus and any prospectus supplement, you should rely on the information in the prospectus supplement. You should read carefully this prospectus and any prospectus supplement together with the additional information described under the heading “Where You Can Find More Information and “Incorporation of Certain Information by Reference.” We have not authorized anyone to provide you with different or additional information. We are not making an offer to sell these securities in any jurisdiction where the offer or sale of these securities is not permitted. You should assume that the information in this prospectus or any prospectus supplement, as well as the information incorporated by reference herein or therein, is accurate only as of the date of the documents containing the information.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and the documents incorporated by reference herein, the terms “Oruka,” “ARCA biopharma, Inc.,” “the Company,” “we,” “us,” and “our” refer to Oruka Therapeutics, Inc., a Delaware corporation, and its consolidated subsidiaries taken as a whole.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trade names, trademarks and service marks of others, which are the property of their respective owners. Solely for convenience, trademarks and trade names referred to in this prospectus may appear without the ® or TM symbols.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Oruka Therapeutics, Inc.</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program, ORKA-001, is designed to target the p19 subunit of interleukin-23 for the treatment of PsO. Our co-lead program, ORKA-002, is designed to target interleukin-17A and interleukin-17F for the treatment of PsO, hidradenitis suppurativa, psoriatic arthritis, and other conditions. The product candidates in these programs each bind their respective targets at high affinity and incorporate half-life extension technology with the aim to increase exposure and decrease dosing frequency. We are also developing ORKA-004, a novel extended half-life antibody designed to target TNF-like ligand 1A (“TL1A”), which we plan to pursue in combination with ORKA-001 and ORKA-002 in a variety of diseases.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855 Oak Grove Avenue, Suite 100, Menlo Park, California 94025. The telephone number of our principal executive offices is (650) 606-7910. Our website address is www.orukatx.com. Information contained on, or accessible through, our website is not incorporated by reference into this prospectus.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acquiring any offered securities pursuant to this prospectus, you should carefully consider the information contained or incorporated by reference in this prospectus or in any accompanying prospectus supplement, including, without limitation, the risk factors described under “Risk Factors” in our most recent Annual Report on Form 10-K for the year ended December 31, 2025 and our Quarterly Reports on Form 10-Q for the quarters ended March 31, 2026 and June 30, 2026, which are incorporated herein by reference (as such risk factors may be updated in our other filings with the SEC pursuant to Sections 13(a), 13(c), 14, or 15(d) of the Exchange Act), and the risk factors described in any applicable prospectus supplement before making an investment decision. The occurrence of any of these risks might cause you to lose all or a part of your investment in the offered securities. See “Where You Can Find More Information” and “Special Note Regarding Forward-Looking Statements” included elsewhere in this prospectus.</w:t>
      </w:r>
    </w:p>
    <w:p>
      <w:pPr>
        <w:pStyle w:val="TextBody"/>
        <w:bidi w:val="0"/>
        <w:spacing w:before="0" w:after="0"/>
        <w:ind w:left="0" w:right="0" w:firstLine="36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our intended use for the net proceeds received from the sale of any securities. We will retain broad discretion over the use of the net proceeds from the sale of the securities offered by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well as other material terms of certain provisions of the Delaware General Corporation Law (the “DGCL”), our second amended and restated certificate of incorporation (“Certificate of Incorporation”) and amended and restated bylaws (“Bylaws”), both of which have been filed with the SEC, and are incorporated by reference herein. See “Where You Can Find More Information” for information on how to obtain copies. This summary does not purport to be complete and is qualified in its entirety by the provisions of our Certificate of Incorporation and Bylaws. We encourage you to read our Certificate of Incorporation, our Bylaws, and the applicable provisions of the DGCL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545,000,000 shares of common stock, $0.001 par value per share, and 5,000,000 shares of preferred stock, $0.001 par value per share (“Preferred Stock”), of which 251,504 shares have been designated as Series B Preferred Stock, $0.001 par value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61,069,887 shares of our common stock and 137,138 shares of Series B Preferred Stock outstanding, and no shares of Series A preferred stock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the issuance of up to 545,000,000 shares of common stock. All outstanding shares of common stock are validly issued, fully paid and nonassessable.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any shares of Preferred Stock outstanding at the time, the holders of our common stock are entitled to receive dividends out of funds legally available if our board of directors (“Board”), in its discretion, determines to issue dividends and then only at the times and in the amounts that our Board may determine.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Certificate of Incorporation, our Board is authorized, subject to limitations prescribed by Delaware law, to issue up to 5,000,000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the Board can also increase or decrease the number of shares of any series of Preferred Stock, but not below the number of shares of that series then outstanding, without any further vote or action by our stockholders. 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issued shares of our Series A Preferred Stock and shares of our Series B Preferred Stock in connection with the Pre-Closing Financing and the Merger, respectively, and have no current plan to issue any additional shares of Preferred Stock. The terms “Pre-Closing Financing” and “Merger,” as used in this section, have the meanings ascribed to them in our Annual Report on Form 10-K for the year ended December 31, 2025, which is incorporated herein by reference. In November 2024, all outstanding shares of Series A Preferred Stock automatically converted into shares of common stock, at which point there were no shares of Series A Preferred Stock left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Preferred Stock</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Series B Preferred Stock are entitled to receive dividends on shares of Series B Preferred Stock equal to, on an as-if-converted-to-common-stock basis, and in the same form as dividends actually paid on shares of our common stock. Except as provided in the Series B Certificate of Designation or as otherwise required by law, the Series B Preferred Stock does not have voting rights. However, as long as any shares of Series B Preferred Stock are outstanding, we will not, without the affirmative vote of the holders of a majority of the then outstanding shares of the Series B Preferred Stock: (a) (i) alter or change adversely the powers, preferences or rights given to the Series B Preferred Stock, (ii) alter or amend the Series B Certificate of Designation, or (iii) amend or repeal any provision of, or add any provision to, our Certificate of Incorporation or Bylaws in a manner that adversely affects any rights of the holders of the Series B Preferred Stock,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(b) issue further shares of Series B Preferred Stock beyond those issued pursuant to the Merger Agreement or increase or decrease (other than by conversion) the number of authorized shares of Series B Preferred Stock, (c) at any time while at least 30% of the originally issued Series B Preferred Stock remains issued and outstanding, consummate either: (x) any Fundamental Transaction (as defined in the Series B Certificate of Designation) or (y) any merger or consolidation of the Company with or into another entity or any stock sale to, or other business combination in which the stockholders of the Company immediately before such transaction do not hold at least a majority of our capital stock immediately after such transaction, or (d) enter into any agreement with respect to any of the foregoing. The Series B Preferred Stock ranks on parity with the common stock as to the distribution of assets upon any liquidation, dissolution, or winding-up of the Company. Each share of Series B Preferred Stock is convertible at the option of the holder, at any time, and without the payment of additional consideration by the holder. As of June 30, 2026, each outstanding share of Series B Preferred Stock was convertible into common stock at a ratio of approximately 83.3332:1.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prior to the date of the transaction,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firstLine="36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pPr>
            <w:r>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any sale, transfer, pledge or other disposition involving the interested stockholder of 10% or more of the assets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subject to exceptions, any transaction that results in the issuance or transfer by the corporation of any stock of the corporation to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include a number of provisions that could deter hostile takeovers or delay or prevent changes in control of our company,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pPr>
            <w:r>
              <w:rPr>
                <w:b/>
                <w:i/>
              </w:rPr>
              <w:t>Board of Directors vacancies</w:t>
            </w:r>
            <w:r>
              <w:rPr/>
              <w:t>. Our Certificate of Incorporation and Bylaws require that the Board, and not stockholders, fill any directorships that become vacant or are created by an increase in the authorized number of directors by the affirmative vote of a majority of the remaining directors or by the sole remaining director. In addition, pursuant to our Bylaws, the number of directors constituting our Board is permitted to be set only by a resolution adopted by a majority vote of the entire Board. These provisions prevent a stockholder from increasing the size of our Board and then gaining control of the Board by filling the resulting vacancies with its own nominees. This makes it more difficult to change the composition of the Board but promotes continuity of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Classified board</w:t>
            </w:r>
            <w:r>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Stockholder action; special meetings of stockholders</w:t>
            </w:r>
            <w:r>
              <w:rPr/>
              <w:t>. Our Certificate of Incorporation and Bylaws provide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stockholders may be called only by the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Advance notice requirements for stockholder proposals and director nominations</w:t>
            </w:r>
            <w:r>
              <w:rPr/>
              <w:t>. 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No cumulative voting</w:t>
            </w:r>
            <w:r>
              <w:rPr/>
              <w:t>. The DGCL provides that stockholders are not entitled to the right to cumulate votes in the election of directors unless a corporation’s certificate of incorporation provides otherwise. Our Certificate of Incorporation and Bylaws do not provide for cumulative voting.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Directors removed only for cause</w:t>
            </w:r>
            <w:r>
              <w:rPr/>
              <w:t>. Our Bylaws provide that stockholders may remove directors only for cause, and only by the affirmative vote of the holders of at least 66 2/3% of the voting power of the stock outstanding and entitled to vote generally in the election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Amendment of charter provisions</w:t>
            </w:r>
            <w:r>
              <w:rPr/>
              <w:t>. Any amendment of the above provisions in our Certificate of Incorporation requires approval by holders of at least two-thirds of our outstanding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Issuance of Preferred Stock</w:t>
            </w:r>
            <w:r>
              <w:rPr/>
              <w:t>. Our Board has the authority, without further action by the stockholders, to issue up to 5,000,000 shares of Preferred Stock with rights and preferences, including voting rights, designated from time to time by our Board. The existence of authorized but unissued shares of Preferred Stock enables our Board to render more difficult or to discourage an attempt to obtain control of us by merger, tender offer, proxy contest or other means.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i/>
              </w:rPr>
              <w:t>Choice of forum</w:t>
            </w:r>
            <w:r>
              <w:rPr/>
              <w:t>. Our Certificate of Incorporation and Bylaws provide that the Court of Chancery of the State of Delaware is the sole and exclusive forum for any complaint asserting any internal corporate claims. In addition, our Bylaws also provide that the federal district courts of the United States are the exclusive forum for the resolution of any complaint asserting a cause of action arising under the Securities Act. These choice of forum provisions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Certificate of Incorporation and Bylaws contains the choice of forum provision described above, it is possible that a court could rule that such a provision is inapplicable for a particular claim or action or that such provision is unenforceable.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and Series B Preferred Stock is Computershare Trust Company, N.A. The transfer agent’s address is 150 Royall Street, Suite 101, Canton, MA 02021, and its telephone number is (800) 344-5128.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“ORKA.”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Description of Depositary Shares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depositary shares representing fractional interests in shares of our preferred stock of any series. The following description sets forth certain general terms and provisions of the depositary shares to which any prospectus supplement may relate. The particular terms of the depositary shares to which any prospectus supplement may relate and the extent, if any, to which the general terms and provisions may apply to the depositary shares so offered will be described in the applicable prospectus supplement. To the extent that any particular terms of the depositary shares, depositary agreements and depositary receipts described in a prospectus supplement differ from any of the terms described below, then the terms described below will be deemed to have been superseded by that prospectus supplement. We encourage you to read the applicable depositary agreement and depositary receipts for additional information before you decide whether to purchase any of our depositary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Immediately following our issuance of the security related to the depositary shares, we will deposit the shares of our preferred stock with the relevant depositary and will cause the depositary to issue, on our behalf, the related depositary receipts. Subject to the terms of the depositary agreement, each owner of a depositary receipt will be entitled, in proportion to the fractional interest in the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sinking fund, subscription and liquidation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preferred stock or common stock. We may issue warrants independently or together with other securities. Warrants sold with other securities may be attached to or separate from the other securities. Each series of warrants will be issued under a separate warrant agreement to be entered into between us and the investor(s) or a warrant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warrants we offer will include specific terms relating to the offering. These terms may include some or all of the following, and such terms may differ from those described herein:</w:t>
      </w:r>
    </w:p>
    <w:p>
      <w:pPr>
        <w:pStyle w:val="TextBody"/>
        <w:bidi w:val="0"/>
        <w:spacing w:before="0" w:after="0"/>
        <w:ind w:left="0" w:right="0" w:firstLine="36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pPr>
            <w:r>
              <w:rPr/>
              <w:t>the title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the aggregate number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sz w:val="20"/>
              </w:rPr>
            </w:pPr>
            <w:r>
              <w:rPr>
                <w:sz w:val="20"/>
              </w:rPr>
              <w:t>the price or prices at which such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sz w:val="20"/>
              </w:rPr>
            </w:pPr>
            <w:r>
              <w:rPr>
                <w:sz w:val="20"/>
              </w:rPr>
              <w:t>the currency or currencies, including composite currencies, in which the price of such warrants may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designation and terms of the securities purchasable upon exercise of such warrants and the number of such securities issuable upon exercise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price at which and the currency or currencies, including composite currencies, in which the securities purchasable upon exercise of such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sz w:val="20"/>
              </w:rPr>
            </w:pPr>
            <w:r>
              <w:rPr>
                <w:sz w:val="20"/>
              </w:rPr>
              <w:t>the date on which the right to exercise such warrants shall commence and the date on which such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left"/>
              <w:rPr>
                <w:sz w:val="20"/>
              </w:rPr>
            </w:pPr>
            <w:r>
              <w:rPr>
                <w:sz w:val="20"/>
              </w:rPr>
              <w:t>whether such warrants will be issued in registered form or bearer form;</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sz w:val="20"/>
              </w:rPr>
            </w:pPr>
            <w:r>
              <w:rPr>
                <w:sz w:val="20"/>
              </w:rPr>
              <w:t>if applicable, the minimum or maximum amount of such warrants which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sz w:val="20"/>
              </w:rPr>
            </w:pPr>
            <w:r>
              <w:rPr>
                <w:sz w:val="20"/>
              </w:rPr>
              <w:t>if applicable, the date on and after which such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sz w:val="20"/>
              </w:rPr>
            </w:pPr>
            <w:r>
              <w:rPr>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any other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prospectus supplement will not necessarily be complete and will be qualified in its entirety by reference to the applicable warrant agreement, which will be filed with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being offered hereby in one or more of the following ways from time to time:</w:t>
      </w:r>
    </w:p>
    <w:p>
      <w:pPr>
        <w:pStyle w:val="TextBody"/>
        <w:bidi w:val="0"/>
        <w:spacing w:before="0" w:after="0"/>
        <w:ind w:left="0" w:right="0" w:firstLine="36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sz w:val="20"/>
              </w:rPr>
            </w:pPr>
            <w:r>
              <w:rPr>
                <w:sz w:val="20"/>
              </w:rPr>
              <w:t>to underwriters or dealers for resale to the public or to institutional investors;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sz w:val="20"/>
              </w:rPr>
            </w:pPr>
            <w:r>
              <w:rPr>
                <w:sz w:val="20"/>
              </w:rPr>
              <w:t>directly to institutional investors;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sz w:val="20"/>
              </w:rPr>
            </w:pPr>
            <w:r>
              <w:rPr>
                <w:sz w:val="20"/>
              </w:rPr>
              <w:t>directly to a limited number of purchasers or to a single purchaser;</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left"/>
              <w:rPr>
                <w:sz w:val="20"/>
              </w:rPr>
            </w:pPr>
            <w:r>
              <w:rPr>
                <w:sz w:val="20"/>
              </w:rPr>
              <w:t>through agents to the public or to institutional investors; or</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sz w:val="20"/>
              </w:rPr>
            </w:pPr>
            <w:r>
              <w:rPr>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each series of securities will state the terms of the offering of the securities, including:</w:t>
      </w:r>
    </w:p>
    <w:p>
      <w:pPr>
        <w:pStyle w:val="TextBody"/>
        <w:bidi w:val="0"/>
        <w:spacing w:before="0" w:after="0"/>
        <w:ind w:left="0" w:right="0" w:firstLine="36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sz w:val="20"/>
              </w:rPr>
            </w:pPr>
            <w:r>
              <w:rPr>
                <w:sz w:val="20"/>
              </w:rPr>
              <w:t>the offering terms, including the name or names of any underwriters,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sz w:val="20"/>
              </w:rPr>
            </w:pPr>
            <w:r>
              <w:rPr>
                <w:sz w:val="20"/>
              </w:rPr>
              <w:t>the purchase price of the securities and the net proceeds to be received by us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left"/>
              <w:rPr>
                <w:sz w:val="20"/>
              </w:rPr>
            </w:pPr>
            <w:r>
              <w:rPr>
                <w:sz w:val="20"/>
              </w:rPr>
              <w:t>any underwriting discounts or agency fees and other items constituting underwriters’ or agents’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left"/>
              <w:rPr>
                <w:sz w:val="20"/>
              </w:rPr>
            </w:pPr>
            <w:r>
              <w:rPr>
                <w:sz w:val="20"/>
              </w:rPr>
              <w:t>any public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sz w:val="20"/>
              </w:rPr>
            </w:pPr>
            <w:r>
              <w:rPr>
                <w:sz w:val="20"/>
              </w:rPr>
              <w:t>any discounts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sz w:val="20"/>
              </w:rPr>
            </w:pPr>
            <w:r>
              <w:rPr>
                <w:sz w:val="20"/>
              </w:rPr>
              <w:t>any securities exchange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or dealers in the sale, the securities will be acquired by the underwriters or dealers for their own account and may be resold from time to time in one or more transactions, including:</w:t>
      </w:r>
    </w:p>
    <w:p>
      <w:pPr>
        <w:pStyle w:val="TextBody"/>
        <w:bidi w:val="0"/>
        <w:spacing w:before="0" w:after="0"/>
        <w:ind w:left="0" w:right="0" w:firstLine="36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sz w:val="20"/>
              </w:rPr>
            </w:pPr>
            <w:r>
              <w:rPr>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sz w:val="20"/>
              </w:rPr>
            </w:pPr>
            <w:r>
              <w:rPr>
                <w:sz w:val="20"/>
              </w:rPr>
              <w:t>at a fixed public offering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sz w:val="20"/>
              </w:rPr>
            </w:pPr>
            <w:r>
              <w:rPr>
                <w:sz w:val="20"/>
              </w:rPr>
              <w:t>in “at the market offerings” within the meaning of Rule 415(a)(4)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70"/>
        <w:gridCol w:w="3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sz w:val="20"/>
              </w:rPr>
            </w:pPr>
            <w:r>
              <w:rPr>
                <w:sz w:val="20"/>
              </w:rPr>
              <w:t>at prices related to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170"/>
        <w:gridCol w:w="1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left"/>
              <w:rPr>
                <w:sz w:val="20"/>
              </w:rPr>
            </w:pPr>
            <w:r>
              <w:rPr>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 may be changed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common shares. The third party in such sale transactions will be an underwriter and, if not identified in this prospectus, will be identified in the applicable prospectus supplement or a post-effective amendment to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an applicable prospectus supplement, 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common stock, which is listed on the Nasdaq Global Market. Any common stock sold will be listed on the Nasdaq Global Market, upon official notice of issuance. The securities other than the common stock may or may not be listed on a national securities exchange and no assurance can be given that there will be a secondary market for any such securities or liquidity in the secondary market if one develops. Any underwriters to whom securities are sold by us for public offering and sale may make a market in the securities, but such underwriters will not be obligated to do so and may discontinue any market making at any time without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particular offerings of the securities in the future, unless otherwise stated in the applicable prospectus supplement, the validity of those securities will be passed upon for us by Davis Polk &amp; Wardwell LLP, Redwood City, California. Any underwriters, agents, or dealers will also be advised about legal matters by their own counsel, which will be named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is part of the registration statement that we filed with the SEC under the Securities Act and does not contain all the information set forth or incorporated by reference in the registration statement. You should review the information and exhibits in the registration statement for further information on us and the securities that we are offering. We file annual, quarterly and current reports, proxy statements and other information with the SEC. The SEC maintains a website at www.sec.gov that contains reports, proxy and information statements and other information we have filed electronically with the SEC. These reports, proxy statements and other information can also be read on our website at www.orukatx.com. Information contained on, or accessible through, our website is not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or any subsequently filed document deemed incorporated by reference. This prospectus and any accompanying prospectus supplement incorporate by reference the documents set forth below that we have previously filed with the SEC:</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Annual Report on </w:t>
            </w:r>
            <w:hyperlink r:id="rId3">
              <w:r>
                <w:rPr>
                  <w:rStyle w:val="InternetLink"/>
                </w:rPr>
                <w:t>Form 10-K</w:t>
              </w:r>
            </w:hyperlink>
            <w:r>
              <w:rPr/>
              <w:t xml:space="preserve"> for the year ended December 31, 2025, filed with the SEC on March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Quarterly Reports on Form 10-Q for the quarters ended March 31, 2026 and June 30, 2026, filed with the SEC on </w:t>
            </w:r>
            <w:hyperlink r:id="rId4">
              <w:r>
                <w:rPr>
                  <w:rStyle w:val="InternetLink"/>
                </w:rPr>
                <w:t>May 13, 2026</w:t>
              </w:r>
            </w:hyperlink>
            <w:r>
              <w:rPr/>
              <w:t xml:space="preserve"> and </w:t>
            </w:r>
            <w:hyperlink r:id="rId5">
              <w:r>
                <w:rPr>
                  <w:rStyle w:val="InternetLink"/>
                </w:rPr>
                <w:t>August 10,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Definitive Proxy Statement on </w:t>
            </w:r>
            <w:hyperlink r:id="rId6">
              <w:r>
                <w:rPr>
                  <w:rStyle w:val="InternetLink"/>
                </w:rPr>
                <w:t>Schedule 14A</w:t>
              </w:r>
            </w:hyperlink>
            <w:r>
              <w:rPr/>
              <w:t xml:space="preserve"> filed with the SEC on April 17, 2026 (solely with respect to those portions incorporated by reference into our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Current Reports on Form 8-K, filed with the SEC on </w:t>
            </w:r>
            <w:hyperlink r:id="rId7">
              <w:r>
                <w:rPr>
                  <w:rStyle w:val="InternetLink"/>
                </w:rPr>
                <w:t>April 27, 2026</w:t>
              </w:r>
            </w:hyperlink>
            <w:r>
              <w:rPr/>
              <w:t xml:space="preserve">, </w:t>
            </w:r>
            <w:hyperlink r:id="rId8">
              <w:r>
                <w:rPr>
                  <w:rStyle w:val="InternetLink"/>
                </w:rPr>
                <w:t>April 30, 2026</w:t>
              </w:r>
            </w:hyperlink>
            <w:r>
              <w:rPr/>
              <w:t xml:space="preserve">, </w:t>
            </w:r>
            <w:hyperlink r:id="rId9">
              <w:r>
                <w:rPr>
                  <w:rStyle w:val="InternetLink"/>
                </w:rPr>
                <w:t>June 1, 2026</w:t>
              </w:r>
            </w:hyperlink>
            <w:r>
              <w:rPr/>
              <w:t xml:space="preserve"> and </w:t>
            </w:r>
            <w:hyperlink r:id="rId10">
              <w:r>
                <w:rPr>
                  <w:rStyle w:val="InternetLink"/>
                </w:rPr>
                <w:t>June 4,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the description of our capital stock which is contained in </w:t>
            </w:r>
            <w:hyperlink r:id="rId11">
              <w:r>
                <w:rPr>
                  <w:rStyle w:val="InternetLink"/>
                </w:rPr>
                <w:t>Exhibit 4.1</w:t>
              </w:r>
            </w:hyperlink>
            <w:r>
              <w:rPr/>
              <w:t xml:space="preserve"> to our Annual Report on </w:t>
            </w:r>
            <w:hyperlink r:id="rId12">
              <w:r>
                <w:rPr>
                  <w:rStyle w:val="InternetLink"/>
                </w:rPr>
                <w:t>Form 10-K</w:t>
              </w:r>
            </w:hyperlink>
            <w:r>
              <w:rPr/>
              <w:t xml:space="preserve"> for the year ended December 31, 2025, filed with the SEC on March 12, 2026, including any amendments or reports filed for the purposes of updating such description.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on or after the date of the registration statement of which this prospectus forms a part and prior to its effectiveness and before the termination of the offering of all securities under this prospectus and any prospectus supplement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Oak Grove Avenue, Suite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 94025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outlined above are also available on our website at www.orukatx.com. Information contained on, or accessible through, our website is not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as well as the documents we have filed with the SEC incorporated by reference herein contain “forward-looking statements” within the meaning of Section 27A of the Securities Act of 1933, as amended (the “Securities Act”) and Section 21E of the Securities Exchange Act of 1934, as amended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in their entirety, many of these risks and uncertainties under the section titled “Risk Factors” contained in the applicable prospectus supplement, in any free writing prospectus we may authorize for use in connection with a specific offering, and in our most recent Annual Report on Form 10-K and Quarterly Reports on Form 10-Q,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the applicable prospectus supplement and the documents incorporated by reference herein in the context of these risks and uncertainties. We caution you that the risks, uncertainties and other factors referred to in this prospectus, the applicable prospectus supplement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contained in this prospectus, the applicable prospectus supplement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herein or to reflect the occurrence of unanticipated events, except as may be required under applicable U.S. securities laws. You should read this prospectus, and the applicable prospectus supplement,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or accept an offer to buy these securities until the registration statement filed with the Securities and Exchange Commission is effective. This preliminary prospectus is not an offer to sell these securities and it is not soliciting offers to buy these securities in any state where such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21, 2026</w:t>
      </w:r>
      <w:r>
        <w:rPr>
          <w:rFonts w:ascii="Times New Roman;Times;Serif" w:hAnsi="Times New Roman;Times;Serif"/>
          <w:b w:val="false"/>
          <w:i w:val="false"/>
          <w:caps w:val="false"/>
          <w:smallCaps w:val="false"/>
          <w:color w:val="FF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143125" cy="790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dated October 3, 2025, with TD Securities (USA) LLC (“TD Cowen”), as amended by Amendment No. 1 to the Sales Agreement, dated August 21, 2026, relating to the sale of shares of our common stock, $0.001 par value per share (as amended, the “Sales Agreement”). In accordance with the terms of the Sales Agreement, under this prospectus, we may offer and sell shares of our common stock having an aggregate offering price of up to $500,000,000 from time to time through TD Cowen, acting as our agent or principal.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our common stock, if any, under this prospectus will be made in negotiated transactions, including block trades or block sales, or by any method permitted by law deemed to be an “at the market offering” as defined in Rule 415(a)(4) under the Securities Act of 1933, as amended (the “Securities Act”), including, without limitation, sales made through The Nasdaq Global Market (“Nasdaq”), or any other existing trading market for our common stock or by any other method permitted by law. TD Cowen is not required to sell any specific number or dollar amount of shares of our common stock, but will act as our sales agent using commercially reasonable efforts consistent with its normal trading and sales practices.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for funds to be received in any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be entitled to compensation at a commission rate of up to 3.0% of the gross sales price per share sold under the Sales Agreement. See “Plan of Distribution” beginning on page 9 for additional information regarding the compensation to be paid to TD Cowen.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trade on the Nasdaq Global Market under the symbol “ORKA.” On August 20, 2026, the last reported sale price of our common stock as reported on the Nasdaq Global Market was $104.86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beginning on page 3 of this prospectus and in the documents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by Rule 12b-2 of the Exchange Act and are subject to reduced public company reporting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TD Cowen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135"/>
        <w:gridCol w:w="60"/>
        <w:gridCol w:w="53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2">
              <w:r>
                <w:rPr>
                  <w:rStyle w:val="InternetLink"/>
                </w:rPr>
                <w:t>Special Note Regarding Forward-Looking Statements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iii</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3">
              <w:r>
                <w:rPr>
                  <w:rStyle w:val="InternetLink"/>
                </w:rPr>
                <w:t>Prospectus Summary</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4">
              <w:r>
                <w:rPr>
                  <w:rStyle w:val="InternetLink"/>
                </w:rPr>
                <w:t>Risk Factors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3</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5</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6">
              <w:r>
                <w:rPr>
                  <w:rStyle w:val="InternetLink"/>
                </w:rPr>
                <w:t>Dilution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6</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7">
              <w:r>
                <w:rPr>
                  <w:rStyle w:val="InternetLink"/>
                </w:rPr>
                <w:t>Dividend Policy</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8</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8">
              <w:r>
                <w:rPr>
                  <w:rStyle w:val="InternetLink"/>
                </w:rPr>
                <w:t>Plan of Distribution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9</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9">
              <w:r>
                <w:rPr>
                  <w:rStyle w:val="InternetLink"/>
                </w:rPr>
                <w:t>Legal Matters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0">
              <w:r>
                <w:rPr>
                  <w:rStyle w:val="InternetLink"/>
                </w:rPr>
                <w:t>Experts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1">
              <w:r>
                <w:rPr>
                  <w:rStyle w:val="InternetLink"/>
                </w:rPr>
                <w:t>Where You Can Find More Information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2">
              <w:r>
                <w:rPr>
                  <w:rStyle w:val="InternetLink"/>
                </w:rPr>
                <w:t>Incorporation of Certain Documents by Reference</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11</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360" w:right="0" w:hanging="36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b_001"/>
      <w:bookmarkEnd w:id="15"/>
      <w:r>
        <w:rPr>
          <w:rFonts w:ascii="Times New Roman;Times;Serif" w:hAnsi="Times New Roman;Times;Serif"/>
          <w:b/>
          <w:i w:val="false"/>
          <w:caps/>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a “shelf” registration process. Under this prospectus, we may offer and sell shares of our common stock having an aggregate offering price of up to $500,000,000 from time to time through TD Cowen acting as our agent or principal at prices and on terms to be determined by market conditions at the time of the offering. The $500,000,000 of shares of our common stock that may be sold under this prospectus are included in the $1,000,000,000 of securities that may be sold under the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of shares of our common stock in two separate documents that are bound together: (1) this prospectus, which describes the specific details regarding this offering; and (2) the accompanying base prospectus, which provides general information, some of which may not apply to this offering. Generally, when we refer to this “prospectus,” we are referring to both documents combined.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common stock that we are offering, we urge you to carefully read both this prospectus together with all of the information incorporated by reference herein,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in this prospectus, on the other hand, you should rely on the information in this prospectus, provided that if any statement in one of these documents is inconsistent with a statement in another document having a later date — for example, a document filed after the date of this prospectus incorporated by reference in this prospectus — the statement in the document having the later date modifies or supersedes the earlier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TD Cowen has not, authorized anyone to provide any information other than that contained in or incorporated by reference in this prospectus supplement. We and TD Cowen take no responsibility for, and can provide no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in this prospectus or any prospectus supplement that we have authorized for use in connection with this offering as well as the information incorporated by reference herein or therein is accurate only as of its date.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and the documents incorporated by reference herein, the terms “Oruka,” “ARCA biopharma, Inc.,” “the Company,” “we,” “us,” and “our” refer to Oruka Therapeutics, Inc., a Delaware corporation, and its consolidated subsidiaries taken as a whole.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b_002"/>
      <w:bookmarkEnd w:id="16"/>
      <w:r>
        <w:rPr>
          <w:rFonts w:ascii="Times New Roman;Times;Serif" w:hAnsi="Times New Roman;Times;Serif"/>
          <w:b/>
          <w:i w:val="false"/>
          <w:caps/>
          <w:sz w:val="20"/>
        </w:rPr>
        <w:t>Special Note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we have filed with the SEC incorporated by reference herein contain “forward-looking statements” within the meaning of Section 27A of the Securities Act of 1933, as amended, and Section 21E of the Securities Exchange Act of 1934, as amended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in their entirety, many of these risks and uncertainties under the section titled “Risk Factors” contained in our most recent Annual Report on Form 10-K and Quarterly Reports on Form 10-Q,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and the documents incorporated by reference herein in the context of these risks and uncertainties. We caution you that the risks, uncertainties and other factors referred to in this prospectus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contained in this prospectus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herein or to reflect the occurrence of unanticipated events, except as may be required under applicable U.S. securities laws. You should read this prospectus,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17" w:name="b_003"/>
      <w:bookmarkEnd w:id="17"/>
      <w:r>
        <w:rPr>
          <w:rFonts w:ascii="Times New Roman;Times;Serif" w:hAnsi="Times New Roman;Times;Serif"/>
          <w:b/>
          <w:i w:val="false"/>
          <w:caps/>
          <w:sz w:val="20"/>
          <w:bdr w:val="single" w:sz="12" w:space="5" w:color="000000"/>
        </w:rPr>
        <w:t>Prospectus Summary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3 of this prospectus, along with the other risk factors, our consolidated financial statements and notes to those consolidated financial statements and the other information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Acquisition of Pre-Merger Oruka</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Funds Management LLC, for the purposes of holding rights to certain intellectual property being developed by Paragon Therapeutics, Inc. On August 29, 2024, we changed our name from “ARCA biopharma, Inc.” to “Oruka Therapeutics, Inc.” and our Nasdaq ticker symbol from “ABIO” to “ORKA”.</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bdr w:val="single" w:sz="12" w:space="5" w:color="000000"/>
        </w:rPr>
        <w:t>or</w:t>
      </w:r>
      <w:r>
        <w:rPr>
          <w:rFonts w:ascii="Times New Roman;Times;Serif" w:hAnsi="Times New Roman;Times;Serif"/>
          <w:b w:val="false"/>
          <w:i w:val="false"/>
          <w:caps w:val="false"/>
          <w:smallCaps w:val="false"/>
          <w:sz w:val="20"/>
          <w:bdr w:val="single" w:sz="12" w:space="5" w:color="000000"/>
        </w:rPr>
        <w:t xml:space="preserve">, for “skin,” and </w:t>
      </w:r>
      <w:r>
        <w:rPr>
          <w:rFonts w:ascii="Times New Roman;Times;Serif" w:hAnsi="Times New Roman;Times;Serif"/>
          <w:b w:val="false"/>
          <w:i/>
          <w:caps w:val="false"/>
          <w:smallCaps w:val="false"/>
          <w:sz w:val="20"/>
          <w:bdr w:val="single" w:sz="12" w:space="5" w:color="000000"/>
        </w:rPr>
        <w:t>arukah</w:t>
      </w:r>
      <w:r>
        <w:rPr>
          <w:rFonts w:ascii="Times New Roman;Times;Serif" w:hAnsi="Times New Roman;Times;Serif"/>
          <w:b w:val="false"/>
          <w:i w:val="false"/>
          <w:caps w:val="false"/>
          <w:smallCaps w:val="false"/>
          <w:sz w:val="20"/>
          <w:bdr w:val="single" w:sz="12" w:space="5" w:color="00000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lead program, ORKA-001, is designed to target the p19 subunit of interleukin-23 for the treatment of PsO. Our co-lead program, ORKA-002, is designed to target interleukin-17A and interleukin-17F for the treatment of PsO, hidradenitis suppurativa, psoriatic arthritis, and other conditions. The product candidates in these programs each bind their respective targets at high affinity and incorporate half-life extension technology with the aim to increase exposure and decrease dosing frequency. We are also developing ORKA-004, a novel extended half-life antibody designed to target TNF-like ligand 1A (“TL1A”), which we plan to pursue in combination with ORKA-001 and ORKA-002 in a variety of diseases. We believe that our focused strategy, differentiated portfolio, and deep expertise position us to set a new treatment standard in large I&amp;I markets with continued unmet need.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855 Oak Grove Avenue, Suite 100, Menlo Park, California 94025. The telephone number of our principal executive offices is (650) 606-7910. Our website address is www.orukatx.com. Information contained on, or accessible through, our website is not incorporated by reference into this prospectus.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contains trade names, trademarks and service marks of others, which are the property of their respective owners. Solely for convenience, trademarks and trade names referred to in this prospectus may appear without the ® or TM symbols.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Smaller Reporting Company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we are a “smaller reporting company” as defined in the Exchange Act, meaning that we are permitted to rely on exemptions from certain disclosure and other requirements that are applicable to other public companies that are not smaller reporting companies. Smaller reporting companies may take advantage of certain scaled disclosures, including, among other things, providing only two years of audited financial statements in their Annual Report on Form 10-K, not being required to comply with the auditor attestation requirements of Section 404 of the Sarbanes-Oxley Act and having reduced disclosure obligations regarding executive compensation. Based on the market value of our stock held by non-affiliates as of the end of the second quarter of our 2026 fiscal year, we will no longer be able to benefit from smaller reporting company status for filings or disclosure for periods beginning on or after January 1, 2027. However, until such filings, we are permitted and intend to rely on the exemptions from certain disclosure and other requirements that are applicable to smaller reporting companies.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78"/>
        <w:gridCol w:w="60"/>
        <w:gridCol w:w="8267"/>
      </w:tblGrid>
      <w:tr>
        <w:trPr/>
        <w:tc>
          <w:tcPr>
            <w:tcW w:w="1878" w:type="dxa"/>
            <w:tcBorders/>
            <w:vAlign w:val="center"/>
          </w:tcPr>
          <w:p>
            <w:pPr>
              <w:pStyle w:val="TableContents"/>
              <w:bidi w:val="0"/>
              <w:spacing w:before="0" w:after="283"/>
              <w:ind w:left="0" w:right="0" w:hanging="180"/>
              <w:jc w:val="left"/>
              <w:rPr/>
            </w:pPr>
            <w:r>
              <w:rPr/>
              <w:t>Common Stock Offered by Us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Shares of common stock having an aggregate offering price of up to $500,000,000.</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Common Stock to be Outstanding After this Offering</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Up to 65,838,149 shares of common stock, assuming sales of 4,768,262 shares of our common stock in this offering at an offering price of $104.86 per share, which was the last reported sale price of our common stock on Nasdaq on August 20, 2026. The actual number of shares issued will vary depending on the actual sales price of shares sold pursuant to this offering.</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Plan of Distribution</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t>
            </w:r>
            <w:r>
              <w:rPr/>
              <w:t>At the market offering” that may be made from time to time through TD Cowen. TD Cowen is not required to sell any specific number or dollar amount of shares of our common stock, but TD Cowen will act as our sales agent using commercially reasonable efforts consistent with its normal trading and sales practices. See “Plan of Distribution.”</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We currently intend to use the net proceeds from this offering for general corporate purposes, including research and development and working capital. See “Use of Proceeds” for a more complete description of the intended use of proceeds from this offering.</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Nasdaq Global Market Symbol</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t>
            </w:r>
            <w:r>
              <w:rPr/>
              <w:t>ORKA.”</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jc w:val="left"/>
              <w:rPr/>
            </w:pPr>
            <w:r>
              <w:rPr/>
              <w:t>Investing in our common stock involves significant risks. You should read the “Risk Factors” section of this prospectus, as well as those risks and uncertainties identified in the documents incorporated by reference in this prospectus, including our most recent Annual Report on Form 10-K and subsequent Quarterly Reports on Form 10-Q, for a discussion of factors to consider carefully before deciding to purchase our common stock.</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issued and outstanding shares of common stock to be outstanding after this offering is based on 61,069,887 shares of our common stock outstanding as of June 30, 2026, and excludes:</w:t>
      </w:r>
    </w:p>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11,428,149 shares of common stock issuable upon the conversion of 137,138 shares of Series B Preferred Stock outstanding as of June 30, 2026;</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5,706,188 shares of common stock issuable upon the exercise of pre-funded warrants outstanding as of June 30, 2026;</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5,227,356 shares of common stock issuable upon the exercise of stock options outstanding as of June 30, 2026 under the 2024 Equity Incentive Plan and the 2024 Stock Incentive Plan with a weighted-average exercise price of $20.64 per share;</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971,930 shares of common stock issuable upon the exercise of warrants outstanding as of June 30, 2026 with a weighted-average exercise price of $23.55 per share issued in connection with the Paruka Warrant Obligation (as defined in our Annual Report on Form 10-K);</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409,922 shares of common stock issuable upon the vesting of restricted stock units outstanding as of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2,619,353 shares of common stock issuable upon the exercise of employee warrants outstanding as of June 30, 2026 with a weighted-average exercise price of $7.80 per share;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1,499,500 shares of common stock sold under our previous at-the-market equity offering program with TD Securities (USA) LLC subsequent to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5,910,376 shares of common stock reserved for issuance under our 2024 Stock Incentive Plan as of June 30, 2026; and</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963,033 shares of common stock reserved for issuance under the Employee Stock Purchase Plan as of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b_004"/>
      <w:bookmarkEnd w:id="18"/>
      <w:r>
        <w:rPr>
          <w:rFonts w:ascii="Times New Roman;Times;Serif" w:hAnsi="Times New Roman;Times;Serif"/>
          <w:b/>
          <w:i w:val="false"/>
          <w:caps/>
          <w:sz w:val="20"/>
        </w:rPr>
        <w:t>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high degree of risk. Before deciding whether to invest in our common stock, you should consider carefully the risks described below and discussed under the sections captioned “Risk Factors” contained in our most recent Annual Report on Form 10-K, as well as in any of our subsequent Quarterly Reports on Form 10-Q and Current Reports on Form 8-K filed with the SEC, which are incorporated by reference in this prospectus in their entirety, together with other information in this prospectus and the information and documents incorporated by reference in this prospectus. Each of the risk factors could adversely affect our business, operating results and financial condition, as well as adversely affect the value of an investment in our securities, and the occurrence of any of these risks might cause you to lose all or part of your investment. There may be additional risks that we do not presently know of or that we currently believe are immaterial which could also impair our business and financial position. Please also read carefully the section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may not use them effectively.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if any, and could spend the net proceeds in ways that do not improve our business, financial condition or results of operations or enhance the value of our common stock. You may not agree with our decisions, and our use of the proceeds may not yield any return on your investment. We currently intend to use the net proceeds from this offering for general corporate purposes, including research and development and working capital.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number and variability of factors that will determine our use of the net proceeds from this offering, their ultimate use may vary substantially from their currently intended use.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 See “Use of Proceeds.”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common stock in this offering, you may suffer immediate and substantial dilution of your investment.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sold in this offering will be sold from time to time at various prices. The price per share of our common stock sold in this offering may, at the time of sale,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any shares we may issue and gross proceeds resulting from those sales, at any one time or in total, is uncertain.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 order to TD Cowen at any time throughout the term of the Sales Agreement. The number of shares that are sold by TD Cowen after the delivery of any sale order will fluctuate based on the market price of our common stock during the same period and limits we set with TD Cowen in any order to sell shares, and the demand for our common stock during the sale period. Because the price per share of each share sold will fluctuate based on the market price of our common stock during the sale period, it is not possible at this stage to predict the gross proceeds to be raised in connection with those sales or the number of shares, if any, that will be ultimately issued.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sale order, there is no minimum or maximum sales price. Investors may experience a decline in the value of their shares as a result of sales made at prices lower than the prices they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shares of our common stock in the public markets, or the perception that such sales could occur, could depress the market price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markets, or the perception that such sales could occur, could depress the market price of our common stock and impair our ability to raise capital through the sale of additional equity securities. In addition, certain entities beneficially own a significant percentage of our Company. As of July 1, 2026, entities affiliated with Fairmount Funds Management LLC beneficially own approximately 16.9 million shares of our common stock, or approximately 22.8% of our common stock, assuming the exercise of all pre-funded warrants and options held by such entities, and the conversion of all outstanding shares of Series B Preferred Stock held by such entities into shares of common stock, without giving effect to contractual limitations contained in such securities that restrict the holder (together with its affiliates) from beneficially owning in excess of a specified percentage of our common stock, and without giving effect to the exercise or conversion of any securities exercisable or convertible into common stock owned by other stockholders. It is possible that we could issue and sell additional shares of our common stock in the public markets. We cannot predict the effect that future sales of our common stock, or the perception that such sales might occur, would have on the market price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that are subject to our outstanding options or warrants will become eligible for sale in the public market to the extent permitted by the provisions of various vesting agreements and Rules 144 and 701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certain holders of our common stock have rights, subject to conditions, to require us to file registration statements covering their shares. Registration of these shares under the Securities Act would result in the shares becoming freely tradeable in the public market, subject to the restriction of Rule 144 in the case of our affiliates. If any of these additional shares are sold, or if it is perceived that they will be sold, in the public market, the market price of our common stock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b_005"/>
      <w:bookmarkEnd w:id="19"/>
      <w:r>
        <w:rPr>
          <w:rFonts w:ascii="Times New Roman;Times;Serif" w:hAnsi="Times New Roman;Times;Serif"/>
          <w:b/>
          <w:i w:val="false"/>
          <w:caps/>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$500,000,000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general corporate purposes, including research and development and working capital. Pending these uses, we intend to invest the net proceeds in short- and intermediate-term, investment grade interest-bearing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b_006"/>
      <w:bookmarkEnd w:id="20"/>
      <w:r>
        <w:rPr>
          <w:rFonts w:ascii="Times New Roman;Times;Serif" w:hAnsi="Times New Roman;Times;Serif"/>
          <w:b/>
          <w:i w:val="false"/>
          <w:caps w:val="false"/>
          <w:smallCaps w:val="false"/>
          <w:sz w:val="20"/>
        </w:rPr>
        <w:t xml:space="preserve">DILUTION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is the amount by which the price paid by the purchasers of the shares of common stock sold in this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net tangible book value as of June 30, 2026 was $1,114.5 million, or $18.25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4,768,262 shares of common stock in this offering based on an assumed public offering price of $104.86 per share, which is the last reported sale price of our common stock on the Nasdaq Global Market on August 20, 2026, after deducting offering commissions and estimated offering expenses payable by us, our as adjusted net tangible book value as of June 30, 2026 would have been $1,599.2 million, or $24.29 per share. This represents an immediate increase in as adjusted net tangible book value of $6.04 per share to our existing stockholders and immediate dilution of $80.57 per share to new investors purchasing common stock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490"/>
        <w:gridCol w:w="60"/>
        <w:gridCol w:w="140"/>
        <w:gridCol w:w="560"/>
        <w:gridCol w:w="60"/>
        <w:gridCol w:w="60"/>
        <w:gridCol w:w="140"/>
        <w:gridCol w:w="680"/>
        <w:gridCol w:w="75"/>
      </w:tblGrid>
      <w:tr>
        <w:trPr/>
        <w:tc>
          <w:tcPr>
            <w:tcW w:w="7490" w:type="dxa"/>
            <w:tcBorders/>
            <w:shd w:fill="CCEEFF" w:val="clear"/>
            <w:vAlign w:val="center"/>
          </w:tcPr>
          <w:p>
            <w:pPr>
              <w:pStyle w:val="TableContents"/>
              <w:bidi w:val="0"/>
              <w:spacing w:before="0" w:after="283"/>
              <w:ind w:left="0" w:right="0" w:hanging="20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104.86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490" w:type="dxa"/>
            <w:tcBorders/>
            <w:shd w:fill="FFFFFF" w:val="clear"/>
            <w:vAlign w:val="center"/>
          </w:tcPr>
          <w:p>
            <w:pPr>
              <w:pStyle w:val="TableContents"/>
              <w:bidi w:val="0"/>
              <w:spacing w:before="0" w:after="283"/>
              <w:jc w:val="left"/>
              <w:rPr/>
            </w:pPr>
            <w:r>
              <w:rPr/>
              <w:t>Historical 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490" w:type="dxa"/>
            <w:tcBorders/>
            <w:shd w:fill="CCEEFF" w:val="clear"/>
            <w:vAlign w:val="center"/>
          </w:tcPr>
          <w:p>
            <w:pPr>
              <w:pStyle w:val="TableContents"/>
              <w:bidi w:val="0"/>
              <w:spacing w:before="0" w:after="283"/>
              <w:jc w:val="left"/>
              <w:rPr/>
            </w:pPr>
            <w:r>
              <w:rPr/>
              <w:t>Increase per share attributable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490" w:type="dxa"/>
            <w:tcBorders/>
            <w:shd w:fill="FFFFFF" w:val="clear"/>
            <w:vAlign w:val="center"/>
          </w:tcPr>
          <w:p>
            <w:pPr>
              <w:pStyle w:val="TableContents"/>
              <w:bidi w:val="0"/>
              <w:spacing w:before="0" w:after="283"/>
              <w:jc w:val="left"/>
              <w:rPr/>
            </w:pPr>
            <w:r>
              <w:rPr/>
              <w:t>As adjusted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24.29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490" w:type="dxa"/>
            <w:tcBorders/>
            <w:shd w:fill="CCEEFF" w:val="clear"/>
            <w:vAlign w:val="center"/>
          </w:tcPr>
          <w:p>
            <w:pPr>
              <w:pStyle w:val="TableContents"/>
              <w:bidi w:val="0"/>
              <w:spacing w:before="0" w:after="283"/>
              <w:jc w:val="left"/>
              <w:rPr/>
            </w:pPr>
            <w:r>
              <w:rPr/>
              <w:t>Dilution in adjusted net tangible book value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80.57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4,768,262 shares of our common stock are sold during the term of the Sales Agreement at a price of $104.86 per share, the last reported sale price of our common stock on the Nasdaq Global Market on August 20, 2026, for aggregate gross proceeds of $500.0 million. The shares subject to the Sales Agreement with TD Cowen are being sold from time to time at various prices. An increase of $1.00 per share in the price at which the shares are sold from the assumed offering price of $104.86 per share shown in the table above, assuming all of our common stock in the aggregate amount of $500.0 million during the term of the Sales Agreement with TD Cowen is sold at that price, would increase our adjusted net tangible book value per share after the offering to $24.31 per share and would increase the dilution in net tangible book value per share to new investors in this offering to $81.55 per share, after deducting commissions and estimated aggregate offering expenses payable by us. A decrease of $1.00 per share in the price at which the shares are sold from the assumed offering price of $104.86 per share shown in the table above, assuming all of our common stock in the aggregate amount of $500.0 million during the term of the Sales Agreement with TD Cowen is sold at that price, would decrease our adjusted net tangible book value per share after the offering to $24.27 per share and would decrease the dilution in net tangible book value per share to new investors in this offering to $79.59 per share, after deducting commissions and estimated aggregate offering expenses payable by us. This information is supplied for illustrative purposes only and will adjust based on the actual public offering price, the actual number of shares that we offer in this offering, and other terms of this offering determined at the time of each offer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common stock to be outstanding after this offering is based on 61,069,887 shares of our common stock outstanding as of June 30, 2026, and excludes: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11,428,149 shares of common stock issuable upon the conversion of 137,138 shares of Series B Preferred Stock outstanding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5,706,188 shares of common stock issuable upon the exercise of pre-funded warrants outstanding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5,227,356 shares of common stock issuable upon the exercise of stock options outstanding as of June 30, 2026 under the 2024 Equity Incentive Plan and the 2024 Stock Incentive Plan with a weighted-average exercise price of $20.64 per share;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971,930 shares of common stock issuable upon the exercise of warrants outstanding as of June 30, 2026 with a weighted-average exercise price of $23.55 per share issued in connection with the Paruka Warrant Obligation (as defined in our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409,922 shares of common stock issuable upon the vesting of restricted stock units outstanding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2,619,353 shares of common stock issuable upon the exercise of employee warrants outstanding as of June 30, 2026 with a weighted-average exercise price of $7.80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1,499,500 shares of common stock sold under our at-the-market equity offering program with TD Securities (USA) LLC subsequent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5,910,376 shares of common stock reserved for issuance under our 2024 Stock Incentive Plan as of June 30, 2026;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963,033 shares of common stock reserved for issuance under the Employee Stock Purchase Plan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b_007"/>
      <w:bookmarkEnd w:id="21"/>
      <w:r>
        <w:rPr>
          <w:rFonts w:ascii="Times New Roman;Times;Serif" w:hAnsi="Times New Roman;Times;Serif"/>
          <w:b/>
          <w:i w:val="false"/>
          <w:caps/>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support our operations and finance the growth and development of our business. We do not intend to pay cash dividends on our common stock for the foreseeable future. Any future determination to pay cash dividends will be at the discretion of our board of directors, subject to applicable limitations under Delaware law, and will be dependent upon our results of operations, financial condition, contractual restrictions and other factors deemed relevant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b_008"/>
      <w:bookmarkEnd w:id="22"/>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TD Cowen, under which we may offer and sell from time to time shares of common stock through or to TD Cowen as our sales agent or principal. Pursuant to this prospectus, we may offer and sell up to $500,000,000 of shares of our common stock. Sales of our common stock, if any, will be made in negotiated transactions, including block trades or block sales, or by any method permitted by law deemed to be an “at the market offering” as defined in Rule 415(a)(4)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payable to TD Cowen as sales agent is a commission rate of up to 3.0% of the gross sales price of the shares sold through it pursuant to the sales agreement. We have also agreed to reimburse TD Cowen up to $75,000 of TD Cowen’s actual outside legal expenses incurred by TD Cowen in connection with the original execution of the Sales Agreement, in addition to amounts for certain ongoing disbursements of its legal counsel. We estimate that the total expenses of the offering payable by us, excluding commissions payable to TD Cowen under the Sales Agreement, will be approximately $380,000.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at least quarterly the number of shares of common stock sold through TD Cowen under the Sales Agreement and the net proceeds to us in connection with the sales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and trades under the symbol “ORKA.” The transfer agent of our common stock is Computershare Trust Company, N.A.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and/or its affiliates have provided, and may in the future provide, various investment banking and other financial services for us for which services they have received and, may in the future receive, customary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b_009"/>
      <w:bookmarkEnd w:id="23"/>
      <w:r>
        <w:rPr>
          <w:rFonts w:ascii="Times New Roman;Times;Serif" w:hAnsi="Times New Roman;Times;Serif"/>
          <w:b/>
          <w:i w:val="false"/>
          <w:caps/>
          <w:sz w:val="20"/>
        </w:rPr>
        <w:t>Legal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being offered by this prospectus will be passed upon for us by Davis Polk &amp; Wardwell LLP, Redwood City, California. TD Securities (USA) LLC is being represented in connection with this offering by Cooley LLP, New York, New York.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b_010"/>
      <w:bookmarkEnd w:id="24"/>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b_011"/>
      <w:bookmarkEnd w:id="25"/>
      <w:r>
        <w:rPr>
          <w:rFonts w:ascii="Times New Roman;Times;Serif" w:hAnsi="Times New Roman;Times;Serif"/>
          <w:b/>
          <w:i w:val="false"/>
          <w:caps/>
          <w:sz w:val="20"/>
        </w:rPr>
        <w:t>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www.orukatx.com. Information contained on, or accessible through, our website is not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we filed with the SEC under the Securities Act and does not contain all of the information set forth or incorporated by reference in the registration statement.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b_012"/>
      <w:bookmarkEnd w:id="26"/>
      <w:r>
        <w:rPr>
          <w:rFonts w:ascii="Times New Roman;Times;Serif" w:hAnsi="Times New Roman;Times;Serif"/>
          <w:b/>
          <w:i w:val="false"/>
          <w:caps/>
          <w:sz w:val="20"/>
        </w:rPr>
        <w:t>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contained directly in this prospectus, or any subsequently filed document deemed incorporated by reference. This prospectus supplement incorporates by reference the documents set forth below that we have previously filed with the SEC:</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Annual Report on </w:t>
            </w:r>
            <w:hyperlink r:id="rId14">
              <w:r>
                <w:rPr>
                  <w:rStyle w:val="InternetLink"/>
                </w:rPr>
                <w:t>Form 10-K</w:t>
              </w:r>
            </w:hyperlink>
            <w:r>
              <w:rPr/>
              <w:t xml:space="preserve"> for the year ended December 31, 2025, filed with the SEC on March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Quarterly Reports on Form 10-Q for the quarters ended March 31, 2026 and June 30, 2026, filed with the SEC on </w:t>
            </w:r>
            <w:hyperlink r:id="rId15">
              <w:r>
                <w:rPr>
                  <w:rStyle w:val="InternetLink"/>
                </w:rPr>
                <w:t>May 13, 2026</w:t>
              </w:r>
            </w:hyperlink>
            <w:r>
              <w:rPr/>
              <w:t xml:space="preserve"> and </w:t>
            </w:r>
            <w:hyperlink r:id="rId16">
              <w:r>
                <w:rPr>
                  <w:rStyle w:val="InternetLink"/>
                </w:rPr>
                <w:t>August 10,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Definitive Proxy Statement on </w:t>
            </w:r>
            <w:hyperlink r:id="rId17">
              <w:r>
                <w:rPr>
                  <w:rStyle w:val="InternetLink"/>
                </w:rPr>
                <w:t>Schedule 14A</w:t>
              </w:r>
            </w:hyperlink>
            <w:r>
              <w:rPr/>
              <w:t xml:space="preserve"> filed with the SEC on April 17, 2026 (solely with respect to those portions incorporated by reference into our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Current Reports on Form 8-K, filed with the SEC on </w:t>
            </w:r>
            <w:hyperlink r:id="rId18">
              <w:r>
                <w:rPr>
                  <w:rStyle w:val="InternetLink"/>
                </w:rPr>
                <w:t>April 27, 2026</w:t>
              </w:r>
            </w:hyperlink>
            <w:r>
              <w:rPr/>
              <w:t xml:space="preserve">, </w:t>
            </w:r>
            <w:hyperlink r:id="rId19">
              <w:r>
                <w:rPr>
                  <w:rStyle w:val="InternetLink"/>
                </w:rPr>
                <w:t>April 30, 2026</w:t>
              </w:r>
            </w:hyperlink>
            <w:r>
              <w:rPr/>
              <w:t xml:space="preserve">, </w:t>
            </w:r>
            <w:hyperlink r:id="rId20">
              <w:r>
                <w:rPr>
                  <w:rStyle w:val="InternetLink"/>
                </w:rPr>
                <w:t>June 1, 2026</w:t>
              </w:r>
            </w:hyperlink>
            <w:r>
              <w:rPr/>
              <w:t xml:space="preserve"> and </w:t>
            </w:r>
            <w:hyperlink r:id="rId21">
              <w:r>
                <w:rPr>
                  <w:rStyle w:val="InternetLink"/>
                </w:rPr>
                <w:t>June 4,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the description of our capital stock which is contained in </w:t>
            </w:r>
            <w:hyperlink r:id="rId22">
              <w:r>
                <w:rPr>
                  <w:rStyle w:val="InternetLink"/>
                </w:rPr>
                <w:t>Exhibit 4.1</w:t>
              </w:r>
            </w:hyperlink>
            <w:r>
              <w:rPr/>
              <w:t xml:space="preserve"> to our Annual Report on </w:t>
            </w:r>
            <w:hyperlink r:id="rId23">
              <w:r>
                <w:rPr>
                  <w:rStyle w:val="InternetLink"/>
                </w:rPr>
                <w:t>Form 10-K</w:t>
              </w:r>
            </w:hyperlink>
            <w:r>
              <w:rPr/>
              <w:t xml:space="preserve"> for the year ended December 31, 2025, filed with the SEC on March 12, 2026, including any amendments or reports filed for the purposes of updating such description.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on or after the date of this prospectus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Oak Grove Avenue, Suite 100</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 94025</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outlined above are also available on our website at www.orukatx.com. Information contained on, or accessible through, our website is not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2143125" cy="790575"/>
                    </a:xfrm>
                    <a:prstGeom prst="rect">
                      <a:avLst/>
                    </a:prstGeom>
                  </pic:spPr>
                </pic:pic>
              </a:graphicData>
            </a:graphic>
          </wp:inline>
        </w:drawing>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TD Cowen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the underwriting discounts and commissions, payable by the registrant in connection with the issuance and distribution of the securities being registered. All the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4385"/>
        <w:gridCol w:w="60"/>
        <w:gridCol w:w="176"/>
        <w:gridCol w:w="1238"/>
        <w:gridCol w:w="15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to be</w:t>
              <w:br/>
              <w:t>Paid</w:t>
            </w:r>
          </w:p>
        </w:tc>
        <w:tc>
          <w:tcPr>
            <w:tcW w:w="15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50,410.55</w:t>
            </w:r>
          </w:p>
        </w:tc>
        <w:tc>
          <w:tcPr>
            <w:tcW w:w="155"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Stock exchange listing fee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Transfer agent and registrar fees and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Printing and miscellaneous expenses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The $1,000,000,000 of securities registered pursuant to this registration statement includes (i) $299,650,000.00 of unsold securities registered pursuant to the Registration Statement on Form S-3 (File No. 333-294852) declared effective on April 10, 2026 and (ii) $335,320,666.02 of unsold securities registered pursuant to the Registration Statement on Form S-3 (File No. 333-290718) which became effective pursuant to Section 8(a) under the Act on November 3, 2025 (collectively, the “Unsold Securities”). Pursuant to Rule 415(a)(6) under the Securities Act, the amount of such registration fee associated with the offering of the Unsold Securities will be carried forward to be applied to the Unsold Securities registered under this registration statement and no additional filing fee will be due with respect to the Unsold Securities in connection with the filing of this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w:t>
            </w:r>
          </w:p>
        </w:tc>
        <w:tc>
          <w:tcPr>
            <w:tcW w:w="10011" w:type="dxa"/>
            <w:tcBorders/>
            <w:vAlign w:val="center"/>
          </w:tcPr>
          <w:p>
            <w:pPr>
              <w:pStyle w:val="TableContents"/>
              <w:bidi w:val="0"/>
              <w:spacing w:before="0" w:after="283"/>
              <w:jc w:val="left"/>
              <w:rPr/>
            </w:pPr>
            <w:r>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of the Registrant’s Bylaws provides for indemnification by the Registrant of its directors, officers and employees to the fullest extent permitted by the Delaware General Corporation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Certificate of Incorporation provides for such limitation of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executive officers and directors that provide indemnification under certain circumstances for acts and omissions that may not be covered by any directors’ and officers’ liability insurance.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herewith is contained in the exhibit index that immediately precedes such exhibits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(1)(i), (1)(ii) and (1)(iii)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this registration statement, or is contained in a form of prospectus filed pursuant to Rule 424(b) that is a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(2)</w:t>
            </w:r>
          </w:p>
        </w:tc>
        <w:tc>
          <w:tcPr>
            <w:tcW w:w="9892" w:type="dxa"/>
            <w:tcBorders/>
            <w:vAlign w:val="center"/>
          </w:tcPr>
          <w:p>
            <w:pPr>
              <w:pStyle w:val="TableContents"/>
              <w:bidi w:val="0"/>
              <w:spacing w:before="0" w:after="283"/>
              <w:jc w:val="left"/>
              <w:rPr/>
            </w:pPr>
            <w:r>
              <w:rPr/>
              <w:t xml:space="preserve">That, for purposes of determining liability under the Securities Act of 1933,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w:t>
            </w:r>
          </w:p>
        </w:tc>
        <w:tc>
          <w:tcPr>
            <w:tcW w:w="9870"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this offering.</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290"/>
        <w:gridCol w:w="91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9110" w:type="dxa"/>
            <w:tcBorders/>
            <w:vAlign w:val="center"/>
          </w:tcPr>
          <w:p>
            <w:pPr>
              <w:pStyle w:val="TableContents"/>
              <w:bidi w:val="0"/>
              <w:spacing w:before="0" w:after="283"/>
              <w:jc w:val="left"/>
              <w:rPr/>
            </w:pPr>
            <w:r>
              <w:rPr/>
              <w:t>That for purposes of determining any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left"/>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left"/>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(5)</w:t>
            </w:r>
          </w:p>
        </w:tc>
        <w:tc>
          <w:tcPr>
            <w:tcW w:w="9866"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(i)</w:t>
            </w:r>
          </w:p>
        </w:tc>
        <w:tc>
          <w:tcPr>
            <w:tcW w:w="9920" w:type="dxa"/>
            <w:tcBorders/>
            <w:vAlign w:val="center"/>
          </w:tcPr>
          <w:p>
            <w:pPr>
              <w:pStyle w:val="TableContents"/>
              <w:bidi w:val="0"/>
              <w:spacing w:before="0" w:after="283"/>
              <w:jc w:val="left"/>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left"/>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left"/>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4"/>
        <w:gridCol w:w="9786"/>
      </w:tblGrid>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(iv)</w:t>
            </w:r>
          </w:p>
        </w:tc>
        <w:tc>
          <w:tcPr>
            <w:tcW w:w="9786"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left"/>
              <w:rPr/>
            </w:pPr>
            <w:r>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(7)</w:t>
            </w:r>
          </w:p>
        </w:tc>
        <w:tc>
          <w:tcPr>
            <w:tcW w:w="9909" w:type="dxa"/>
            <w:tcBorders/>
            <w:vAlign w:val="center"/>
          </w:tcPr>
          <w:p>
            <w:pPr>
              <w:pStyle w:val="TableContents"/>
              <w:bidi w:val="0"/>
              <w:spacing w:before="0" w:after="283"/>
              <w:jc w:val="left"/>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785"/>
        <w:gridCol w:w="60"/>
        <w:gridCol w:w="5798"/>
        <w:gridCol w:w="60"/>
        <w:gridCol w:w="590"/>
        <w:gridCol w:w="60"/>
        <w:gridCol w:w="856"/>
        <w:gridCol w:w="60"/>
        <w:gridCol w:w="716"/>
        <w:gridCol w:w="60"/>
        <w:gridCol w:w="1082"/>
        <w:gridCol w:w="78"/>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center"/>
              <w:rPr/>
            </w:pPr>
            <w:r>
              <w:rPr/>
              <w:t> </w:t>
            </w:r>
          </w:p>
        </w:tc>
        <w:tc>
          <w:tcPr>
            <w:tcW w:w="5798" w:type="dxa"/>
            <w:tcBorders>
              <w:bottom w:val="single" w:sz="12"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12" w:space="0" w:color="000000"/>
            </w:tcBorders>
            <w:vAlign w:val="center"/>
          </w:tcPr>
          <w:p>
            <w:pPr>
              <w:pStyle w:val="TableContents"/>
              <w:bidi w:val="0"/>
              <w:spacing w:before="0" w:after="283"/>
              <w:jc w:val="center"/>
              <w:rPr>
                <w:b/>
              </w:rPr>
            </w:pPr>
            <w:r>
              <w:rPr>
                <w:b/>
              </w:rPr>
              <w:t>Form</w:t>
            </w:r>
          </w:p>
        </w:tc>
        <w:tc>
          <w:tcPr>
            <w:tcW w:w="60" w:type="dxa"/>
            <w:tcBorders/>
            <w:tcMar>
              <w:bottom w:w="0" w:type="dxa"/>
            </w:tcMar>
            <w:vAlign w:val="center"/>
          </w:tcPr>
          <w:p>
            <w:pPr>
              <w:pStyle w:val="TableContents"/>
              <w:bidi w:val="0"/>
              <w:spacing w:before="0" w:after="283"/>
              <w:jc w:val="center"/>
              <w:rPr/>
            </w:pPr>
            <w:r>
              <w:rPr/>
              <w:t> </w:t>
            </w:r>
          </w:p>
        </w:tc>
        <w:tc>
          <w:tcPr>
            <w:tcW w:w="856" w:type="dxa"/>
            <w:tcBorders>
              <w:bottom w:val="single" w:sz="12"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center"/>
              <w:rPr/>
            </w:pPr>
            <w:r>
              <w:rPr/>
              <w:t> </w:t>
            </w:r>
          </w:p>
        </w:tc>
        <w:tc>
          <w:tcPr>
            <w:tcW w:w="716" w:type="dxa"/>
            <w:tcBorders>
              <w:bottom w:val="single" w:sz="12" w:space="0" w:color="000000"/>
            </w:tcBorders>
            <w:vAlign w:val="center"/>
          </w:tcPr>
          <w:p>
            <w:pPr>
              <w:pStyle w:val="TableContents"/>
              <w:bidi w:val="0"/>
              <w:spacing w:before="0" w:after="283"/>
              <w:jc w:val="center"/>
              <w:rPr>
                <w:b/>
              </w:rPr>
            </w:pPr>
            <w:r>
              <w:rPr>
                <w:b/>
              </w:rPr>
              <w:t>Filing Date</w:t>
            </w:r>
          </w:p>
        </w:tc>
        <w:tc>
          <w:tcPr>
            <w:tcW w:w="60" w:type="dxa"/>
            <w:tcBorders/>
            <w:tcMar>
              <w:bottom w:w="0" w:type="dxa"/>
            </w:tcMar>
            <w:vAlign w:val="center"/>
          </w:tcPr>
          <w:p>
            <w:pPr>
              <w:pStyle w:val="TableContents"/>
              <w:bidi w:val="0"/>
              <w:spacing w:before="0" w:after="283"/>
              <w:jc w:val="center"/>
              <w:rPr/>
            </w:pPr>
            <w:r>
              <w:rPr/>
              <w:t> </w:t>
            </w:r>
          </w:p>
        </w:tc>
        <w:tc>
          <w:tcPr>
            <w:tcW w:w="1082" w:type="dxa"/>
            <w:tcBorders>
              <w:bottom w:val="single" w:sz="12" w:space="0" w:color="000000"/>
            </w:tcBorders>
            <w:vAlign w:val="center"/>
          </w:tcPr>
          <w:p>
            <w:pPr>
              <w:pStyle w:val="TableContents"/>
              <w:bidi w:val="0"/>
              <w:spacing w:before="0" w:after="283"/>
              <w:jc w:val="center"/>
              <w:rPr>
                <w:b/>
              </w:rPr>
            </w:pPr>
            <w:r>
              <w:rPr>
                <w:b/>
              </w:rPr>
              <w:t>Filed Herewith</w:t>
            </w:r>
          </w:p>
        </w:tc>
        <w:tc>
          <w:tcPr>
            <w:tcW w:w="78" w:type="dxa"/>
            <w:tcBorders/>
            <w:tcMar>
              <w:bottom w:w="0" w:type="dxa"/>
            </w:tcMar>
            <w:vAlign w:val="center"/>
          </w:tcPr>
          <w:p>
            <w:pPr>
              <w:pStyle w:val="TableContents"/>
              <w:bidi w:val="0"/>
              <w:spacing w:before="0" w:after="283"/>
              <w:jc w:val="center"/>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r>
              <w:rPr/>
              <w:t>Form of Underwriting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1.2 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25">
              <w:r>
                <w:rPr>
                  <w:rStyle w:val="InternetLink"/>
                </w:rPr>
                <w:t>Sales Agreement between Oruka Therapeutics, Inc. and TD Securities (USA) LLC, dated October 3,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xml:space="preserve">S-3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xml:space="preserve">1.2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xml:space="preserve">10/3/2025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1-3.htm">
              <w:r>
                <w:rPr>
                  <w:rStyle w:val="InternetLink"/>
                </w:rPr>
                <w:t>Amendment No. 1 to the Sales Agreement between Oruka Therapeutics, Inc. and TD Securities (USA) LLC, dated August 21,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26">
              <w:r>
                <w:rPr>
                  <w:rStyle w:val="InternetLink"/>
                </w:rPr>
                <w:t>Agreement and Plan of Merger and Reorganization, dated as of April 3, 2024, by and among ARCA biopharma, Inc., Atlas Merger Sub Corp., Atlas Merger Sub II, LLC and Oruka Therapeutics,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4/3/2024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27">
              <w:r>
                <w:rPr>
                  <w:rStyle w:val="InternetLink"/>
                </w:rPr>
                <w:t>Second Amended and Restated Certificate of Incorporation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28">
              <w:r>
                <w:rPr>
                  <w:rStyle w:val="InternetLink"/>
                </w:rPr>
                <w:t>Amended and Restated Bylaws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29">
              <w:r>
                <w:rPr>
                  <w:rStyle w:val="InternetLink"/>
                </w:rPr>
                <w:t>Form of Certificate of Designation of Preferences, Rights and Limitations of Series A Convertible Preferred Stock</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S-1/A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5/24/2013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0">
              <w:r>
                <w:rPr>
                  <w:rStyle w:val="InternetLink"/>
                </w:rPr>
                <w:t>Certificate of Elimination of Series A Convertible Preferred Stock, dated August 29,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1">
              <w:r>
                <w:rPr>
                  <w:rStyle w:val="InternetLink"/>
                </w:rPr>
                <w:t>Certificate of Designation of Preferences, Rights and Limitations of Series B Non-Voting Convertible Preferred Stock</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2">
              <w:r>
                <w:rPr>
                  <w:rStyle w:val="InternetLink"/>
                </w:rPr>
                <w:t>Certificate of Designation of Preferences, Rights and Limitations of Series A Non-Voting Convertible Preferred Stock</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9/13/2024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3">
              <w:r>
                <w:rPr>
                  <w:rStyle w:val="InternetLink"/>
                </w:rPr>
                <w:t>Description of Securities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10-K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3/12/2026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4">
              <w:r>
                <w:rPr>
                  <w:rStyle w:val="InternetLink"/>
                </w:rPr>
                <w:t>Form of Pre-Funded Warrant, dated August 29,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10-K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3/6/2025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5">
              <w:r>
                <w:rPr>
                  <w:rStyle w:val="InternetLink"/>
                </w:rPr>
                <w:t>Form of Pre-Funded Warrant, dated September 13,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9/13/2024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6">
              <w:r>
                <w:rPr>
                  <w:rStyle w:val="InternetLink"/>
                </w:rPr>
                <w:t>Form of Pre-Funded Warrant, dated September 19,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9/22/2025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7">
              <w:r>
                <w:rPr>
                  <w:rStyle w:val="InternetLink"/>
                </w:rPr>
                <w:t>Paruka Warrant, dated December 31,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10-Q</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5/14/2025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r:id="rId38">
              <w:r>
                <w:rPr>
                  <w:rStyle w:val="InternetLink"/>
                </w:rPr>
                <w:t>Paruka Warrant, dated December 12,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10-K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3/12/2026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r>
              <w:rPr/>
              <w:t>Specimen Preferred Stock Certificate and Form of Certificate of Designation of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r>
              <w:rPr/>
              <w:t>Form of Warrant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r>
              <w:rPr/>
              <w:t>Form of Depositary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5-1.htm">
              <w:r>
                <w:rPr>
                  <w:rStyle w:val="InternetLink"/>
                </w:rPr>
                <w:t>Opinion of Davis Polk &amp; Wardwell LLP relating to the base prospectus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5-2.htm">
              <w:r>
                <w:rPr>
                  <w:rStyle w:val="InternetLink"/>
                </w:rPr>
                <w:t>Opinion of Davis Polk &amp; Wardwell LLP relating to the sales agreement prospectus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23-1.htm">
              <w:r>
                <w:rPr>
                  <w:rStyle w:val="InternetLink"/>
                </w:rPr>
                <w:t>Consent of PricewaterhouseCoopers LLP, independent registered public accounting firm</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23.2 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5-1.htm">
              <w:r>
                <w:rPr>
                  <w:rStyle w:val="InternetLink"/>
                </w:rPr>
                <w:t>Consent of Davis Polk &amp; Wardwell LLP (included in Exhibit 5.1)</w:t>
              </w:r>
            </w:hyperlink>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23.3 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5-2.htm">
              <w:r>
                <w:rPr>
                  <w:rStyle w:val="InternetLink"/>
                </w:rPr>
                <w:t>Consent of Davis Polk &amp; Wardwell LLP (included in Exhibit 5.2)</w:t>
              </w:r>
            </w:hyperlink>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24.1 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toc">
              <w:r>
                <w:rPr>
                  <w:rStyle w:val="InternetLink"/>
                </w:rPr>
                <w:t>Power of Attorney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center"/>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98" w:type="dxa"/>
            <w:tcBorders/>
            <w:shd w:fill="CCEEFF" w:val="clear"/>
            <w:tcMar>
              <w:bottom w:w="0" w:type="dxa"/>
            </w:tcMar>
            <w:vAlign w:val="center"/>
          </w:tcPr>
          <w:p>
            <w:pPr>
              <w:pStyle w:val="TableContents"/>
              <w:bidi w:val="0"/>
              <w:spacing w:before="0" w:after="283"/>
              <w:jc w:val="left"/>
              <w:rPr/>
            </w:pPr>
            <w:hyperlink w:anchor="ea030104101ex-fee.htm">
              <w:r>
                <w:rPr>
                  <w:rStyle w:val="InternetLink"/>
                </w:rPr>
                <w:t>Filing Fee Table</w:t>
              </w:r>
            </w:hyperlink>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center"/>
              <w:rPr/>
            </w:pPr>
            <w:r>
              <w:rPr/>
              <w:t>X</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To be filed by amendment or as an exhibit to a Current Report on Form 8-K and incorporated herein by reference,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City of Menlo Park, State of California, on August 21, 2026.</w:t>
      </w:r>
    </w:p>
    <w:p>
      <w:pPr>
        <w:pStyle w:val="TextBody"/>
        <w:bidi w:val="0"/>
        <w:spacing w:before="0" w:after="0"/>
        <w:ind w:left="0" w:right="0" w:firstLine="360"/>
        <w:jc w:val="left"/>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75"/>
        <w:gridCol w:w="365"/>
        <w:gridCol w:w="770"/>
        <w:gridCol w:w="2300"/>
      </w:tblGrid>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pPr>
            <w:r>
              <w:rPr/>
              <w:t>ORUKA THERAPEUTICS, INC.</w:t>
            </w:r>
          </w:p>
        </w:tc>
      </w:tr>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70" w:type="dxa"/>
            <w:gridSpan w:val="2"/>
            <w:tcBorders>
              <w:bottom w:val="single" w:sz="12" w:space="0" w:color="000000"/>
            </w:tcBorders>
            <w:tcMar>
              <w:bottom w:w="28" w:type="dxa"/>
            </w:tcMar>
            <w:vAlign w:val="center"/>
          </w:tcPr>
          <w:p>
            <w:pPr>
              <w:pStyle w:val="TableContents"/>
              <w:bidi w:val="0"/>
              <w:spacing w:before="0" w:after="283"/>
              <w:jc w:val="left"/>
              <w:rPr/>
            </w:pPr>
            <w:r>
              <w:rPr/>
              <w:t>/s/ Lawrence Klein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300" w:type="dxa"/>
            <w:tcBorders/>
            <w:vAlign w:val="center"/>
          </w:tcPr>
          <w:p>
            <w:pPr>
              <w:pStyle w:val="TableContents"/>
              <w:bidi w:val="0"/>
              <w:spacing w:before="0" w:after="283"/>
              <w:jc w:val="left"/>
              <w:rPr/>
            </w:pPr>
            <w:r>
              <w:rPr/>
              <w:t>Lawrence Klein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oc"/>
      <w:bookmarkEnd w:id="27"/>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to this registration statement appears below hereby constitutes and appoints each of Dr. Lawrence Klein and Mr. Arjun Agarwal and each or any one of them, as such person’s true and lawful attorney-in-fact and agent, with full power of substitution and resubstitution, for such person and in such person’s name, place and stead, in any and all capacities, to sign any and all amendments to the registration statement,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each said attorney-in-fact and agents or any of them, or their substitutes,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1730"/>
        <w:gridCol w:w="60"/>
        <w:gridCol w:w="4910"/>
        <w:gridCol w:w="60"/>
        <w:gridCol w:w="1430"/>
      </w:tblGrid>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Lawrence Klein</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&amp; Director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Lawrence Klein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Arjun Agarwal</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Senior Vice President, Finance and Treasurer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Arjun Agarwal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 &amp; Principal Accounting Officer)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Samarth Kulkarni</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Samarth Kulkarni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Kristine Ball</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Kristine Ball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Carl Dambkowski</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Carl Dambkowski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Peter Harwin</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Peter Harwin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 Martin</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21, 2026 </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 Martin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firstLine="360"/>
        <w:jc w:val="right"/>
        <w:rPr>
          <w:rFonts w:ascii="Times New Roman;Times;Serif" w:hAnsi="Times New Roman;Times;Serif"/>
          <w:b/>
          <w:i w:val="false"/>
          <w:caps w:val="false"/>
          <w:smallCaps w:val="false"/>
          <w:sz w:val="20"/>
        </w:rPr>
      </w:pPr>
      <w:bookmarkStart w:id="28" w:name="ea030104101ex1-3.htm"/>
      <w:bookmarkStart w:id="29" w:name="ksea030104101ex13"/>
      <w:bookmarkEnd w:id="28"/>
      <w:bookmarkEnd w:id="29"/>
      <w:r>
        <w:rPr>
          <w:rFonts w:ascii="Times New Roman;Times;Serif" w:hAnsi="Times New Roman;Times;Serif"/>
          <w:b/>
          <w:i w:val="false"/>
          <w:caps w:val="false"/>
          <w:smallCaps w:val="false"/>
          <w:sz w:val="20"/>
        </w:rPr>
        <w:t>Exhibit 1.3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r>
      <w:r>
        <w:rPr>
          <w:rFonts w:ascii="Times New Roman;Times;Serif" w:hAnsi="Times New Roman;Times;Serif"/>
          <w:b/>
          <w:i w:val="false"/>
          <w:caps w:val="false"/>
          <w:smallCaps w:val="false"/>
          <w:sz w:val="20"/>
          <w:u w:val="single"/>
        </w:rPr>
        <w:t>AMENDMENT NO. 1 TO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TD Securities (USA) LLC (“</w:t>
      </w:r>
      <w:r>
        <w:rPr>
          <w:rFonts w:ascii="Times New Roman;Times;Serif" w:hAnsi="Times New Roman;Times;Serif"/>
          <w:b/>
          <w:i w:val="false"/>
          <w:caps w:val="false"/>
          <w:smallCaps w:val="false"/>
          <w:sz w:val="20"/>
          <w:u w:val="single"/>
        </w:rPr>
        <w:t>TD Cowen</w:t>
      </w:r>
      <w:r>
        <w:rPr>
          <w:rFonts w:ascii="Times New Roman;Times;Serif" w:hAnsi="Times New Roman;Times;Serif"/>
          <w:b w:val="false"/>
          <w:i w:val="false"/>
          <w:caps w:val="false"/>
          <w:smallCaps w:val="false"/>
          <w:sz w:val="20"/>
        </w:rPr>
        <w:t>”), are parties to that certain Sales Agreement dated October 3, 2025 (the “</w:t>
      </w:r>
      <w:r>
        <w:rPr>
          <w:rFonts w:ascii="Times New Roman;Times;Serif" w:hAnsi="Times New Roman;Times;Serif"/>
          <w:b/>
          <w:i w:val="false"/>
          <w:caps w:val="false"/>
          <w:smallCaps w:val="false"/>
          <w:sz w:val="20"/>
          <w:u w:val="single"/>
        </w:rPr>
        <w:t>Original Agreement</w:t>
      </w:r>
      <w:r>
        <w:rPr>
          <w:rFonts w:ascii="Times New Roman;Times;Serif" w:hAnsi="Times New Roman;Times;Serif"/>
          <w:b w:val="false"/>
          <w:i w:val="false"/>
          <w:caps w:val="false"/>
          <w:smallCaps w:val="false"/>
          <w:sz w:val="20"/>
        </w:rPr>
        <w:t>”). All capitalized terms not defined herein shall have the meanings ascribed to them in the Original Agreement. The Company and TD Cowen desire to amend the Original Agreement as set forth in this Amendment No. 1 thereto (this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 by TD Cowen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is hereby amended and restated in its entirety to read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offering price the lesser of (a) the number or dollar amount of Common Stock registered under the effective Registration Statement (defined below) pursuant to which the offering is being made, (b) the number of authorized but unissued Common Stock (less Common Stock issuable upon exercise, conversion or exchange of any outstanding securities of the Company or otherwise reserved from the Company’s authorized capital stock), (c) the number or dollar amount of Common Stock permitted to be sold under Form S-3 (including General Instruction I.B.6 thereof, if applicable), or (d) the number or dollar amount of Common Shares for which the Company has filed a Prospectus (defined below) the “</w:t>
      </w:r>
      <w:r>
        <w:rPr>
          <w:rFonts w:ascii="Times New Roman;Times;Serif" w:hAnsi="Times New Roman;Times;Serif"/>
          <w:b/>
          <w:i w:val="false"/>
          <w:caps w:val="false"/>
          <w:smallCaps w:val="false"/>
          <w:sz w:val="20"/>
          <w:u w:val="single"/>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 set forth in this Section 1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specifically relating to the Placement Shares (the “</w:t>
      </w:r>
      <w:r>
        <w:rPr>
          <w:rFonts w:ascii="Times New Roman;Times;Serif" w:hAnsi="Times New Roman;Times;Serif"/>
          <w:b/>
          <w:i w:val="false"/>
          <w:caps w:val="false"/>
          <w:smallCaps w:val="false"/>
          <w:sz w:val="20"/>
          <w:u w:val="single"/>
        </w:rPr>
        <w:t>ATM Prospectus</w:t>
      </w:r>
      <w:r>
        <w:rPr>
          <w:rFonts w:ascii="Times New Roman;Times;Serif" w:hAnsi="Times New Roman;Times;Serif"/>
          <w:b w:val="false"/>
          <w:i w:val="false"/>
          <w:caps w:val="false"/>
          <w:smallCaps w:val="false"/>
          <w:sz w:val="20"/>
        </w:rPr>
        <w:t>”) to the base prospectus included as part of such registration statement, and shall, if necessary, prepare a prospectus supplement specifically relating to the Placement Shares (the “</w:t>
      </w:r>
      <w:r>
        <w:rPr>
          <w:rFonts w:ascii="Times New Roman;Times;Serif" w:hAnsi="Times New Roman;Times;Serif"/>
          <w:b/>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shall furnish to TD Cowen, for use by TD Cowen, copies of the prospectus included as part of such registration statement, as supplemented by the Prospectus Supplement, if any, relating to the Placement Shares. The Company may file one or more additional registration statements from time to time that will contain a base prospectus and related prospectus or prospectus supplement, if applicable with respect to the Placement Shares. Except where the context otherwise requires, such registration statement, and any post-effective amendment thereto, as amended when it became or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Any registration statement and amendments thereto filed pursuant to Rule 462(b) of the Securities Act and relating to the offering covered by the Registration Statement is herein called a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and, after such filing, the “Registration Statement” shall include any Rule 462(b) Registration Statement.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relating to the Placement Shares that (i) is consented to by TD Cowen, hereinafter referred to as a “</w:t>
      </w:r>
      <w:r>
        <w:rPr>
          <w:rFonts w:ascii="Times New Roman;Times;Serif" w:hAnsi="Times New Roman;Times;Serif"/>
          <w:b/>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The Company’s obligations under this Agreement to furnish, provide, deliver or make available (and all other similar references) copies of any document shall be deemed satisfied if the same is filed with the Commission through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All references in the Original Agreement to the “Agreement” shall mean the Original Agreement as amended by this Amendment;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all references to “date of this Agreement” in the Original Agreement shall continue to refer to the date of the Original Agreement, unless amended otherwise herein and except with respect to the first paragraph of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where references to the “date of this Agreement” in the Original Agreement shall refer to each of the date of the Original Agreement and the date of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 Heading</w:t>
      </w:r>
      <w:r>
        <w:rPr>
          <w:rFonts w:ascii="Times New Roman;Times;Serif" w:hAnsi="Times New Roman;Times;Serif"/>
          <w:b w:val="false"/>
          <w:i w:val="false"/>
          <w:caps w:val="false"/>
          <w:smallCaps w:val="false"/>
          <w:sz w:val="20"/>
        </w:rPr>
        <w:t>. The reference to “$200,000,000” in the heading of the Original Agreement shall be removed.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Original Agreement Remains in Effect</w:t>
      </w:r>
      <w:r>
        <w:rPr>
          <w:rFonts w:ascii="Times New Roman;Times;Serif" w:hAnsi="Times New Roman;Times;Serif"/>
          <w:b w:val="false"/>
          <w:i w:val="false"/>
          <w:caps w:val="false"/>
          <w:smallCaps w:val="false"/>
          <w:sz w:val="20"/>
        </w:rPr>
        <w:t>. Except as specifically set forth herein, all other provisions of the Original Agreement shall remain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together with the Original Agreement (including all schedules and exhibits attached hereto and thereto),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or more counterparts, each of which shall be deemed an original, but all of which together shall constitute one and the same instrument. Delivery of an executed Amendment by one party to the other may be made by facsimile transmission or other electronic transmission (including portable document format (PDF) or any electronic signature complying with the U.S. federal ESIGN Act of 2000, Uniform Electronic Transactions Act, the Electronic Signatures and Records Act or other applicable law, e.g., www.docusign.com).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TD Cowen, please so indicate in the space provided below for that purpose, whereupon this Amendment shall constitute a binding agreement between the Company and TD Cowen.</w:t>
      </w:r>
    </w:p>
    <w:p>
      <w:pPr>
        <w:pStyle w:val="TextBody"/>
        <w:bidi w:val="0"/>
        <w:spacing w:before="0" w:after="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TD SECURITIES (USA) LLC</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pPr>
            <w:r>
              <w:rPr/>
              <w:t>/s/ Michael Murphy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pPr>
            <w:r>
              <w:rPr/>
              <w:t>Michael Murphy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ACCEPTED as of the date</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first-above written:</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sz w:val="20"/>
              </w:rPr>
            </w:pPr>
            <w:r>
              <w:rPr>
                <w:sz w:val="20"/>
              </w:rPr>
              <w:t>For and on behalf of</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ORUKA THERAPEUTICS, INC.</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Klein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3095" w:type="dxa"/>
            <w:tcBorders/>
            <w:vAlign w:val="center"/>
          </w:tcPr>
          <w:p>
            <w:pPr>
              <w:pStyle w:val="TableContents"/>
              <w:bidi w:val="0"/>
              <w:spacing w:before="0" w:after="283"/>
              <w:jc w:val="left"/>
              <w:rPr/>
            </w:pPr>
            <w:r>
              <w:rPr/>
              <w:t>Lawrence Klein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Sales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30104101ex5-1.htm"/>
      <w:bookmarkStart w:id="31" w:name="ksea030104101ex51"/>
      <w:bookmarkEnd w:id="30"/>
      <w:bookmarkEnd w:id="31"/>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1650"/>
        <w:gridCol w:w="2270"/>
        <w:gridCol w:w="60"/>
        <w:gridCol w:w="75"/>
      </w:tblGrid>
      <w:tr>
        <w:trPr/>
        <w:tc>
          <w:tcPr>
            <w:tcW w:w="1650" w:type="dxa"/>
            <w:tcBorders/>
            <w:vAlign w:val="center"/>
          </w:tcPr>
          <w:p>
            <w:pPr>
              <w:pStyle w:val="TableContents"/>
              <w:bidi w:val="0"/>
              <w:spacing w:before="0" w:after="283"/>
              <w:jc w:val="left"/>
              <w:rPr/>
            </w:pPr>
            <w:r>
              <w:rPr/>
              <w:drawing>
                <wp:inline distT="0" distB="0" distL="0" distR="0">
                  <wp:extent cx="10001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9"/>
                          <a:stretch>
                            <a:fillRect/>
                          </a:stretch>
                        </pic:blipFill>
                        <pic:spPr bwMode="auto">
                          <a:xfrm>
                            <a:off x="0" y="0"/>
                            <a:ext cx="1000125" cy="190500"/>
                          </a:xfrm>
                          <a:prstGeom prst="rect">
                            <a:avLst/>
                          </a:prstGeom>
                        </pic:spPr>
                      </pic:pic>
                    </a:graphicData>
                  </a:graphic>
                </wp:inline>
              </w:drawing>
            </w:r>
            <w:r>
              <w:rPr/>
              <w:t> </w:t>
            </w:r>
          </w:p>
        </w:tc>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Polk &amp; Wardwell </w:t>
            </w:r>
            <w:r>
              <w:rPr>
                <w:rFonts w:ascii="Times New Roman;Times;Serif" w:hAnsi="Times New Roman;Times;Serif"/>
                <w:b w:val="false"/>
                <w:i w:val="false"/>
                <w:smallCaps/>
                <w:sz w:val="20"/>
              </w:rPr>
              <w:t>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Middlefield Road</w:t>
              <w:br/>
              <w:t>Redwood City, CA 94063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davispolk.com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caps/>
              </w:rPr>
            </w:pPr>
            <w:r>
              <w:rPr>
                <w:caps/>
              </w:rPr>
              <w:t> </w:t>
            </w:r>
          </w:p>
        </w:tc>
      </w:tr>
    </w:tbl>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2825"/>
      </w:tblGrid>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Oruka Therapeutics, Inc. </w:t>
              <w:br/>
              <w:t>855 Oak Grove Avenue, Suite 100</w:t>
              <w:br/>
              <w:t>Menlo Park, CA 94025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filing with the Securities and Exchange Commission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purpose of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  shares of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(b ) shares of preferred stock, par value $0.001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of the Company; (c) warrants of the Company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may be issued under one or more warrant agreements (each, a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to be entered into between the Company, investors, and/or the warrant agent to be named therein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and (d) depositary shares representing fractional interests in shares or multiple shares of the Preferred Stock (the “</w:t>
      </w:r>
      <w:r>
        <w:rPr>
          <w:rFonts w:ascii="Times New Roman;Times;Serif" w:hAnsi="Times New Roman;Times;Serif"/>
          <w:b/>
          <w:i w:val="false"/>
          <w:caps w:val="false"/>
          <w:smallCaps w:val="false"/>
          <w:sz w:val="20"/>
        </w:rPr>
        <w:t>Depositary Shares</w:t>
      </w:r>
      <w:r>
        <w:rPr>
          <w:rFonts w:ascii="Times New Roman;Times;Serif" w:hAnsi="Times New Roman;Times;Serif"/>
          <w:b w:val="false"/>
          <w:i w:val="false"/>
          <w:caps w:val="false"/>
          <w:smallCaps w:val="false"/>
          <w:sz w:val="20"/>
        </w:rPr>
        <w:t>”), which may be issued under one or more preferred stock depositary agreements (each, a “</w:t>
      </w:r>
      <w:r>
        <w:rPr>
          <w:rFonts w:ascii="Times New Roman;Times;Serif" w:hAnsi="Times New Roman;Times;Serif"/>
          <w:b/>
          <w:i w:val="false"/>
          <w:caps w:val="false"/>
          <w:smallCaps w:val="false"/>
          <w:sz w:val="20"/>
        </w:rPr>
        <w:t>Depositary Agreement</w:t>
      </w:r>
      <w:r>
        <w:rPr>
          <w:rFonts w:ascii="Times New Roman;Times;Serif" w:hAnsi="Times New Roman;Times;Serif"/>
          <w:b w:val="false"/>
          <w:i w:val="false"/>
          <w:caps w:val="false"/>
          <w:smallCaps w:val="false"/>
          <w:sz w:val="20"/>
        </w:rPr>
        <w:t>”) to be entered into between the Company and the preferred stock depositary to be named therein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assumptions and qualifications set forth below, we advise you that, in our opinion:</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Times New Roman;Times;Serif" w:hAnsi="Times New Roman;Times;Serif"/>
                <w:b/>
                <w:i w:val="false"/>
                <w:caps w:val="false"/>
                <w:smallCaps w:val="false"/>
                <w:sz w:val="20"/>
              </w:rPr>
              <w:t>Offered Security</w:t>
            </w:r>
            <w:r>
              <w:rPr>
                <w:rFonts w:ascii="Times New Roman;Times;Serif" w:hAnsi="Times New Roman;Times;Serif"/>
                <w:b w:val="false"/>
                <w:i w:val="false"/>
                <w:caps w:val="false"/>
                <w:smallCaps w:val="false"/>
                <w:sz w:val="20"/>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1650"/>
        <w:gridCol w:w="2000"/>
        <w:gridCol w:w="60"/>
        <w:gridCol w:w="75"/>
      </w:tblGrid>
      <w:tr>
        <w:trPr/>
        <w:tc>
          <w:tcPr>
            <w:tcW w:w="1650" w:type="dxa"/>
            <w:tcBorders/>
            <w:vAlign w:val="center"/>
          </w:tcPr>
          <w:p>
            <w:pPr>
              <w:pStyle w:val="TableContents"/>
              <w:bidi w:val="0"/>
              <w:spacing w:before="0" w:after="283"/>
              <w:jc w:val="left"/>
              <w:rPr/>
            </w:pPr>
            <w:r>
              <w:rPr/>
              <w:drawing>
                <wp:inline distT="0" distB="0" distL="0" distR="0">
                  <wp:extent cx="1000125"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0"/>
                          <a:stretch>
                            <a:fillRect/>
                          </a:stretch>
                        </pic:blipFill>
                        <pic:spPr bwMode="auto">
                          <a:xfrm>
                            <a:off x="0" y="0"/>
                            <a:ext cx="1000125" cy="190500"/>
                          </a:xfrm>
                          <a:prstGeom prst="rect">
                            <a:avLst/>
                          </a:prstGeom>
                        </pic:spPr>
                      </pic:pic>
                    </a:graphicData>
                  </a:graphic>
                </wp:inline>
              </w:drawing>
            </w:r>
            <w:r>
              <w:rPr/>
              <w:t> </w:t>
            </w:r>
          </w:p>
        </w:tc>
        <w:tc>
          <w:tcPr>
            <w:tcW w:w="20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caps/>
              </w:rPr>
            </w:pPr>
            <w:r>
              <w:rPr>
                <w:caps/>
              </w:rPr>
              <w:t> </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Warrant Agreement to be entered into in connection with the issuance of any Warrants has been duly authorized, executed and delivered by the Company, the investor(s) and/or the Warrant Agent;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Depositary Agreement to be entered into in connection with the issuance of any Depositary Shares has been duly authorized, executed and delivered by the Depositary and the Company; the specific terms of the Depositary Shares have been duly authorized and established in accordance with the Depositary Agreement; and such Depositary Shares have been duly authorized, executed, issued and delivered in accordance with the Depositary Agreement and the applicable underwriting or other agreement against payment therefor, such Depositary Shares will constitute legal and valid interests in the corresponding shares of Preferred Stock, subject to applicable bankruptcy, insolvency and similar laws affecting creditors’ rights generally, concepts of reasonableness and equitable principles of general applicability.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is and shall remain, validly existing as a corporation in good standing under the laws of the State of Delaware; (iii) the Registration Statement shall have been declared effective and such effectiveness shall not have been terminated or rescinded; and (iv) the Warrant Agreement and the Depositary Agreement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any Warrant Agreement will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Bars of the State of New York and California and the foregoing opinion is limited to the laws of the State of New York and the General Corporation Law of the State of Delaware,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 </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28" w:type="dxa"/>
          <w:left w:w="0" w:type="dxa"/>
          <w:bottom w:w="0" w:type="dxa"/>
          <w:right w:w="0" w:type="dxa"/>
        </w:tblCellMar>
      </w:tblPr>
      <w:tblGrid>
        <w:gridCol w:w="1385"/>
        <w:gridCol w:w="140"/>
      </w:tblGrid>
      <w:tr>
        <w:trPr/>
        <w:tc>
          <w:tcPr>
            <w:tcW w:w="1385" w:type="dxa"/>
            <w:tcBorders>
              <w:top w:val="single" w:sz="12" w:space="0" w:color="000000"/>
            </w:tcBorders>
            <w:vAlign w:val="center"/>
          </w:tcPr>
          <w:p>
            <w:pPr>
              <w:pStyle w:val="TableContents"/>
              <w:bidi w:val="0"/>
              <w:spacing w:before="0" w:after="283"/>
              <w:jc w:val="left"/>
              <w:rPr>
                <w:sz w:val="20"/>
              </w:rPr>
            </w:pPr>
            <w:r>
              <w:rPr>
                <w:sz w:val="20"/>
              </w:rPr>
              <w:t>August 21, 2026</w:t>
            </w:r>
          </w:p>
        </w:tc>
        <w:tc>
          <w:tcPr>
            <w:tcW w:w="140" w:type="dxa"/>
            <w:tcBorders>
              <w:top w:val="single" w:sz="12" w:space="0" w:color="000000"/>
            </w:tcBorders>
            <w:vAlign w:val="center"/>
          </w:tcPr>
          <w:p>
            <w:pPr>
              <w:pStyle w:val="TableContents"/>
              <w:bidi w:val="0"/>
              <w:spacing w:before="0" w:after="283"/>
              <w:jc w:val="right"/>
              <w:rPr>
                <w:sz w:val="20"/>
              </w:rPr>
            </w:pPr>
            <w:r>
              <w:rPr>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30104101ex5-2.htm"/>
      <w:bookmarkStart w:id="33" w:name="ksea030104101ex52"/>
      <w:bookmarkEnd w:id="32"/>
      <w:bookmarkEnd w:id="33"/>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1590"/>
        <w:gridCol w:w="2270"/>
        <w:gridCol w:w="60"/>
        <w:gridCol w:w="75"/>
      </w:tblGrid>
      <w:tr>
        <w:trPr/>
        <w:tc>
          <w:tcPr>
            <w:tcW w:w="1590" w:type="dxa"/>
            <w:tcBorders/>
            <w:vAlign w:val="center"/>
          </w:tcPr>
          <w:p>
            <w:pPr>
              <w:pStyle w:val="TableContents"/>
              <w:bidi w:val="0"/>
              <w:spacing w:before="0" w:after="283"/>
              <w:jc w:val="left"/>
              <w:rPr/>
            </w:pPr>
            <w:r>
              <w:rPr/>
              <w:drawing>
                <wp:inline distT="0" distB="0" distL="0" distR="0">
                  <wp:extent cx="100012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1"/>
                          <a:stretch>
                            <a:fillRect/>
                          </a:stretch>
                        </pic:blipFill>
                        <pic:spPr bwMode="auto">
                          <a:xfrm>
                            <a:off x="0" y="0"/>
                            <a:ext cx="1000125" cy="190500"/>
                          </a:xfrm>
                          <a:prstGeom prst="rect">
                            <a:avLst/>
                          </a:prstGeom>
                        </pic:spPr>
                      </pic:pic>
                    </a:graphicData>
                  </a:graphic>
                </wp:inline>
              </w:drawing>
            </w:r>
          </w:p>
        </w:tc>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caps/>
              </w:rPr>
            </w:pPr>
            <w:r>
              <w:rPr>
                <w:caps/>
              </w:rPr>
              <w:t> </w:t>
            </w:r>
          </w:p>
        </w:tc>
      </w:tr>
      <w:tr>
        <w:trPr/>
        <w:tc>
          <w:tcPr>
            <w:tcW w:w="159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Polk &amp; Wardwell </w:t>
            </w:r>
            <w:r>
              <w:rPr>
                <w:rFonts w:ascii="Times New Roman;Times;Serif" w:hAnsi="Times New Roman;Times;Serif"/>
                <w:b w:val="false"/>
                <w:i w:val="false"/>
                <w:smallCaps/>
                <w:sz w:val="20"/>
              </w:rPr>
              <w:t>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Middlefield Road</w:t>
              <w:br/>
              <w:t>Redwood City, CA 94063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davispolk.com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caps/>
              </w:rPr>
            </w:pPr>
            <w:r>
              <w:rPr>
                <w:caps/>
              </w:rPr>
              <w:t> </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left"/>
              <w:rPr>
                <w:sz w:val="20"/>
              </w:rPr>
            </w:pPr>
            <w:r>
              <w:rPr>
                <w:sz w:val="20"/>
              </w:rPr>
              <w:t>August 21, 2026</w:t>
            </w:r>
          </w:p>
        </w:tc>
      </w:tr>
      <w:tr>
        <w:trPr/>
        <w:tc>
          <w:tcPr>
            <w:tcW w:w="14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br/>
        <w:t>855 Oak Grove Avenue, Suite 100</w:t>
        <w:br/>
        <w:t>Menlo Park, CA 94025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Oruka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(i)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on August 21, 2026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pursuant to the Securities Act of 1933 and (ii) the prospectus supplement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of the Company, filed with the Commission on August 21, 2026, relating to the issuance and sale by the Company of shares of the Company’s common stock, par value $0.001 per share, having an aggregate offering price of up to $500,000,000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in accordance with that certain sales agreement, dated as of October 3, 2025, as amended by Amendment No. 1 to the Sales Agreement, dated as of August 21, 2026 between the Company and TD Securities (USA) LLC as agent (as amended,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to be sold by the Company have been duly authorized and, assuming the terms of any sales of Shares pursuant to the Sales Agreement are approved by the Company’s board of directors or a properly constituted and authorized committee thereof (or any of them delegates such approval to officers and such terms are approved by such officers), when issued and delivered by the Company and paid for (which consideration is not less than the par value of the common stock) pursuant to the Sales Agreement,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 expressed above, we have assumed that the Company is validly existing as a corporation in good standing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1650"/>
        <w:gridCol w:w="2000"/>
        <w:gridCol w:w="60"/>
        <w:gridCol w:w="75"/>
      </w:tblGrid>
      <w:tr>
        <w:trPr/>
        <w:tc>
          <w:tcPr>
            <w:tcW w:w="1650" w:type="dxa"/>
            <w:tcBorders/>
            <w:vAlign w:val="center"/>
          </w:tcPr>
          <w:p>
            <w:pPr>
              <w:pStyle w:val="TableContents"/>
              <w:bidi w:val="0"/>
              <w:spacing w:before="0" w:after="283"/>
              <w:jc w:val="left"/>
              <w:rPr/>
            </w:pPr>
            <w:r>
              <w:rPr/>
              <w:t> </w:t>
            </w:r>
            <w:r>
              <w:rPr/>
              <w:drawing>
                <wp:inline distT="0" distB="0" distL="0" distR="0">
                  <wp:extent cx="1000125"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2"/>
                          <a:stretch>
                            <a:fillRect/>
                          </a:stretch>
                        </pic:blipFill>
                        <pic:spPr bwMode="auto">
                          <a:xfrm>
                            <a:off x="0" y="0"/>
                            <a:ext cx="1000125" cy="190500"/>
                          </a:xfrm>
                          <a:prstGeom prst="rect">
                            <a:avLst/>
                          </a:prstGeom>
                        </pic:spPr>
                      </pic:pic>
                    </a:graphicData>
                  </a:graphic>
                </wp:inline>
              </w:drawing>
            </w:r>
          </w:p>
        </w:tc>
        <w:tc>
          <w:tcPr>
            <w:tcW w:w="20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caps/>
              </w:rPr>
            </w:pPr>
            <w:r>
              <w:rPr>
                <w: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Bars of the State of New York and California, and the foregoing opinion is limited to the laws of the State of New York and the General Corporation Law of the State of Delaware, except that we express no opinion as to (i) any law, rule or regulation that is applicable to the Company, the Sales Agreement, the Shares or such transactions solely because such law, rule or regulation is part of a regulatory regime applicable to any party to the Sales Agreement or any of its affiliates due to the specific assets or business of such party or such affiliate or (ii) any law, rule or regulation relating to national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28" w:type="dxa"/>
          <w:left w:w="0" w:type="dxa"/>
          <w:bottom w:w="0" w:type="dxa"/>
          <w:right w:w="0" w:type="dxa"/>
        </w:tblCellMar>
      </w:tblPr>
      <w:tblGrid>
        <w:gridCol w:w="1385"/>
        <w:gridCol w:w="140"/>
      </w:tblGrid>
      <w:tr>
        <w:trPr/>
        <w:tc>
          <w:tcPr>
            <w:tcW w:w="1385" w:type="dxa"/>
            <w:tcBorders>
              <w:top w:val="single" w:sz="12" w:space="0" w:color="000000"/>
            </w:tcBorders>
            <w:vAlign w:val="center"/>
          </w:tcPr>
          <w:p>
            <w:pPr>
              <w:pStyle w:val="TableContents"/>
              <w:bidi w:val="0"/>
              <w:spacing w:before="0" w:after="283"/>
              <w:jc w:val="left"/>
              <w:rPr>
                <w:sz w:val="20"/>
              </w:rPr>
            </w:pPr>
            <w:r>
              <w:rPr>
                <w:sz w:val="20"/>
              </w:rPr>
              <w:t>August 21, 2026</w:t>
            </w:r>
          </w:p>
        </w:tc>
        <w:tc>
          <w:tcPr>
            <w:tcW w:w="140" w:type="dxa"/>
            <w:tcBorders>
              <w:top w:val="single" w:sz="12" w:space="0" w:color="000000"/>
            </w:tcBorders>
            <w:vAlign w:val="center"/>
          </w:tcPr>
          <w:p>
            <w:pPr>
              <w:pStyle w:val="TableContents"/>
              <w:bidi w:val="0"/>
              <w:spacing w:before="0" w:after="283"/>
              <w:jc w:val="right"/>
              <w:rPr>
                <w:sz w:val="20"/>
              </w:rPr>
            </w:pPr>
            <w:r>
              <w:rPr>
                <w:sz w:val="20"/>
              </w:rPr>
              <w:t>2</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30104101ex23-1.htm"/>
      <w:bookmarkStart w:id="35" w:name="ksea030104101ex231"/>
      <w:bookmarkEnd w:id="34"/>
      <w:bookmarkEnd w:id="3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Oruka Therapeutics, Inc. of our report dated March 12, 2026 relating to the financial statements, which appears in Oruka Therapeutics, Inc.'s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Boston, Massachusetts</w:t>
        <w:br/>
        <w:t>August 21, 2026</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ea030104101ex-fee.htm"/>
      <w:bookmarkStart w:id="37" w:name="ksea030104101exfee"/>
      <w:bookmarkStart w:id="38" w:name="ea030104101ex-fee.htm"/>
      <w:bookmarkStart w:id="39" w:name="ksea030104101exfee"/>
      <w:bookmarkEnd w:id="38"/>
      <w:bookmarkEnd w:id="39"/>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Oruka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89" w:type="dxa"/>
        <w:jc w:val="left"/>
        <w:tblInd w:w="0" w:type="dxa"/>
        <w:tblLayout w:type="fixed"/>
        <w:tblCellMar>
          <w:top w:w="28" w:type="dxa"/>
          <w:left w:w="28" w:type="dxa"/>
          <w:bottom w:w="28" w:type="dxa"/>
          <w:right w:w="28" w:type="dxa"/>
        </w:tblCellMar>
      </w:tblPr>
      <w:tblGrid>
        <w:gridCol w:w="1126"/>
        <w:gridCol w:w="226"/>
        <w:gridCol w:w="1246"/>
        <w:gridCol w:w="1246"/>
        <w:gridCol w:w="1276"/>
        <w:gridCol w:w="1186"/>
        <w:gridCol w:w="1156"/>
        <w:gridCol w:w="19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$ 365,029,333.98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$ 50,410.55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333-290718 </w:t>
            </w:r>
          </w:p>
        </w:tc>
        <w:tc>
          <w:tcPr>
            <w:tcW w:w="1021" w:type="dxa"/>
            <w:tcBorders/>
            <w:shd w:fill="E7E7E2" w:val="clear"/>
            <w:vAlign w:val="center"/>
          </w:tcPr>
          <w:p>
            <w:pPr>
              <w:pStyle w:val="TableContents"/>
              <w:bidi w:val="0"/>
              <w:spacing w:before="0" w:after="283"/>
              <w:jc w:val="center"/>
              <w:rPr/>
            </w:pPr>
            <w:r>
              <w:rPr/>
              <w:t xml:space="preserve">11/03/2025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333-290718 </w:t>
            </w:r>
          </w:p>
        </w:tc>
        <w:tc>
          <w:tcPr>
            <w:tcW w:w="1021" w:type="dxa"/>
            <w:tcBorders/>
            <w:shd w:fill="E7E7E2" w:val="clear"/>
            <w:vAlign w:val="center"/>
          </w:tcPr>
          <w:p>
            <w:pPr>
              <w:pStyle w:val="TableContents"/>
              <w:bidi w:val="0"/>
              <w:spacing w:before="0" w:after="283"/>
              <w:jc w:val="center"/>
              <w:rPr/>
            </w:pPr>
            <w:r>
              <w:rPr/>
              <w:t xml:space="preserve">11/03/2025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333-290718 </w:t>
            </w:r>
          </w:p>
        </w:tc>
        <w:tc>
          <w:tcPr>
            <w:tcW w:w="1021" w:type="dxa"/>
            <w:tcBorders/>
            <w:shd w:fill="E7E7E2" w:val="clear"/>
            <w:vAlign w:val="center"/>
          </w:tcPr>
          <w:p>
            <w:pPr>
              <w:pStyle w:val="TableContents"/>
              <w:bidi w:val="0"/>
              <w:spacing w:before="0" w:after="283"/>
              <w:jc w:val="center"/>
              <w:rPr/>
            </w:pPr>
            <w:r>
              <w:rPr/>
              <w:t xml:space="preserve">11/03/2025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333-290718 </w:t>
            </w:r>
          </w:p>
        </w:tc>
        <w:tc>
          <w:tcPr>
            <w:tcW w:w="1021" w:type="dxa"/>
            <w:tcBorders/>
            <w:shd w:fill="E7E7E2" w:val="clear"/>
            <w:vAlign w:val="center"/>
          </w:tcPr>
          <w:p>
            <w:pPr>
              <w:pStyle w:val="TableContents"/>
              <w:bidi w:val="0"/>
              <w:spacing w:before="0" w:after="283"/>
              <w:jc w:val="center"/>
              <w:rPr/>
            </w:pPr>
            <w:r>
              <w:rPr/>
              <w:t xml:space="preserve">11/03/2025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$ 335,320,666.02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333-290718 </w:t>
            </w:r>
          </w:p>
        </w:tc>
        <w:tc>
          <w:tcPr>
            <w:tcW w:w="1021" w:type="dxa"/>
            <w:tcBorders/>
            <w:shd w:fill="E7E7E2" w:val="clear"/>
            <w:vAlign w:val="center"/>
          </w:tcPr>
          <w:p>
            <w:pPr>
              <w:pStyle w:val="TableContents"/>
              <w:bidi w:val="0"/>
              <w:spacing w:before="0" w:after="283"/>
              <w:jc w:val="center"/>
              <w:rPr/>
            </w:pPr>
            <w:r>
              <w:rPr/>
              <w:t xml:space="preserve">11/03/2025 </w:t>
            </w:r>
          </w:p>
        </w:tc>
        <w:tc>
          <w:tcPr>
            <w:tcW w:w="1321" w:type="dxa"/>
            <w:tcBorders/>
            <w:shd w:fill="E7E7E2" w:val="clear"/>
            <w:vAlign w:val="center"/>
          </w:tcPr>
          <w:p>
            <w:pPr>
              <w:pStyle w:val="TableContents"/>
              <w:bidi w:val="0"/>
              <w:spacing w:before="0" w:after="283"/>
              <w:jc w:val="right"/>
              <w:rPr/>
            </w:pPr>
            <w:r>
              <w:rPr/>
              <w:t xml:space="preserve">$ 46,307.78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333-294852 </w:t>
            </w:r>
          </w:p>
        </w:tc>
        <w:tc>
          <w:tcPr>
            <w:tcW w:w="1021" w:type="dxa"/>
            <w:tcBorders/>
            <w:shd w:fill="E7E7E2" w:val="clear"/>
            <w:vAlign w:val="center"/>
          </w:tcPr>
          <w:p>
            <w:pPr>
              <w:pStyle w:val="TableContents"/>
              <w:bidi w:val="0"/>
              <w:spacing w:before="0" w:after="283"/>
              <w:jc w:val="center"/>
              <w:rPr/>
            </w:pPr>
            <w:r>
              <w:rPr/>
              <w:t xml:space="preserve">04/10/2026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333-294852 </w:t>
            </w:r>
          </w:p>
        </w:tc>
        <w:tc>
          <w:tcPr>
            <w:tcW w:w="1021" w:type="dxa"/>
            <w:tcBorders/>
            <w:shd w:fill="E7E7E2" w:val="clear"/>
            <w:vAlign w:val="center"/>
          </w:tcPr>
          <w:p>
            <w:pPr>
              <w:pStyle w:val="TableContents"/>
              <w:bidi w:val="0"/>
              <w:spacing w:before="0" w:after="283"/>
              <w:jc w:val="center"/>
              <w:rPr/>
            </w:pPr>
            <w:r>
              <w:rPr/>
              <w:t xml:space="preserve">04/10/2026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333-294852 </w:t>
            </w:r>
          </w:p>
        </w:tc>
        <w:tc>
          <w:tcPr>
            <w:tcW w:w="1021" w:type="dxa"/>
            <w:tcBorders/>
            <w:shd w:fill="E7E7E2" w:val="clear"/>
            <w:vAlign w:val="center"/>
          </w:tcPr>
          <w:p>
            <w:pPr>
              <w:pStyle w:val="TableContents"/>
              <w:bidi w:val="0"/>
              <w:spacing w:before="0" w:after="283"/>
              <w:jc w:val="center"/>
              <w:rPr/>
            </w:pPr>
            <w:r>
              <w:rPr/>
              <w:t xml:space="preserve">04/10/2026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333-294852 </w:t>
            </w:r>
          </w:p>
        </w:tc>
        <w:tc>
          <w:tcPr>
            <w:tcW w:w="1021" w:type="dxa"/>
            <w:tcBorders/>
            <w:shd w:fill="E7E7E2" w:val="clear"/>
            <w:vAlign w:val="center"/>
          </w:tcPr>
          <w:p>
            <w:pPr>
              <w:pStyle w:val="TableContents"/>
              <w:bidi w:val="0"/>
              <w:spacing w:before="0" w:after="283"/>
              <w:jc w:val="center"/>
              <w:rPr/>
            </w:pPr>
            <w:r>
              <w:rPr/>
              <w:t xml:space="preserve">04/10/2026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3 </w:t>
            </w:r>
          </w:p>
        </w:tc>
        <w:tc>
          <w:tcPr>
            <w:tcW w:w="12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Unallocated (Universal) Shell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$ 299,650,000.00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333-294852 </w:t>
            </w:r>
          </w:p>
        </w:tc>
        <w:tc>
          <w:tcPr>
            <w:tcW w:w="1021" w:type="dxa"/>
            <w:tcBorders/>
            <w:shd w:fill="E7E7E2" w:val="clear"/>
            <w:vAlign w:val="center"/>
          </w:tcPr>
          <w:p>
            <w:pPr>
              <w:pStyle w:val="TableContents"/>
              <w:bidi w:val="0"/>
              <w:spacing w:before="0" w:after="283"/>
              <w:jc w:val="center"/>
              <w:rPr/>
            </w:pPr>
            <w:r>
              <w:rPr/>
              <w:t xml:space="preserve">04/10/2026 </w:t>
            </w:r>
          </w:p>
        </w:tc>
        <w:tc>
          <w:tcPr>
            <w:tcW w:w="1321" w:type="dxa"/>
            <w:tcBorders/>
            <w:shd w:fill="E7E7E2" w:val="clear"/>
            <w:vAlign w:val="center"/>
          </w:tcPr>
          <w:p>
            <w:pPr>
              <w:pStyle w:val="TableContents"/>
              <w:bidi w:val="0"/>
              <w:spacing w:before="0" w:after="283"/>
              <w:jc w:val="right"/>
              <w:rPr/>
            </w:pPr>
            <w:r>
              <w:rPr/>
              <w:t xml:space="preserve">$ 41,381.67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0" w:name="MaxAggtOfferingPrice"/>
            <w:bookmarkEnd w:id="40"/>
            <w:r>
              <w:rPr/>
              <w:t xml:space="preserve">$ 1,000,000,000.00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$ 50,410.55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TotalOffset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NetFeeAmt"/>
            <w:bookmarkEnd w:id="44"/>
            <w:r>
              <w:rPr/>
              <w:t xml:space="preserve">$ 50,410.55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97"/>
        <w:gridCol w:w="86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There are being registered hereunder such indeterminate number of shares of common stock, such indeterminate number of shares of preferred stock, such indeterminate number of depositary shares and such indeterminate number of warrants to purchase preferred stock or common stock as shall have an aggregate initial offering price not to exceed $1,000,000,000. The securities registered also include such indeterminate number of shares of preferred stock and common stock as may be issued upon exercise of warrants. In addition, pursuant to Rule 416 under the Securities Act of 1933, as amended (the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aggregate offering price per class of security will be determined from time to time by Oruka Therapeutics, Inc. or the Registrant, in connection with the issuance by the Registrant of the securities registered hereunder and is not specified as to each class of security pursuant to Instruction 2.A.iii.b of the Instructions to the Calculation of Filing Fee Tables and Related Disclosure on Form S-3 under the Securities Act. </w:t>
            </w:r>
          </w:p>
        </w:tc>
      </w:tr>
      <w:tr>
        <w:trPr/>
        <w:tc>
          <w:tcPr>
            <w:tcW w:w="1595" w:type="dxa"/>
            <w:gridSpan w:val="2"/>
            <w:tcBorders/>
            <w:vAlign w:val="center"/>
          </w:tcPr>
          <w:p>
            <w:pPr>
              <w:pStyle w:val="HorizontalLine"/>
              <w:pBdr>
                <w:bottom w:val="double" w:sz="2" w:space="0" w:color="808080"/>
              </w:pBdr>
              <w:bidi w:val="0"/>
              <w:spacing w:before="0" w:after="283"/>
              <w:jc w:val="left"/>
              <w:rPr/>
            </w:pPr>
            <w:r>
              <w:rPr/>
            </w:r>
          </w:p>
        </w:tc>
        <w:tc>
          <w:tcPr>
            <w:tcW w:w="861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Pursuant to Rule 415(a)(6) under the Securities Act, the securities registered pursuant to this registration statement include (i) $335,320,666.02 of unsold securities (the "2025 Unsold Securities") previously registered pursuant to the Registration Statement on Form S-3 (File No. 333-290718), which became effective pursuant to Section 8(a) under the Act on November 3, 2025 (the "2025 Registration Statement") and (ii) $299,650,000.00 of unsold securities (the "2026 Unsold Securities", and together with the 2025 Unsold Securities, the "Unsold Securities") previously registered pursuant to the Registration Statement on Form S-3 (File No. 333-294852), which was declared effective on April 10, 2026 (the "2026 Registration Statement", and together with the 2025 Registration Statement, the "Prior Registration Statements"). The filing fees associated with the offerings of the Unsold Securities are hereby carried forward to be applied to the Unsold Securities registered hereunder. The registrant is also registering new securities under this registration statement with an aggregate initial offering price of $365,029,333.98 (the "New Securities"), which aggregate offering price is not specified as to each class of securities. A filing fee of $50,410.55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Statements, the registrant will identify in a pre-effective amendment to this registration statement the updated dollar amount of Unsold Securities from the Prior Registration Statements to be included in this registration statement pursuant to Rule 415(a)(6) and the updated amount of New Securities to be registered on this registration statement. Pursuant to Rule 415(a)(6), the offerings of the Unsold Securities under the Prior Registration Statements will be deemed terminated as of the date of effectiveness of this registration statement. </w:t>
            </w:r>
          </w:p>
        </w:tc>
      </w:tr>
      <w:tr>
        <w:trPr/>
        <w:tc>
          <w:tcPr>
            <w:tcW w:w="1595" w:type="dxa"/>
            <w:gridSpan w:val="2"/>
            <w:tcBorders/>
            <w:vAlign w:val="center"/>
          </w:tcPr>
          <w:p>
            <w:pPr>
              <w:pStyle w:val="HorizontalLine"/>
              <w:pBdr>
                <w:bottom w:val="double" w:sz="2" w:space="0" w:color="808080"/>
              </w:pBdr>
              <w:bidi w:val="0"/>
              <w:spacing w:before="0" w:after="283"/>
              <w:jc w:val="left"/>
              <w:rPr/>
            </w:pPr>
            <w:r>
              <w:rPr/>
            </w:r>
          </w:p>
        </w:tc>
        <w:tc>
          <w:tcPr>
            <w:tcW w:w="861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Offering Note 2. </w:t>
            </w:r>
          </w:p>
        </w:tc>
      </w:tr>
      <w:tr>
        <w:trPr/>
        <w:tc>
          <w:tcPr>
            <w:tcW w:w="1595" w:type="dxa"/>
            <w:gridSpan w:val="2"/>
            <w:tcBorders/>
            <w:vAlign w:val="center"/>
          </w:tcPr>
          <w:p>
            <w:pPr>
              <w:pStyle w:val="HorizontalLine"/>
              <w:pBdr>
                <w:bottom w:val="double" w:sz="2" w:space="0" w:color="808080"/>
              </w:pBdr>
              <w:bidi w:val="0"/>
              <w:spacing w:before="0" w:after="283"/>
              <w:jc w:val="left"/>
              <w:rPr/>
            </w:pPr>
            <w:r>
              <w:rPr/>
            </w:r>
          </w:p>
        </w:tc>
        <w:tc>
          <w:tcPr>
            <w:tcW w:w="86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907654/000121390026026929/ea0273300-10k_oruka.htm" TargetMode="External"/><Relationship Id="rId4" Type="http://schemas.openxmlformats.org/officeDocument/2006/relationships/hyperlink" Target="https://www.sec.gov/ix?doc=/Archives/edgar/data/907654/000121390026055769/ea0287752-10q_oruka.htm" TargetMode="External"/><Relationship Id="rId5" Type="http://schemas.openxmlformats.org/officeDocument/2006/relationships/hyperlink" Target="http://www.sec.gov/ix?doc=/Archives/edgar/data/907654/000121390026087231/ea0294557-10q_oruka.htm" TargetMode="External"/><Relationship Id="rId6" Type="http://schemas.openxmlformats.org/officeDocument/2006/relationships/hyperlink" Target="https://www.sec.gov/ix?doc=/Archives/edgar/data/907654/000121390026045159/ea0286400-01.htm" TargetMode="External"/><Relationship Id="rId7" Type="http://schemas.openxmlformats.org/officeDocument/2006/relationships/hyperlink" Target="https://www.sec.gov/ix?doc=/Archives/edgar/data/907654/000121390026047743/ea0287782-8k_oruka.htm" TargetMode="External"/><Relationship Id="rId8" Type="http://schemas.openxmlformats.org/officeDocument/2006/relationships/hyperlink" Target="https://www.sec.gov/ix?doc=/Archives/edgar/data/907654/000121390026050249/ea0288461-8k_oruka.htm" TargetMode="External"/><Relationship Id="rId9" Type="http://schemas.openxmlformats.org/officeDocument/2006/relationships/hyperlink" Target="https://www.sec.gov/ix?doc=/Archives/edgar/data/907654/000121390026063481/ea0292876-8k_oruka.htm" TargetMode="External"/><Relationship Id="rId10" Type="http://schemas.openxmlformats.org/officeDocument/2006/relationships/hyperlink" Target="https://www.sec.gov/ix?doc=/Archives/edgar/data/907654/000121390026065294/ea0293648-8k_oruka.htm" TargetMode="External"/><Relationship Id="rId11" Type="http://schemas.openxmlformats.org/officeDocument/2006/relationships/hyperlink" Target="https://www.sec.gov/Archives/edgar/data/907654/000121390025021165/ea023044501ex4-1_orukathe.htm" TargetMode="External"/><Relationship Id="rId12" Type="http://schemas.openxmlformats.org/officeDocument/2006/relationships/hyperlink" Target="https://www.sec.gov/ix?doc=/Archives/edgar/data/907654/000121390026026929/ea0273300-10k_oruka.htm" TargetMode="External"/><Relationship Id="rId13" Type="http://schemas.openxmlformats.org/officeDocument/2006/relationships/image" Target="media/image1.jpeg"/><Relationship Id="rId14" Type="http://schemas.openxmlformats.org/officeDocument/2006/relationships/hyperlink" Target="https://www.sec.gov/ix?doc=/Archives/edgar/data/907654/000121390026026929/ea0273300-10k_oruka.htm" TargetMode="External"/><Relationship Id="rId15" Type="http://schemas.openxmlformats.org/officeDocument/2006/relationships/hyperlink" Target="https://www.sec.gov/ix?doc=/Archives/edgar/data/907654/000121390026055769/ea0287752-10q_oruka.htm" TargetMode="External"/><Relationship Id="rId16" Type="http://schemas.openxmlformats.org/officeDocument/2006/relationships/hyperlink" Target="https://www.sec.gov/ix?doc=/Archives/edgar/data/907654/000121390026087231/ea0294557-10q_oruka.htm" TargetMode="External"/><Relationship Id="rId17" Type="http://schemas.openxmlformats.org/officeDocument/2006/relationships/hyperlink" Target="https://www.sec.gov/ix?doc=/Archives/edgar/data/907654/000121390026045159/ea0286400-01.htm" TargetMode="External"/><Relationship Id="rId18" Type="http://schemas.openxmlformats.org/officeDocument/2006/relationships/hyperlink" Target="https://www.sec.gov/ix?doc=/Archives/edgar/data/907654/000121390026047743/ea0287782-8k_oruka.htm" TargetMode="External"/><Relationship Id="rId19" Type="http://schemas.openxmlformats.org/officeDocument/2006/relationships/hyperlink" Target="https://www.sec.gov/ix?doc=/Archives/edgar/data/907654/000121390026050249/ea0288461-8k_oruka.htm" TargetMode="External"/><Relationship Id="rId20" Type="http://schemas.openxmlformats.org/officeDocument/2006/relationships/hyperlink" Target="https://www.sec.gov/ix?doc=/Archives/edgar/data/907654/000121390026063481/ea0292876-8k_oruka.htm" TargetMode="External"/><Relationship Id="rId21" Type="http://schemas.openxmlformats.org/officeDocument/2006/relationships/hyperlink" Target="https://www.sec.gov/ix?doc=/Archives/edgar/data/907654/000121390026065294/ea0293648-8k_oruka.htm" TargetMode="External"/><Relationship Id="rId22" Type="http://schemas.openxmlformats.org/officeDocument/2006/relationships/hyperlink" Target="https://www.sec.gov/Archives/edgar/data/907654/000121390025021165/ea023044501ex4-1_orukathe.htm" TargetMode="External"/><Relationship Id="rId23" Type="http://schemas.openxmlformats.org/officeDocument/2006/relationships/hyperlink" Target="https://www.sec.gov/ix?doc=/Archives/edgar/data/907654/000121390026026929/ea0273300-10k_oruka.htm" TargetMode="External"/><Relationship Id="rId24" Type="http://schemas.openxmlformats.org/officeDocument/2006/relationships/image" Target="media/image1.jpeg"/><Relationship Id="rId25" Type="http://schemas.openxmlformats.org/officeDocument/2006/relationships/hyperlink" Target="https://www.sec.gov/Archives/edgar/data/907654/000121390025096198/ea026007301ex1-2_oruka.htm" TargetMode="External"/><Relationship Id="rId26" Type="http://schemas.openxmlformats.org/officeDocument/2006/relationships/hyperlink" Target="https://www.sec.gov/Archives/edgar/data/907654/000119312524085437/d794675dex21.htm" TargetMode="External"/><Relationship Id="rId27" Type="http://schemas.openxmlformats.org/officeDocument/2006/relationships/hyperlink" Target="https://www.sec.gov/Archives/edgar/data/907654/000121390024076184/ea021319301ex3-5_oruka.htm" TargetMode="External"/><Relationship Id="rId28" Type="http://schemas.openxmlformats.org/officeDocument/2006/relationships/hyperlink" Target="https://www.sec.gov/Archives/edgar/data/907654/000121390024076184/ea021319301ex3-6_oruka.htm" TargetMode="External"/><Relationship Id="rId29" Type="http://schemas.openxmlformats.org/officeDocument/2006/relationships/hyperlink" Target="https://www.sec.gov/Archives/edgar/data/907654/000119312513233692/d507513dex31b.htm" TargetMode="External"/><Relationship Id="rId30" Type="http://schemas.openxmlformats.org/officeDocument/2006/relationships/hyperlink" Target="https://www.sec.gov/Archives/edgar/data/907654/000121390024076184/ea021319301ex3-8_oruka.htm" TargetMode="External"/><Relationship Id="rId31" Type="http://schemas.openxmlformats.org/officeDocument/2006/relationships/hyperlink" Target="https://www.sec.gov/Archives/edgar/data/907654/000121390024076184/ea021319301ex3-9_oruka.htm" TargetMode="External"/><Relationship Id="rId32" Type="http://schemas.openxmlformats.org/officeDocument/2006/relationships/hyperlink" Target="https://www.sec.gov/Archives/edgar/data/907654/000121390024078549/ea021443901ex3-1_oruka.htm" TargetMode="External"/><Relationship Id="rId33" Type="http://schemas.openxmlformats.org/officeDocument/2006/relationships/hyperlink" Target="https://www.sec.gov/Archives/edgar/data/907654/000121390025021165/ea023044501ex4-1_orukathe.htm" TargetMode="External"/><Relationship Id="rId34" Type="http://schemas.openxmlformats.org/officeDocument/2006/relationships/hyperlink" Target="https://www.sec.gov/Archives/edgar/data/907654/000121390025021165/ea023044501ex4-3_orukathe.htm" TargetMode="External"/><Relationship Id="rId35" Type="http://schemas.openxmlformats.org/officeDocument/2006/relationships/hyperlink" Target="https://www.sec.gov/Archives/edgar/data/907654/000121390024078549/ea021443901ex4-1_oruka.htm" TargetMode="External"/><Relationship Id="rId36" Type="http://schemas.openxmlformats.org/officeDocument/2006/relationships/hyperlink" Target="https://www.sec.gov/Archives/edgar/data/907654/000121390025090129/ea025786501ex4-1_oruka.htm" TargetMode="External"/><Relationship Id="rId37" Type="http://schemas.openxmlformats.org/officeDocument/2006/relationships/hyperlink" Target="https://www.sec.gov/Archives/edgar/data/907654/000121390025043279/ea023989801ex4-5_oruka.htm" TargetMode="External"/><Relationship Id="rId38" Type="http://schemas.openxmlformats.org/officeDocument/2006/relationships/hyperlink" Target="https://www.sec.gov/Archives/edgar/data/907654/000121390026026929/ea027330001ex4-6_oruka.htm" TargetMode="External"/><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23910</Words>
  <Characters>127094</Characters>
  <CharactersWithSpaces>151680</CharactersWithSpaces>
  <Paragraphs>2432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