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jc w:val="center"/>
        <w:ind w:left="3920" w:right="1120" w:hanging="2794"/>
        <w:spacing w:after="0" w:line="490" w:lineRule="auto"/>
        <w:tabs>
          <w:tab w:leader="none" w:pos="1328"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060"/>
        <w:spacing w:after="0"/>
        <w:tabs>
          <w:tab w:leader="none" w:pos="71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000-22873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Oruka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36-3855489</w:t>
            </w:r>
          </w:p>
        </w:tc>
      </w:tr>
      <w:tr>
        <w:trPr>
          <w:trHeight w:val="194"/>
        </w:trPr>
        <w:tc>
          <w:tcPr>
            <w:tcW w:w="55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855 Oak Grove Avenue</w:t>
            </w:r>
          </w:p>
        </w:tc>
        <w:tc>
          <w:tcPr>
            <w:tcW w:w="5500" w:type="dxa"/>
            <w:vAlign w:val="bottom"/>
          </w:tcPr>
          <w:p>
            <w:pPr>
              <w:spacing w:after="0"/>
              <w:rPr>
                <w:sz w:val="24"/>
                <w:szCs w:val="24"/>
                <w:color w:val="auto"/>
              </w:rPr>
            </w:pPr>
          </w:p>
        </w:tc>
      </w:tr>
      <w:tr>
        <w:trPr>
          <w:trHeight w:val="216"/>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Suite 100</w:t>
            </w:r>
          </w:p>
        </w:tc>
        <w:tc>
          <w:tcPr>
            <w:tcW w:w="5500" w:type="dxa"/>
            <w:vAlign w:val="bottom"/>
          </w:tcPr>
          <w:p>
            <w:pPr>
              <w:spacing w:after="0"/>
              <w:rPr>
                <w:sz w:val="18"/>
                <w:szCs w:val="18"/>
                <w:color w:val="auto"/>
              </w:rPr>
            </w:pPr>
          </w:p>
        </w:tc>
      </w:t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Menlo Park, California</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94025</w:t>
            </w:r>
          </w:p>
        </w:tc>
      </w:tr>
      <w:tr>
        <w:trPr>
          <w:trHeight w:val="23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606-7910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ORKA</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16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945" w:orient="portrait"/>
          <w:cols w:equalWidth="0" w:num="1">
            <w:col w:w="11240"/>
          </w:cols>
          <w:pgMar w:left="320" w:top="509" w:right="339" w:bottom="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as of June 30, 2024, was approximately $39.7 million based on the closing price of the Registrant’s shares of common stock on The Nasdaq Capital Market on such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the Registrant’s Common Stock shares outstanding as of February 28, 2025 was 37,440,510.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780" w:type="dxa"/>
            <w:vAlign w:val="bottom"/>
            <w:gridSpan w:val="9"/>
          </w:tcPr>
          <w:p>
            <w:pPr>
              <w:ind w:left="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66"/>
        </w:trPr>
        <w:tc>
          <w:tcPr>
            <w:tcW w:w="6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0"/>
        </w:trPr>
        <w:tc>
          <w:tcPr>
            <w:tcW w:w="6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5"/>
              </w:rPr>
              <w:t>PART I</w:t>
            </w:r>
          </w:p>
        </w:tc>
        <w:tc>
          <w:tcPr>
            <w:tcW w:w="540" w:type="dxa"/>
            <w:vAlign w:val="bottom"/>
            <w:tcBorders>
              <w:bottom w:val="single" w:sz="8" w:color="CCEEFF"/>
            </w:tcBorders>
            <w:gridSpan w:val="4"/>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189"/>
        </w:trPr>
        <w:tc>
          <w:tcPr>
            <w:tcW w:w="1140" w:type="dxa"/>
            <w:vAlign w:val="bottom"/>
            <w:gridSpan w:val="5"/>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10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Business</w:t>
            </w:r>
          </w:p>
        </w:tc>
        <w:tc>
          <w:tcPr>
            <w:tcW w:w="10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9"/>
        </w:trPr>
        <w:tc>
          <w:tcPr>
            <w:tcW w:w="1140" w:type="dxa"/>
            <w:vAlign w:val="bottom"/>
            <w:gridSpan w:val="5"/>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10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40" w:type="dxa"/>
            <w:vAlign w:val="bottom"/>
            <w:gridSpan w:val="5"/>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1B.</w:t>
            </w:r>
          </w:p>
        </w:tc>
        <w:tc>
          <w:tcPr>
            <w:tcW w:w="910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0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70</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1140" w:type="dxa"/>
            <w:vAlign w:val="bottom"/>
            <w:tcBorders>
              <w:bottom w:val="single" w:sz="8" w:color="CCEEFF"/>
            </w:tcBorders>
            <w:gridSpan w:val="5"/>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EE"/>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Cybersecurity</w:t>
            </w:r>
          </w:p>
        </w:tc>
        <w:tc>
          <w:tcPr>
            <w:tcW w:w="8080" w:type="dxa"/>
            <w:vAlign w:val="bottom"/>
            <w:tcBorders>
              <w:bottom w:val="single" w:sz="8" w:color="CCEEFF"/>
            </w:tcBorders>
            <w:gridSpan w:val="18"/>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70</w:t>
            </w:r>
          </w:p>
        </w:tc>
      </w:tr>
      <w:tr>
        <w:trPr>
          <w:trHeight w:val="189"/>
        </w:trPr>
        <w:tc>
          <w:tcPr>
            <w:tcW w:w="1140" w:type="dxa"/>
            <w:vAlign w:val="bottom"/>
            <w:gridSpan w:val="5"/>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10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Properties</w:t>
            </w:r>
          </w:p>
        </w:tc>
        <w:tc>
          <w:tcPr>
            <w:tcW w:w="10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70</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1140" w:type="dxa"/>
            <w:vAlign w:val="bottom"/>
            <w:tcBorders>
              <w:bottom w:val="single" w:sz="8" w:color="CCEEFF"/>
            </w:tcBorders>
            <w:gridSpan w:val="5"/>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7760" w:type="dxa"/>
            <w:vAlign w:val="bottom"/>
            <w:tcBorders>
              <w:bottom w:val="single" w:sz="8" w:color="CCEEFF"/>
            </w:tcBorders>
            <w:gridSpan w:val="16"/>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70</w:t>
            </w:r>
          </w:p>
        </w:tc>
      </w:tr>
      <w:tr>
        <w:trPr>
          <w:trHeight w:val="189"/>
        </w:trPr>
        <w:tc>
          <w:tcPr>
            <w:tcW w:w="1140" w:type="dxa"/>
            <w:vAlign w:val="bottom"/>
            <w:gridSpan w:val="5"/>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Mine Safety Disclosures</w:t>
            </w:r>
          </w:p>
        </w:tc>
        <w:tc>
          <w:tcPr>
            <w:tcW w:w="10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70</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0"/>
        </w:trPr>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189"/>
        </w:trPr>
        <w:tc>
          <w:tcPr>
            <w:tcW w:w="11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
        </w:trPr>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1140" w:type="dxa"/>
            <w:vAlign w:val="bottom"/>
            <w:tcBorders>
              <w:bottom w:val="single" w:sz="8" w:color="CCEEFF"/>
            </w:tcBorders>
            <w:gridSpan w:val="5"/>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10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71</w:t>
            </w:r>
          </w:p>
        </w:tc>
      </w:tr>
      <w:tr>
        <w:trPr>
          <w:trHeight w:val="189"/>
        </w:trPr>
        <w:tc>
          <w:tcPr>
            <w:tcW w:w="1140" w:type="dxa"/>
            <w:vAlign w:val="bottom"/>
            <w:gridSpan w:val="5"/>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910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[Reserved]</w:t>
            </w:r>
          </w:p>
        </w:tc>
        <w:tc>
          <w:tcPr>
            <w:tcW w:w="10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71</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1140" w:type="dxa"/>
            <w:vAlign w:val="bottom"/>
            <w:tcBorders>
              <w:bottom w:val="single" w:sz="8" w:color="CCEEFF"/>
            </w:tcBorders>
            <w:gridSpan w:val="5"/>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640" w:type="dxa"/>
            <w:vAlign w:val="bottom"/>
            <w:tcBorders>
              <w:bottom w:val="single" w:sz="8" w:color="CCEEFF"/>
            </w:tcBorders>
            <w:gridSpan w:val="4"/>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72</w:t>
            </w:r>
          </w:p>
        </w:tc>
      </w:tr>
      <w:tr>
        <w:trPr>
          <w:trHeight w:val="189"/>
        </w:trPr>
        <w:tc>
          <w:tcPr>
            <w:tcW w:w="1140" w:type="dxa"/>
            <w:vAlign w:val="bottom"/>
            <w:gridSpan w:val="5"/>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7A.</w:t>
            </w:r>
          </w:p>
        </w:tc>
        <w:tc>
          <w:tcPr>
            <w:tcW w:w="910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0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85</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9"/>
        </w:trPr>
        <w:tc>
          <w:tcPr>
            <w:tcW w:w="1140" w:type="dxa"/>
            <w:vAlign w:val="bottom"/>
            <w:gridSpan w:val="5"/>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8.</w:t>
            </w:r>
          </w:p>
        </w:tc>
        <w:tc>
          <w:tcPr>
            <w:tcW w:w="910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10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F-1</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40" w:type="dxa"/>
            <w:vAlign w:val="bottom"/>
            <w:gridSpan w:val="5"/>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9.</w:t>
            </w:r>
          </w:p>
        </w:tc>
        <w:tc>
          <w:tcPr>
            <w:tcW w:w="910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10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86</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0"/>
        </w:trPr>
        <w:tc>
          <w:tcPr>
            <w:tcW w:w="1140" w:type="dxa"/>
            <w:vAlign w:val="bottom"/>
            <w:tcBorders>
              <w:bottom w:val="single" w:sz="8" w:color="CCEEFF"/>
            </w:tcBorders>
            <w:gridSpan w:val="5"/>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EE"/>
            </w:tcBorders>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320" w:type="dxa"/>
            <w:vAlign w:val="bottom"/>
            <w:tcBorders>
              <w:bottom w:val="single" w:sz="8" w:color="CCEEFF"/>
            </w:tcBorders>
            <w:gridSpan w:val="14"/>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86</w:t>
            </w:r>
          </w:p>
        </w:tc>
      </w:tr>
      <w:tr>
        <w:trPr>
          <w:trHeight w:val="189"/>
        </w:trPr>
        <w:tc>
          <w:tcPr>
            <w:tcW w:w="1140" w:type="dxa"/>
            <w:vAlign w:val="bottom"/>
            <w:gridSpan w:val="5"/>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9B.</w:t>
            </w:r>
          </w:p>
        </w:tc>
        <w:tc>
          <w:tcPr>
            <w:tcW w:w="910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Other Information</w:t>
            </w:r>
          </w:p>
        </w:tc>
        <w:tc>
          <w:tcPr>
            <w:tcW w:w="10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87</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1140" w:type="dxa"/>
            <w:vAlign w:val="bottom"/>
            <w:gridSpan w:val="5"/>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9C.</w:t>
            </w:r>
          </w:p>
        </w:tc>
        <w:tc>
          <w:tcPr>
            <w:tcW w:w="910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0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87</w:t>
            </w:r>
          </w:p>
        </w:tc>
      </w:tr>
      <w:tr>
        <w:trPr>
          <w:trHeight w:val="230"/>
        </w:trPr>
        <w:tc>
          <w:tcPr>
            <w:tcW w:w="6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r>
      <w:tr>
        <w:trPr>
          <w:trHeight w:val="209"/>
        </w:trPr>
        <w:tc>
          <w:tcPr>
            <w:tcW w:w="740" w:type="dxa"/>
            <w:vAlign w:val="bottom"/>
            <w:tcBorders>
              <w:bottom w:val="single" w:sz="8" w:color="0000EE"/>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4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189"/>
        </w:trPr>
        <w:tc>
          <w:tcPr>
            <w:tcW w:w="1140" w:type="dxa"/>
            <w:vAlign w:val="bottom"/>
            <w:gridSpan w:val="5"/>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10.</w:t>
            </w:r>
          </w:p>
        </w:tc>
        <w:tc>
          <w:tcPr>
            <w:tcW w:w="910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0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88</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9"/>
        </w:trPr>
        <w:tc>
          <w:tcPr>
            <w:tcW w:w="1140" w:type="dxa"/>
            <w:vAlign w:val="bottom"/>
            <w:gridSpan w:val="5"/>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11.</w:t>
            </w:r>
          </w:p>
        </w:tc>
        <w:tc>
          <w:tcPr>
            <w:tcW w:w="910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Executive Compensation</w:t>
            </w:r>
          </w:p>
        </w:tc>
        <w:tc>
          <w:tcPr>
            <w:tcW w:w="10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93</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40" w:type="dxa"/>
            <w:vAlign w:val="bottom"/>
            <w:gridSpan w:val="5"/>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12.</w:t>
            </w:r>
          </w:p>
        </w:tc>
        <w:tc>
          <w:tcPr>
            <w:tcW w:w="910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10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100</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1140" w:type="dxa"/>
            <w:vAlign w:val="bottom"/>
            <w:tcBorders>
              <w:bottom w:val="single" w:sz="8" w:color="CCEEFF"/>
            </w:tcBorders>
            <w:gridSpan w:val="5"/>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3640" w:type="dxa"/>
            <w:vAlign w:val="bottom"/>
            <w:tcBorders>
              <w:bottom w:val="single" w:sz="8" w:color="CCEEFF"/>
            </w:tcBorders>
            <w:gridSpan w:val="5"/>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104</w:t>
            </w:r>
          </w:p>
        </w:tc>
      </w:tr>
      <w:tr>
        <w:trPr>
          <w:trHeight w:val="189"/>
        </w:trPr>
        <w:tc>
          <w:tcPr>
            <w:tcW w:w="1140" w:type="dxa"/>
            <w:vAlign w:val="bottom"/>
            <w:gridSpan w:val="5"/>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14.</w:t>
            </w:r>
          </w:p>
        </w:tc>
        <w:tc>
          <w:tcPr>
            <w:tcW w:w="910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10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108</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0"/>
        </w:trPr>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189"/>
        </w:trPr>
        <w:tc>
          <w:tcPr>
            <w:tcW w:w="11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PART IV</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
        </w:trPr>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1140" w:type="dxa"/>
            <w:vAlign w:val="bottom"/>
            <w:gridSpan w:val="5"/>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15.</w:t>
            </w:r>
          </w:p>
        </w:tc>
        <w:tc>
          <w:tcPr>
            <w:tcW w:w="910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Exhibits, Financial Statement Schedules</w:t>
            </w:r>
          </w:p>
        </w:tc>
        <w:tc>
          <w:tcPr>
            <w:tcW w:w="10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109</w:t>
            </w:r>
          </w:p>
        </w:tc>
      </w:tr>
      <w:tr>
        <w:trPr>
          <w:trHeight w:val="189"/>
        </w:trPr>
        <w:tc>
          <w:tcPr>
            <w:tcW w:w="1140" w:type="dxa"/>
            <w:vAlign w:val="bottom"/>
            <w:tcBorders>
              <w:top w:val="single" w:sz="8" w:color="CCEEFF"/>
            </w:tcBorders>
            <w:gridSpan w:val="5"/>
          </w:tcPr>
          <w:p>
            <w:pPr>
              <w:ind w:left="140"/>
              <w:spacing w:after="0" w:line="189" w:lineRule="exact"/>
              <w:rPr>
                <w:sz w:val="20"/>
                <w:szCs w:val="20"/>
                <w:color w:val="auto"/>
              </w:rPr>
            </w:pPr>
            <w:r>
              <w:rPr>
                <w:rFonts w:ascii="Times New Roman" w:cs="Times New Roman" w:eastAsia="Times New Roman" w:hAnsi="Times New Roman"/>
                <w:sz w:val="18"/>
                <w:szCs w:val="18"/>
                <w:color w:val="auto"/>
              </w:rPr>
              <w:t>Item 16.</w:t>
            </w:r>
          </w:p>
        </w:tc>
        <w:tc>
          <w:tcPr>
            <w:tcW w:w="2900" w:type="dxa"/>
            <w:vAlign w:val="bottom"/>
            <w:tcBorders>
              <w:top w:val="single" w:sz="8" w:color="0000EE"/>
            </w:tcBorders>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Form 10-K Summary</w:t>
            </w:r>
          </w:p>
        </w:tc>
        <w:tc>
          <w:tcPr>
            <w:tcW w:w="6200" w:type="dxa"/>
            <w:vAlign w:val="bottom"/>
            <w:tcBorders>
              <w:top w:val="single" w:sz="8" w:color="CCEEFF"/>
            </w:tcBorders>
            <w:gridSpan w:val="10"/>
          </w:tcPr>
          <w:p>
            <w:pPr>
              <w:spacing w:after="0"/>
              <w:rPr>
                <w:sz w:val="16"/>
                <w:szCs w:val="16"/>
                <w:color w:val="auto"/>
              </w:rPr>
            </w:pPr>
          </w:p>
        </w:tc>
        <w:tc>
          <w:tcPr>
            <w:tcW w:w="1000" w:type="dxa"/>
            <w:vAlign w:val="bottom"/>
            <w:tcBorders>
              <w:top w:val="single" w:sz="8" w:color="CCEEFF"/>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111</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9"/>
        </w:trPr>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10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Signatures</w:t>
            </w:r>
          </w:p>
        </w:tc>
        <w:tc>
          <w:tcPr>
            <w:tcW w:w="10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112</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Annual Report on Form 10-K, or Annual Report, contains “forward-looking statements” within the meaning of Section 27A of the Securities Act of 1933, as amended, and Section 21E of the Securities Exchange Act of 1934, as amended (the “Exchange Act”). These forward-looking statements reflect the current views of Oruka Therapeutics, Inc. (“Oruka”, the “Company”, “we”, or “us”) with respect to future events and are based on assumptions and subject to known and unknown risks and uncertainties and other factors that may cause our actual results, performance, time frames or achievements to be materially different from any future results, performance, time frames or achievements expressed or implied by the forward-looking statements. Factors that might cause such a difference are disclosed in the section titled “Risk Factors” in this Annual Report. We caution readers that any forward-looking statement is not a guarantee of future performance and that actual results could differ materially from those contained in the forward-looking statement. These statements are based on current expectations of future events. You should evaluate all forward-looking statements made in this Annual Report in the context of these risks and uncertainties. We caution you that the risks, uncertainties and other factors referred to in this Annual Report may not contain all of the risks, uncertainties and other factors that may affect our future results and operations. Moreover, we operate in a very competitive and rapidly changing environment, and new risks and uncertainties emerge from time to time.</w:t>
      </w:r>
    </w:p>
    <w:p>
      <w:pPr>
        <w:spacing w:after="0" w:line="19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7"/>
          <w:szCs w:val="17"/>
          <w:color w:val="auto"/>
        </w:rPr>
        <w:t>All statements, other than statements of historical facts contained in this Annual Report, including, without limitation, statements regarding: our future results of operations and financial position, business strategy, the length of time that we believe our existing cash resources will fund our operations, our market size, our competition, our potential growth opportunities, our clinical development activities and timeline, the efficacy and safety profile of our product candidates, the potential therapeutic benefits and economic value of our product candidates, the timing and results of preclinical studies and clinical trials, the expected impact of macroeconomic conditions, including inflation, increasing interest rates and volatile market conditions, current or potential bank failures, as well as global events, including military conflicts and geopolitical tensions on our operations, and the receipt and timing of potential regulatory designations, approvals and commercialization of product candidates, are forward-looking statements.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 These forward-looking statements are based on information available to us as of the date of this Annual Report and are subject to a number of risks, uncertainties and assumptions, including those described in Item 1A, “Risk Factors” and elsewhere in this Annual Report.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may not occur and actual results could differ materially and adversely from those anticipated or implied in the forward-looking statements.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Annual Report or to reflect the occurrence of unanticipated events, except as may be required under applicable U.S. securities laws. You should read this Annual Report with the understanding that our actual future results, levels of activity, performance and events and circumstances may be materially different from what we expect. If we do update one or more forward-looking statements, no inference should be drawn that we will make additional updates with respect to those or other forward-looking statements.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Unless the context indicates otherwise, as used in this Annual Report, the terms “Oruka,” “ARCA biopharma, Inc.,” “the Company,” “we,” “us,” and “our” refer to Oruka Therapeutics, Inc., a Delaware corporation, and its consolidated subsidiaries taken as a whole. “Oruka” and all product candidate names are our common law trademarks. This Annual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references to “our product candidates,” “our programs” and “our pipeline” in this Annual Report refer to the research programs with respect to which we have exercised the option to acquire intellectual property license rights to or have the option to acquire intellectual property license rights to pursuant to those certain antibody discovery and option agreements by and among the Company, Paragon Therapeutics, Inc. (“Paragon”) and Paruka Holding LLC (“Paruka”).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Pre-Merger Oruka</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29, 2024 (the “Merger Closing”), we completed our acquisition (the “Merger”) of Oruka Therapeutics, Inc. (“Pre-Merger Oruka”) pursuant to an Agreement and Plan of Merger and Reorganization, dated as of April 3, 2024 (the “Merger Agreement”). Following the transactions contemplated by the Merger Agreement, Pre-Merger Oruka merged with and into Atlas Merger Sub Corp., a wholly owned subsidiary of ARCA biopharma, Inc. (“ARCA”) and following that, Pre-Merger Oruka then merged with and into Atlas Merger Sub II, LLC (“Second Merger Sub”), with Second Merger Sub being the surviving entity. Second Merger Sub changed its corporate name to “Oruka Therapeutics Operating Company, LLC.” Pre-Merger Oruka was a pre-clinical stage biotechnology company that was incorporated on February 6, 2024 under the direction of Peter Harwin, a Managing Member of Fairmount Funds Management LLC (“Fairmount”), for the purposes of holding rights to certain intellectual property being developed by Paragon Therapeutics, Inc. (“Paragon”). On August 29, 2024, we changed our name from “ARCA biopharma, Inc.” (“ARCA”) to “Oruka Therapeutics, Inc.” and our Nasdaq ticker symbol from “ABIO” to “ORKA”.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are a clinical-stage biopharmaceutical company focused on developing novel monoclonal antibody therapeutics for psoriasis (“PsO”) and other inflammatory and immunology (“I&amp;I”) indications. Our name is derived from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xml:space="preserve">, for “skin,” and </w:t>
      </w:r>
      <w:r>
        <w:rPr>
          <w:rFonts w:ascii="Times New Roman" w:cs="Times New Roman" w:eastAsia="Times New Roman" w:hAnsi="Times New Roman"/>
          <w:sz w:val="18"/>
          <w:szCs w:val="18"/>
          <w:i w:val="1"/>
          <w:iCs w:val="1"/>
          <w:color w:val="auto"/>
        </w:rPr>
        <w:t>arukah</w:t>
      </w:r>
      <w:r>
        <w:rPr>
          <w:rFonts w:ascii="Times New Roman" w:cs="Times New Roman" w:eastAsia="Times New Roman" w:hAnsi="Times New Roman"/>
          <w:sz w:val="18"/>
          <w:szCs w:val="18"/>
          <w:color w:val="auto"/>
        </w:rPr>
        <w:t>, for “restoration,” and reflects our mission to deliver therapies for chronic skin diseases that provide patients the most possible freedom from their condition. Our strategy is to apply antibody engineering and format innovations to validated modes of action, which we believe will enable us to improve meaningfully upon the efficacy and dosing regimens of standard-of-care medicines while significantly reducing technical and biological risk. Our programs aim to treat and potentially modify disease by targeting mechanisms with proven efficacy and safety involved in disease pathology and the activity of pathogenic tissue-resident memory T cells (“TRMs”).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lead program, ORKA-001, is designed to target the p19 subunit of interleukin-23 (“IL-23p19”) for the treatment of PsO. Our co-lead program, ORKA-002, is designed to target interleukin-17A and interleukin-17F (“IL-17A/F”) for the treatment of PsO, psoriatic arthritis (“PsA”), and other conditions. These programs each bind their respective targets at high affinity and incorporate half-life extension technology with the aim to increase exposure and decrease dosing frequency. We believe that our focused strategy, differentiated portfolio, and deep expertise position us to set a new treatment standard in large I&amp;I markets with continued unmet need.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156845</wp:posOffset>
            </wp:positionV>
            <wp:extent cx="4972050" cy="21259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7205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ORKA-001</w:t>
      </w:r>
    </w:p>
    <w:p>
      <w:pPr>
        <w:spacing w:after="0" w:line="2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ORKA-001 is a high affinity, extended half-life monoclonal antibody (“mAb”) designed to target IL-23p19. IL-23 is a pro-inflammatory cytokine that plays a critical role in the proliferation and development of T helper 17 (“Th17”) cells, which are the primary drivers of several autoimmune and inflammatory disorders, including PsO. IL-23 is composed of two subunits: a p40 subunit that is shared with IL-12 and a p19 subunit that is specific to IL-</w:t>
      </w:r>
    </w:p>
    <w:p>
      <w:pPr>
        <w:spacing w:after="0" w:line="1" w:lineRule="exact"/>
        <w:rPr>
          <w:sz w:val="20"/>
          <w:szCs w:val="20"/>
          <w:color w:val="auto"/>
        </w:rPr>
      </w:pPr>
    </w:p>
    <w:p>
      <w:pPr>
        <w:jc w:val="both"/>
        <w:ind w:firstLine="8"/>
        <w:spacing w:after="0" w:line="251" w:lineRule="auto"/>
        <w:tabs>
          <w:tab w:leader="none" w:pos="27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First-generation IL-23 antibodies bound p40 and inhibited both IL-12 and IL-23 signaling, while more recent IL-23 antibodies targeting the p19 subunit have shown improved efficacy and safety. Based on preclinical evidence, we believe that ORKA-001 could achieve higher response rates than established therapies in PsO while requiring less frequent dosing and maintaining the favorable safety profile of therapies targeting IL-23p19. ORKA-001 is engineered with YTE half-life extension technology, a specific three amino acid change in the fragment crystallizable (“Fc”) domain to modify the pH-dependent binding to the neonatal Fc receptor (“FcRn”). As a result, it has a pharmacokinetic profile designed to support a subcutaneous (“SQ”) injection as infrequently as once or twice a year. In addition, emerging evidence suggests that IL-23 blockade can modify the disease biology of PsO, possibly leading to durable remissions and preventing the development of PsA. We believe that the expected characteristics of ORKA-001 increase its potential to deliver these disease-modifying benefits.</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initiated dosing of healthy volunteers in a Phase 1 trial of ORKA-001 in the fourth quarter of 2024. We expect to share interim data from the first-in-human trial in healthy volunteers, including initial pharmacokinetic data, in the second half of 2025 and initial efficacy on patients with PsO in the second half of 2026. Based on recent precedent for PsO, we anticipate that the entire development program from first-in-human to biologics license application (“BLA”) filing could take as little as six to seven years based on the averages for recently approved medicines. However, we have no control over the length of time needed for United States Food and Drug Administration (“FDA”) review, and this timeline could vary.</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ORKA-002</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ORKA-002 is a high affinity, extended half-life mAb designed to target IL-17A and IL-17F (“IL-17A/F”). IL-17 inhibition has become central to the treatment of psoriatic diseases, including PsO and PsA, and has also shown efficacy in other I&amp;I indications, such as hidradenitis suppurativa (“HS”) and axial spondyloarthritis (“axSpA”). More recently, the importance of inhibiting the IL-17F isoform along with IL-17A has become appreciated, and dual blockade with the recently approved therapy Bimzelx (bimekizumab) has led to higher response rates in patients than blockade of IL-17A alone. ORKA-002 is designed to bind IL-17A/F at similar epitopes, or binding sites, and affinity ranges as bimekizumab, but incorporates half-life extension technology that could enable more convenient dosing intervals. We plan to initiate dosing of healthy volunteers in a Phase 1 trial of ORKA-002 in the third quarter of 2025. We expect to share interim data from the first-in-human trial in healthy volunteers, including initial pharmacokinetic data, in the first half of 2026.</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view ORKA-002 and ORKA-001 as highly complementary. Patients with moderate-to-severe PsO that have purely skin manifestations are most often treated with IL-23 inhibitors due to the high efficacy and tolerability of this mechanism. However, for patients who also have joint involvement or signs and symptoms of PsA, an IL-17 inhibitor is typically used due to its efficacy in addressing both skin and joint symptoms. In addition, IL-17 inhibitors are often used in patients with highly resistant skin symptoms that do not adequately resolve through treatment with an IL-23 inhibitor. Furthermore, we have the potential opportunity to administer ORKA-002 and ORKA-001 sequentially, called ORKA-021, to combine two attractive features of each program: the rapid response of an IL-17 inhibitor with the ideal maintenance profile of an IL-23 inhibitor. We believe that ORKA-001 and ORKA-002 provide the potential to offer a highly compelling product profile for most patients with PsO and/or PsA, as well as the opportunity to address additional I&amp;I indications.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Additional Pipeline Program</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 third mAb program, ORKA-003, designed to target an undisclosed pathway. Our strategy as a company is to remain highly focused on I&amp;I diseases, and specifically on inflammatory dermatology conditions. Our third program provides the potential for indication expansion beyond PsO and may create combination opportunities with our more advanced programs.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Team, Investors, and Paragon Collaboration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led by a management team with significant experience in developing novel treatments for patients at biopharmaceutical companies such as CRISPR Therapeutics, Celgene, Novartis, CymaBay Therapeutics and Protagonist Therapeutics. Together, our team has a proven track record of building successful biotech organizations in high-growth environments.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Pre-Merger Oruka was founded in February 2024 by leading healthcare investor Fairmount. Fairmount founded Paragon in 2021 to conduct biologics discovery and optimization, including acting as the firm’s discovery engine for biologics that potentially overcome limitations of existing therapies. We have entered into license agreements with Paragon pursuant to which Paragon granted us a royalty-bearing, world-wide, exclusive license to develop, manufacture, commercialize or otherwise exploit certain antibodies and products targeting IL-23 outside of the field of inflammatory bowel disease for ORKA-001 and for ORKA-002, certain antibodies and products targeting IL-17A/F.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achieve our goal of developing leading therapeutic antibodies for patients with inflammatory skin diseases, we are applying antibody engineering to validated modes of action. We believe this approach will enable us to improve meaningfully upon the efficacy and convenience of standard-of-care medicines while significantly reducing technical and biological risk. The key elements of our strategy include:</w:t>
      </w:r>
    </w:p>
    <w:p>
      <w:pPr>
        <w:spacing w:after="0" w:line="172" w:lineRule="exact"/>
        <w:rPr>
          <w:sz w:val="20"/>
          <w:szCs w:val="20"/>
          <w:color w:val="auto"/>
        </w:rPr>
      </w:pPr>
    </w:p>
    <w:p>
      <w:pPr>
        <w:jc w:val="both"/>
        <w:ind w:left="660" w:hanging="328"/>
        <w:spacing w:after="0" w:line="25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Employ advanced antibody engineering to build biologics that could significantly improve upon existing therapies: </w:t>
      </w:r>
      <w:r>
        <w:rPr>
          <w:rFonts w:ascii="Times New Roman" w:cs="Times New Roman" w:eastAsia="Times New Roman" w:hAnsi="Times New Roman"/>
          <w:sz w:val="18"/>
          <w:szCs w:val="18"/>
          <w:color w:val="auto"/>
        </w:rPr>
        <w:t>We and our collaborators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Paragon have optimized a variety of parameters using a suite of antibody technologies to develop candidates with the potential to improve upon existing therapies. These parameters include extending half-life to increase exposure and reduce dosing frequency, enhancing affinity and specificity to maximize potency and safety, and optimizing developability to ensure consistency and enable convenient, high-dose formulations. Together, we believe these features have the potential to translate into more efficacious and convenient medicines for patients.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Target validated mechanisms of action: </w:t>
      </w:r>
      <w:r>
        <w:rPr>
          <w:rFonts w:ascii="Times New Roman" w:cs="Times New Roman" w:eastAsia="Times New Roman" w:hAnsi="Times New Roman"/>
          <w:sz w:val="18"/>
          <w:szCs w:val="18"/>
          <w:color w:val="auto"/>
        </w:rPr>
        <w:t>Our initial targets, IL-23p19 and IL-17A/F, have established efficacy and safety for the treatment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PsO, PsA, and other indications. The FDA has approved four biologics in the IL-23 class, including three targeting IL-23p19, and four biologics in the IL-17 class, including one targeting IL-17A/F. While these therapies have advanced the standard of care in PsO and PsA, they have not addressed these diseases completely, and a significant fraction of patients do not achieve complete skin clearance. By applying our advanced antibody engineering to these validated targets, we believe we can maximize our chances of developing superior medicines for patients. In addition, the reduced technical and biological risk of these validated mechanisms may allow us to progress our programs more efficiently and rapidly.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both"/>
        <w:ind w:left="660" w:hanging="328"/>
        <w:spacing w:after="0" w:line="25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Leverage insights from earlier entrants to optimize our approach: </w:t>
      </w:r>
      <w:r>
        <w:rPr>
          <w:rFonts w:ascii="Times New Roman" w:cs="Times New Roman" w:eastAsia="Times New Roman" w:hAnsi="Times New Roman"/>
          <w:sz w:val="18"/>
          <w:szCs w:val="18"/>
          <w:color w:val="auto"/>
        </w:rPr>
        <w:t>We benefit from a large body of clinical evidence generated by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therapies targeting IL-23 and IL-17. We continue to extract and apply learnings from this precedent to our programs, including in development candidate selection, clinical trial design, dosing regimens, formulations and presentations, regulatory pathway, and indication prioritization. For instance, based on correlations between affinity and efficacy, we have designed ORKA-001 and ORKA-002 to bind to similar epitopes and at similar or greater affinities as the leading antibodies in each class: risankizumab and bimekizumab, respectively, with the aim of maximizing efficacy. Also, by understanding the exposure-response relationships for efficacy and safety for other therapies, we plan to select dose levels and regimens that could maximize efficacy and maintenance of response while maintaining safety.</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Pursue opportunities with strong prospects of yielding meaningful new medicines as a “base case” and the potential to shift the treatment paradigm entirely as an “upside case”: </w:t>
      </w:r>
      <w:r>
        <w:rPr>
          <w:rFonts w:ascii="Times New Roman" w:cs="Times New Roman" w:eastAsia="Times New Roman" w:hAnsi="Times New Roman"/>
          <w:sz w:val="18"/>
          <w:szCs w:val="18"/>
          <w:color w:val="auto"/>
        </w:rPr>
        <w:t>Our strategy seeks to maximize the potential for our programs to reach a base case product profile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could meaningfully advance the standard of care—for instance, for ORKA-001, SQ dosing one or twice a year with equal or greater efficacy compared to today’s standard of care. At the same time, we aim to deliver an upside case that dramatically improves outcomes for patients—for instance, significantly increasing rates of complete skin clearance via higher antibody exposures or offering patients durable remissions free from therapy by introducing patient-specific dosing intervals.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Build a preeminent biotechnology company focused on chronic skin disease and other I&amp;I indications: </w:t>
      </w:r>
      <w:r>
        <w:rPr>
          <w:rFonts w:ascii="Times New Roman" w:cs="Times New Roman" w:eastAsia="Times New Roman" w:hAnsi="Times New Roman"/>
          <w:sz w:val="18"/>
          <w:szCs w:val="18"/>
          <w:color w:val="auto"/>
        </w:rPr>
        <w:t>We are assembling a team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exceptional people and helping them reach their full potential and flourish so that together we can bring forward meaningful new medicines for patients.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pursuing the focused strategy outlined above will help us to succeed in our mission of offering patients living with PsO, PsA, and other dermatologic and inflammatory diseases the greatest possible freedom from their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Targeting IL-23 and IL-17 to Treat Multiple I&amp;I Indications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programs benefit from significant advances in the understanding of the biology of I&amp;I diseases over the past four decades. ORKA-001 and ORKA-002 are designed to target two key cytokines that play a related role in multiple indications. IL-23 is an upstream regulator of Th17 cells, a pro-inflammatory subset of T helper cells characterized by their production of IL-17. IL-23 has a critical role in maintaining Th17 cells in the tissue as well as activating these cells to secrete IL-17, which acts downstream to trigger inflammation and other disease symptoms. Th17 cells are involved in PsO, PsA, HS, axSpA, and many other diseases. They play a particularly central role in PsO and PsA. The diagram below depicting the immunopathogenesis of PsO provides an example of how Th17 cells can mediate disease and how blocking IL-23 or IL-17 can break the inflammatory cycle that drives disease.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Immunopathogenesis of PsO and the role of IL-23 and IL-17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156845</wp:posOffset>
            </wp:positionV>
            <wp:extent cx="4714875" cy="3454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14875"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PsO develops when environmental triggers and a genetic predisposition combine to cause activation of an inflammatory cycle in the skin that leads to the formation of plaques and other disease manifestations. This process begins with the aberrant activation of the dendritic cells (“DCs”), specifically those producing IL-23 and other cytokines like IL-1β, IL-21, TNF-α, and IL-12. These cytokines induce the differentiation of Th17 cells, as well as other cell types, such as T helper type 1 (“Th1”) cells that produce IFNγ and TNF-α and T helper type 22 (“Th22”) cells that produce IL-22. IL-23 plays a key role in the differentiation and activation of Th17 cells to secrete IL-17, as well as Th22 cells to produce IL-22. IL-17 and these other cytokines induce keratinocyte hyperproliferation leading to plaque formation and a feedforward inflammatory response, with changes in gene expression in keratinocytes, the production of antimicrobial peptides, and neutrophil recruitment driving further inflammation. While many cytokines and cell types contribute to the pathogenesis of PsO, the IL-23/IL-17 axis plays an important role, as supported by the success of therapies targeting this axis.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While the successful treatment of PsO — for instance, with mAbs targeting IL-23 or IL-17 — can result in lesional skin returning to an apparently normal state, disease tends to recur at previously affected sites following cessation of therapy, suggesting a mechanism of “immunological memory” that predisposes individuals to recurrence in the same locations. Evidence suggests that pathogenic TRMs play a critical role in this memory. TRMs may arise from the Th17 cells and other cells that drove disease in the first place and remain in their resident tissue, in this case the epidermis and dermis, for long periods of time. Upon a disease trigger, these TRMs can actively produce proinflammatory cytokines, causing disease recurrence. IL-23 appears to play an important role in maintaining and potentiating TRMs, as indicated by the depletion of TRMs following treatment with an IL-23 inhibitor but not an IL-17 inhibitor, which may explain the longer remissions observed with IL-23 inhibitors following withdrawal of therapy. This type of data has raised the prospect that efficient IL-23 blockade could modify the disease biology of PsO, possibly leading to durable remissions.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scientific discoveries that refined our understanding of the immunopathogenesis of PsO have led to waves of therapeutic advances, ultimately leading to today’s standard of care. Before the 1980s, PsO was not even thought of as an immunologic disease, but rather a disease of keratinocyte dysfunction, leading to treatments such as phototherapy, methotrexate, and retinoids. The discovery in the 1980s that PsO results from immune dysfunction led to the use of broad immunosuppressants like cyclosporine. From 1990 to 2008, it was believed that Th1 cells were the predominant mediators of the disease, which led to the use of biologics targeting TNF-α such as Enbrel (etanercept) and Humira (adalimumab). Finally, the revelation that PsO is driven principally by Th17 cells resulted in the development of the primary therapies used today, which target IL-23 and IL-17. This increasingly refined understanding of the disease has narrowed the standard of care from broad immunosuppressive agents (such as cyclosporine) to more specific immunomodulators (TNF-α inhibitors) to precise biologic therapies targeting the key cytokines involved in disease pathology (IL-23 and IL-17 inhibitors), with each new therapeutic class raising the bar on both safety and efficacy.</w:t>
      </w:r>
    </w:p>
    <w:p>
      <w:pPr>
        <w:spacing w:after="0" w:line="18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Biologic therapies, especially mAbs, are now mainstays in the treatment of a wide variety of I&amp;I diseases, including PsO and PsA. Therapies that have improved upon efficacy and/or reduced dosing frequency have achieved the most commercial success, even when launched many years after other biologics. Enbrel was first approved for PsO in 2004 with a weekly maintenance dosing schedule. Four years later, Humira was approved for PsO with an every-other-week (Q2W) dosing schedule. Stelara (ustekinumab) was approved a year later with similar Phase 3 data to Humira, but with a significantly improved dosing schedule of every twelve weeks (Q12W). Several drugs for PsO have been approved since 2009 that demonstrated higher efficacy in their pivotal studies compared to Stelara, but with more burdensome dosing schedules, including Tremfya (guselkumab), which has a dosing schedule of every eight weeks (Q8W), and Cosentyx (secukinumab) and Taltz (ixekizumab), which have dosing schedules of every four weeks (Q4W). While these therapies have all become generally successful products, the most commercially successful drug in the PsO market today is Skyrizi (risankizumab), which combines Stelara’s Q12W dosing schedule with improvements in efficacy, as evidenced by a higher psoriasis area severity index (PASI) score of PASI 90 and PASI 100 rates (i.e., a 90% improvement in PASI score and a 100% improvement in PASI score (complete clearance), respectively) in clinical trials. In addition, Bimzelx (bimekizumab), approved by the FDA in 2023, has shown evidence of efficacy that exceeds even Skyrizi, though with a less convenient Q8W dosing schedule. Although many biologics have entered the PsO market over the past two decades, new entrants have had significant commercial success when they have improved upon efficacy and/or dosing frequency, and room remains to improve in both areas to set a new standard for the treatment of PsO.</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Biologics have raised the bar on the standard of care in PsO, but leave room for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156845</wp:posOffset>
            </wp:positionV>
            <wp:extent cx="5915025" cy="255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15025"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biology driving PsO and PsA is well understood today, and the standard of care has progressed dramatically. We believe that it is unlikely that a novel mechanism will emerge that is as safe and efficacious as targeting the IL-23/IL-17 axis. Therefore, we believe that innovation now should be focused on optimizing the product profile that can be offered to patients. While much effort is being directed toward daily oral formats to inhibit this axis, oral medicines have yet to match the efficacy of biologics. We believe that a better biologic with a longer dosing interval and the potential for improved efficacy will present a more attractive product profile for most patients.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Psoriasis (PsO)</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PsO is a chronic autoimmune skin disorder that affects an estimated 125 million people worldwide with steadily increasing prevalence, estimated to be around 2 – 3% of the population currently, according to the World Psoriasis Day consortium. It is the largest pharmaceutical market within dermatology, with annual sales of approximately $25.0 billion in 2022, which is estimated to grow to $32 billion by 2028. The most common form of PsO is plaque psoriasis. Patients with chronic plaque psoriasis have well-demarcated, erythematous plaques with overlying, coarse, silvery-scaled patches. These plaques can occur anywhere on the body, though are typically found on the scalp, extensor areas of the knees and elbows, and gluteal cleft. Involvement of the palms, soles, or nails, and intertriginous areas, including the genitals, can also occur and can be particularly difficult to treat. Between one-quarter and one-half of PsO patients have moderate disease, defined as having 3% to 10% of the body surface area (“BSA”) involved, or severe disease, defined as having more than 10% BSA involvement. The chronic inflammation in PsO is associated with multiple comorbidities, including PsA, obesity, metabolic syndrome, hypertension, diabetes, and atherosclerotic cardiovascular disease.</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discussed earlier, PsO is a complex immune-mediated disease driven primarily by Th17 cells and the cytokines IL-23 and IL-17. The interplay of environmental and behavioral risk factors and genetics is believed to trigger PsO. Multiple lines of evidence support a genetic component to the disease, including the observation that approximately 40% of patients with PsO and PsA have a family history of the disease and the identification of multiple susceptibility loci, many containing genes related to the regulation of the immune system, in genome-wide association studies.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PsO Treatments and Limitations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patients with mild PsO typically rely on topical corticosteroids or oral therapies like Otezla (apremilast), these agents often do not provide an adequate response for patients with moderate-to-severe PsO. As a result, the American Academy of Dermatology-National Psoriasis Foundation recommends biologics as first-line therapy for moderate-to-severe PsO.</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Several classes of biologic therapies have been approved for PsO over the past 20 years, resulting in progressively more complete symptom relief. Efficacy in PsO is typically measured via the PASI scoring system. The first biologics approved for PsO were tumor necrosis alpha (“TNF-α”) inhibitors such as Enbrel (etanercept), Humira (adalimumab), and Remicade (infliximab), which achieved a PASI score of PASI 90 at 16 weeks in around 25 – 50% of patients and a PASI score of PASI 100 in around 5 – 20% of patients. Stelara (ustekinumab), which targets the p40 subunit of IL-23 that is shared with IL-12, was approved next and achieved efficacy on par with Humira. IL-17 inhibitors Cosentyx (secukinumab), Taltz (ixekizumab), and Siliq (brodalumab) followed and achieved responses of PASI 90 in around 70% of patients and PASI 100 in around 40% of patients with some risk of certain side effects such as oral candidiasis. Most recently, IL-23p19 inhibitors such as Ilumya (tildrakizumab), Tremfya (guselkumab), and Skyrizi (risankizumab) have achieved responses of PASI 90 in around 70 – 80% of patients and PASI 100 in around 30 – 50% of patients with highly tolerable profiles. Finally, IL-17A/F inhibitors such as Bimzelx (bimekizumab) have recently shown even higher response rates than IL-23 inhibitors, but with slightly less tolerable profiles.</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Treatment expectations in PsO have evolved progressively with this continued innovation. A 75% improvement in PASI score was previously thought to be an adequate depth of response, and weekly SQ dosing was viewed as acceptable. With each subsequent generation of innovation, patient and caregiver expectations have advanced. Today, Skyrizi (risankizumab) is widely viewed as the leader in PsO biologic therapy. In Phase 3 clinical trials, 43% and 58% of patients achieved PASI 100 at 16 and 52 weeks, respectively, with SQ maintenance dosing every three months. Most recently, Bimzelx (bimekizumab) has shown evidence of efficacy that exceeds even Skyrizi, achieving a 64% PASI 100 rate at 16 weeks in Phase 3 trials. However, the increased efficacy comes with a less convenient Q8W dosing schedule and an increased risk of certain side effects, most notably oral candidiasis. While agents like Skyrizi and Bimzelx reflect the remarkable advancement in PsO treatment, there remains significant unmet need. Approximately half of moderate-to-severe PsO patients do not achieve full skin clarity, and while early signs are present, the promise of disease modifying therapy remains unrealized. In addition, a continued desire for more convenient dosing options has driven significant interest in orally delivered medicines targeting these same pathways. However, oral therapies have yet to match the efficacy and safety profile of biologics. We believe that ORKA-001 and ORKA-002 could represent the next step in biologic innovation in PsO, with the potential for higher rates of complete skin clearance, more durable remissions, and markedly more convenient dosing regimens.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Psoriatic Arthritis (PsA)</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PsA is a chronic inflammatory condition that affects both the skin and joints, and often coexists with PsO. Around a quarter to a third of patients with moderate-to-severe PsO also have PsA. Most individuals develop PsO before being diagnosed with PsA, with a median gap of seven to eight years between the diagnosis of skin and joint disease, though in up to 30% of patients with PsA, joint symptoms appear before or simultaneously with skin manifestations. Patients with PsA present with joint pain, stiffness, and swelling affecting the peripheral joints, axial skeleton, or both. Enthesitis, dactylitis, nail lesions, fatigue, and ocular inflammation all occur commonly. PsA can lead to irreversible joint damage, including bony fusion across a joint (ankylosis). The pathogenesis of PsA is likely to be closely related to the mechanisms that underlie PsO. Like PsO, the exact cause of PsA remains unknown, but environmental triggers, including infection and trauma, and genetic factors play a role.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PsA Treatments and Limitations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Effective treatment of PsA requires a coordinated approach to address the unique combination of disease manifestations each patient has, which can include peripheral and axial arthritis, enthesitis, dactylitis, and skin and nail involvement. Many patients with milder disease symptoms will start with nonsteroidal anti-inflammatory drugs (“NSAIDs”) and/or local treatments to address specific disease manifestations. However, those with more moderate or severe disease and/or multidomain involvement will typically receive a biologic therapy targeting TNF-α or IL-17, or less commonly an oral Janus kinase (“JAK”) inhibitor. Comorbid conditions can also influence treatment selection. For example, an IL-17 inhibitor would be preferred for a patient with significant skin involvement, but not for patients with IBD or ocular symptoms, where a TNF-α inhibitor would be preferred. The most common endpoint used to measure the efficacy of TNF-α or IL-17 inhibitors in PsA is ACR response, or the proportion of patients achieving a specified percent improvement in American College of Rheumatology (“ACR”) score, which measures peripheral joint disease. Approved TNF-α inhibitors, including Humira (adalimumab) and Cimzia (certolizumab), achieved a placebo-adjusted ACR50 response of around 30 – 35% at 24 weeks with Q2W dosing. Approved IL-17 inhibitors, including Cosentyx (secukinumab) and Taltz (ixekizumab), achieved a slightly lower placebo-adjusted ACR50 response of around 25 – 30% at 24 weeks, but with more convenient Q4W dosing. Bimzelx (bimekizumab), which was recently approved in the United States for PsA, achieved a placebo-adjusted ACR50 response of approximately 35% at 16 weeks with Q4W dosing. A significant fraction of patients with PsA still do not achieve a satisfactory response with available therapies, and even the most convenient regimens require monthly SQ dosing.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additional opportunities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 addition to PsO and PsA, inhibition of IL-23 or IL-17 has demonstrated efficacy in a number of additional I&amp;I indications, including HS and axSpA.</w:t>
      </w:r>
    </w:p>
    <w:p>
      <w:pPr>
        <w:spacing w:after="0" w:line="23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HS is a chronic inflammatory skin disease characterized by lesions that include deep-seated nodules and abscesses, draining tracts, and fibrotic scars that occur most commonly in intertriginous areas, such as the armpits and groin. Due to the associated pain, sensitive locations, drainage, odor, and scarring, this condition can have a particularly negative psychosocial impact on affected individuals. HS is believed to be underdiagnosed and could have a prevalence well above 1% worldwide. Treatment varies depending on severity and can include topical and systemic antibiotics, hormone therapy, immune modulators, and surgery. Humira (adalimumab) was the only FDA-approved medication for the treatment of moderate-to-severe HS from its approval in 2015 until the approval of Cosentyx (secukinumab) in October 2023 and Bimzelx (bimekizumab) in November 2024. Now multiple other biologics are advancing through development and have demonstrated encouraging data in Phase 2 clinical trials, though a significant fraction of patients still do not achieve adequate responses.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axSpA is a chronic inflammatory disease that primarily affects the spine and sacroiliac joints that comprise the axial skeleton. The disease causes severe pain, stiffness, and fatigue, and can have additional clinical manifestations like uveitis, enthesitis, peripheral arthritis, and PsO. Patients with axSpA may develop further structural damage in their spine, which can lead to the fusion of vertebra (spinal ankylosis), which has a massive negative impact on mobility, physical function, and quality of life. The overall prevalence of axSpA is estimated to be around 1% in the United States. Treatment of axSpA starts with physical therapy and NSAIDs. If patients do not have an adequate response to NSAIDs, a TNF-α inhibitor is typically used, followed by an IL-17 inhibitor, such as Cosentyx (secukinumab), Taltz (ixekizumab), or Bimzelx (bimekizumab), or less frequently a JAK inhibitor. Patients often need to cycle through therapies over time due to inadequate responses or loss of response.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Our Solution: Half-Life Extension and Antibody Engineering Technologies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antibody engineering campaigns are designed to optimize multiple attributes in parallel: binding affinity, potency in a variety of assays, developability, and consistently extended serum half-life in non-human primates (“NHPs”). Half-life extension is possible by modifying the pH-dependent binding affinity of the antibody Fc domain for FcRn. A primary mechanism of elimination of antibodies from the serum is through pinocytosis and degradation in the lysosomes of cells. Throughout this process, antibodies can be recycled back into the serum by binding to FcRn while they are in endosomes. The interior of the endosome is acidic, and therefore the efficiency of this recycling process depends on the ability of the antibody Fc domain to bind to FcRn at low pH. If this low pH binding is efficient enough, antibody recycling can be favored over degradation, potentially resulting in a much longer serum half-life.</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Antibody engineers have discovered methods of modifying the Fc domain to optimize the efficiency of recycling via FcRn binding. Several engineering strategies have been identified over the past two decades, with the so-called “YTE” mutations (M252Y/S254T/T256E) and “LS” mutations (M428L/N434S) being the most frequently used. Importantly, while these strategies have been known for some time, it was only relatively recently that enough clinical precedent was established to provide confidence in how these mutations perform in humans. Two products incorporating YTE modification were approved in 2023 by the FDA, Beyfortus (nirsevimab) and Evusheld (tixagevimab and cilgavimab), and several more candidates are in clinical trials. Two products using LS mutations were approved in 2021 and 2022, Xevudy (sotrovima) and Ultomiris (ravulizumab), respectively, and several more candidates are in clinical trials. Based on clinical data in humans, antibodies with YTE mutations typically have a half-life that is two to four times longer than wildtype antibodies. In addition, preclinical data in NHPs can be used to predict the approximate half-life in humans, with the human half-life equaling around two to four times the NHP half-life.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experience with YTE-modified mAbs predicts significant half-life extension over wildtype mAbs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156845</wp:posOffset>
            </wp:positionV>
            <wp:extent cx="3874770" cy="25114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477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this increasing body of clinical precedent serves to validate half-life extension, we do not yet have clinical data showing that the introduction of these amino acid substitutions in our programs leads to a longer serum half-life. However, we aim to establish this favorable pharmacokinetic profile early in the clinical development of our product candidates.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ORKA-001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ORKA-001 is a high affinity, extended half-life mAb designed to target the p19 subunit of IL-23. Based on preclinical data generated to date, we believe ORKA-001 has the potential to become the leading IL-23 inhibitor and achieve an optimal product profile in PsO consisting of the following:</w:t>
      </w:r>
    </w:p>
    <w:p>
      <w:pPr>
        <w:spacing w:after="0" w:line="158" w:lineRule="exact"/>
        <w:rPr>
          <w:sz w:val="20"/>
          <w:szCs w:val="20"/>
          <w:color w:val="auto"/>
        </w:rPr>
      </w:pPr>
    </w:p>
    <w:p>
      <w:pPr>
        <w:jc w:val="both"/>
        <w:ind w:left="660" w:hanging="328"/>
        <w:spacing w:after="0" w:line="25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One to two maintenance doses per year. </w:t>
      </w:r>
      <w:r>
        <w:rPr>
          <w:rFonts w:ascii="Times New Roman" w:cs="Times New Roman" w:eastAsia="Times New Roman" w:hAnsi="Times New Roman"/>
          <w:sz w:val="18"/>
          <w:szCs w:val="18"/>
          <w:color w:val="auto"/>
        </w:rPr>
        <w:t>Standard-of-care therapies targeting IL-23 require maintenance dosing every eight to twelve weeks.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engineered the Fc portion of ORKA-001 to include YTE mutations to increase the half-life of ORKA-001 in circulation, which may enable dosing every six to twelve months — a dosing interval made feasible by half-life extension technology. In preclinical studies, serum levels from NHPs indicated an elimination half-life of over 30 days following SQ administration of ORKA-001. Based on published scientific literature on other antibodies incorporating YTE mutations and pharmacokinetic modeling, we anticipate this half-life in NHPs to translate to a half-life in humans that could allow subcutaneous dosing every six to twelve months while maintaining high antibody exposures.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Higher PASI 100. </w:t>
      </w:r>
      <w:r>
        <w:rPr>
          <w:rFonts w:ascii="Times New Roman" w:cs="Times New Roman" w:eastAsia="Times New Roman" w:hAnsi="Times New Roman"/>
          <w:sz w:val="18"/>
          <w:szCs w:val="18"/>
          <w:color w:val="auto"/>
        </w:rPr>
        <w:t>ORKA-001 benefits from the robust validation of IL-23 inhibition in PsO by multiple approved therapies, such as Skyrizi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(risankizumab) and Tremfya (guselkumab), while leveraging insights from these therapies to improve upon their clinical profile. ORKA-001 is designed to bind a similar epitope to the market-leading anti-IL-23 antibody, Skyrizi, with similar or greater affinity and could achieve much higher exposures in patients due to half-life extension and higher dosing. Skyrizi and Tremfya both have a robust exposure-response relationship, with higher drug exposures leading to higher response rates. Published data indicates that these therapies have not saturated this exposure-response relationship, and ORKA-001 could lead to higher response rates, including higher rates of complete skin clearance, or PASI 100, through increased exposure, even while having more convenient dosing with as few as one or two maintenance doses per year.</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Validated IL-23p19 safety profile. </w:t>
      </w:r>
      <w:r>
        <w:rPr>
          <w:rFonts w:ascii="Times New Roman" w:cs="Times New Roman" w:eastAsia="Times New Roman" w:hAnsi="Times New Roman"/>
          <w:sz w:val="18"/>
          <w:szCs w:val="18"/>
          <w:color w:val="auto"/>
        </w:rPr>
        <w:t>Existing commercially approved antibodies targeting IL-23 provide a robust precedent for the safety of IL-23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inhibition. Across thousands of patients dosed in dermatology and IBD indications, no correlations have been observed at the patient level between exposure and safety. While we are not pursuing IBD, the approved Skyrizi regimens for Crohn’s disease and ulcerative colitis supports the safety of high peak exposures. Peak Skyrizi exposures during the IV induction phase in Crohn’s disease and ulcerative colitis are multiple times higher than the anticipated peak ORKA-001 exposures at dose levels we currently plan to evaluate in PsO. In addition, an exposure-response analysis for Skyrizi in ulcerative colitis showed no relationship between exposures and evaluated safety endpoints in the 12-week induction or 52-week maintenance periods. In this assessment, the top quartile of average exposures were significantly higher than the highest anticipated exposures with ORKA-001 in the same periods.</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Potential to offer longer term remission to some patients. </w:t>
      </w:r>
      <w:r>
        <w:rPr>
          <w:rFonts w:ascii="Times New Roman" w:cs="Times New Roman" w:eastAsia="Times New Roman" w:hAnsi="Times New Roman"/>
          <w:sz w:val="18"/>
          <w:szCs w:val="18"/>
          <w:color w:val="auto"/>
        </w:rPr>
        <w:t>Emerging evidence suggests that IL-23 blockade can modify the disease biology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PsO, possibly leading to durable remissions and preventing the development of PsA. Dr. Andrew Blauvelt, chair of our Scientific Advisory Board, pioneered some of this work by using two- and four-times the approved dose levels of risankizumab to achieve best-in-indication response rates. This study, called KNOCKOUT, showed a robust depletion of TRMs following high dose IL-23 inhibition, which could lead to longer-lasting remissions in some patients. Additional evidence from a study of guselkumab, called GUIDE, showed that intervention early in the disease course can lead to longer treatment-free remissions. In addition, retrospective claims data suggests that treatment with an IL-23 inhibitor could help prevent progression to PsA, though this finding has yet to be confirmed by a prospective clinical trial. Given the high antibody exposures expected with ORKA-001, we believe that ORKA-001 could lead to durable remissions for some patients, especially those with short disease duration. We plan to pursue patient-specific dosing intervals to provide each patient the greatest possible freedom from their disease.</w:t>
      </w:r>
    </w:p>
    <w:p>
      <w:pPr>
        <w:spacing w:after="0" w:line="19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this target profile for ORKA-001 could offer improved freedom from disease to many patients affected by PsO and represent a step forward in the standard of care.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Data</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evaluated ORKA-001 in numerous preclinical studies for several key features: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Potency that matches or exceeds Skyrizi (risankizumab) in vitro</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tested the potency of ORKA-001 in vitro in multiple assays, including assays evaluating the inhibition of IL-17 release from human peripheral mononuclear blood cells, in comparison to risankizumab generated recombinantly based on amino acid sequences from patent filings. Based on the results of these experiments, we believe ORKA-001 binds a similar epitope as risankizumab with similar potency.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ORKA-001 binds to a similar epitope as risankizumab with similar potency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156845</wp:posOffset>
            </wp:positionV>
            <wp:extent cx="5572125" cy="25285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72125"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half-life extension in NHPs that could enable a maintenance dosing interval of once or twice a year in humans</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assessed ORKA-001 in NHPs in comparison to risankizumab generated recombinantly based on amino acid sequences from patent filings. ORKA-001 had a significantly longer half-life, reaching over 30 days with SQ administration. Based on clinical experience with YTE-modified mAbs and pharmacokinetic modeling, we believe that this half-life extension could enable dosing once or twice per year, as shown in the figure below.</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The incorporation of YTE mutations significantly extends half-life in NHPs, which could enable once or twice yearly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156845</wp:posOffset>
            </wp:positionV>
            <wp:extent cx="5572125" cy="2459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72125"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enabling less frequent dosing, an extended half-life would increase the exposure of ORKA-001, which has the potential to increase efficacy. Based on published literature, Skyrizi (risankizumab) demonstrates a clear relationship between antibody exposure and efficacy, with higher average serum antibody concentration correlating with higher PASI 90 and PASI 100 rates short-term (at 16 weeks) and long-term (at 52 weeks), as shown for PASI 100 in the figure below. In addition, the KNOCKOUT study, which evaluated two- and four-times higher doses of Skyrizi than the approved regimen, yielded some of the highest PASI 100 rates observed to date, reaching 67% at 16 weeks. Based on our pharmacokinetic modeling, ORKA-001 could achieve four-fold higher average exposures than the approved Skyrizi regimen over the first 16 weeks and over two-fold higher average exposures at steady-state, exceeding even the exposures in KNOCKOUT. Based on the exposure-response relationship observed with other IL-23 inhibiting antibodies, we believe that these increased exposures could result in higher efficacy.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ORKA-001 is projected to extend the exposure-response relationship established by studies of Skyrizi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156845</wp:posOffset>
            </wp:positionV>
            <wp:extent cx="5314950" cy="2211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1495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Safety in vitro and in vivo</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evaluated ORKA-001 in several in vitro and in vivo preclinical studies to assess safety. In addition, we have a nonclinical program to characterize the toxicology, toxicokinetics, and anti-drug antibody profile of ORKA-001 in NHPs. Our nonclinical program supported the initiation of our Phase 1 clinical trial for ORKA-001 and our continuing clinical development.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Characteristics that support ease of manufacturing and potentially enable high-concentration formulations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Finally, we have assessed a variety of attributes essential for manufacturability and high-concentration formulation, including viscosity, solubility, and stability, among others. ORKA-001 shows evidence of desirable properties across these characteristics, which we believe will enhance our ability to manufacture ORKA-001 successfully and consistently and to deliver high doses of ORKA-001 subcutaneously using convenient, low-volume presentations.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ORKA-001</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dosed the first participants in a Phase 1 clinical trial of ORKA-001 in healthy volunteers in the fourth quarter of 2024. This trial is a double-blind, placebo-controlled, single ascending dose study evaluating the safety, tolerability, and pharmacokinetics of ORKA-001 in healthy volunteers. The trial is expected to enroll approximately 24 healthy volunteers across three subcutaneous dose cohorts. We expect to share interim data from this trial in the second half of 2025. We believe this data has the potential to provide key validation of initial safety and pharmacokinetics data, including half-life, to support extended dosing intervals.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plan to initiate a Phase 2a proof-of-concept study of ORKA-001 in moderate-to-severe PsO in the second half of 2025. We believe that several aspects of PsO facilitate clinical development, including well-established, reproducible endpoints based on PASI scores, low placebo rates, particularly with PASI 90 and PASI 100, a rapid efficacy readout at 16 weeks, and potentially rapid enrollment due to the large patient population. Our Phase 2a clinical trial is anticipated to evaluate the safety and efficacy of a single dose level of ORKA-001 versus placebo in approximately 80 subjects, followed by randomization to one of two maintenance dosing arms. In one maintenance arm, subjects will receive ORKA-001 every six months. In the other, subjects will receive only induction dosing to assess the length of time patients maintain clear skin, which could support once-yearly dosing or even longer-term durability in some patients. The anticipated primary endpoint is PASI 100 at Week 16. After completing the trial, subjects may have the option to roll over to an open-label extension study. We expect to share initial data from the Phase 2a trial in the second half of 2026. We believe this data has the potential to inform efficacy at Week 16, as well as later timepoints, and provide us information on preliminary durability, including the potential for extended dosing intervals and longer-term remissions.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ORKA-002</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ORKA-002 is a high affinity, extended half-life mAb designed to target IL-17A/F. Dual inhibition of both IL-17A and IL-17F has shown superior efficacy compared to IL-17A inhibition alone in PsO and other indications, as shown by the performance of Bimzelx (bimekizumab) compared to Cosentyx (secukinumab) and Taltz (ixekizumab) in Phase 3 trials. These therapies all utilize Q4W maintenance dosing in PsO and PsA, except Bimzelx, where Q8W maintenance dosing in PsO patients &lt;120 kg is recommended. By binding IL-17A/F at similar epitopes and affinity ranges as Bimzelx while incorporating half-life extension technology to potentially enable dosing two to three times a year in PsO and PsA, we believe that ORKA-002 could become the leading therapy in the IL-17 class.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Data</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preclinical program we are conducting for ORKA-002 mirrors that for ORKA-001 and spans potency, pharmacokinetics, safety, and manufacturing characteristics. Based on the results of these experiments, we believe ORKA-002 has the potential for comparable potency to bimekizumab, but with a significantly longer half-life, which we believe could support dosing two or three times per year based on extrapolation from clinical precedent and pharmacokinetic modeling.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Plans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plan to initiate dosing of healthy volunteers in a Phase 1 trial of ORKA-002 in the third quarter of 2025. As with ORKA-001, initial data on ORKA-002 in healthy volunteers has the potential to provide key validation of both early safety and pharmacokinetics to support extended dosing intervals. Though clinical development of ORKA-002 will initially focus on one lead indication, we plan to evaluate ORKA-002 in a range of indications over time. We see ORKA-002 as highly complementary to ORKA-001, with the potential to provide an optimal therapy for the approximately one-quarter to one-third of moderate-to-severe PsO patients who have PsA, as well as for PsO patients with highly resistant skin symptoms that do not respond adequately to an IL-23 inhibitor. Furthermore, ORKA-002 could address indications beyond PsO, including PsA with limited skin involvement, HS, axSpA, and additional I&amp;I diseases.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ORKA-021</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IL-17 and IL-23 classes each have distinct advantages. IL-17 inhibitors tend to have the fastest onset and highest peak response, while IL-23 inhibitors have less frequent dosing and better durability and safety. Combining the two mechanisms sequentially has the potential to provide two attractive features of each program: the rapid response of an IL-17 inhibitor with the ideal maintenance profile of an IL-23 inhibitor. As a result, following ORKA-002 and ORKA-001, we plan to explore a sequential combination regimen of ORKA-002 and ORKA-001, called “ORKA-021.”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Pipeline Program</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 third mAb program, ORKA-003, that targets an undisclosed pathway. A core tenet of our strategy is to remain highly focused on I&amp;I diseases, and specifically on inflammatory dermatology conditions. ORKA-003 provides the potential for indication expansion beyond PsO as well as combination opportunities with our more advanced programs. In the future, we may add additional programs to our portfolio beyond ORKA-001, ORKA-002, ORKA-021 and ORKA-003 that fit our strategic focus.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strive to protect the proprietary programs and technologies that we believe are important to our business, including seeking and maintaining patent protection intended to cover the composition of matter of our programs, their methods of use and manufacture, related technologies, diagnostics, and other inventions.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Paragon has filed, on our behalf, provisional patent applications, and we have filed non-provisional patent applications, and may file additional patent applications directed to antibodies that target IL-23, including applications covering composition of matter, pharmaceutical formulations, and methods of using such antibodies, including ORKA-001. In addition, Paragon has filed, on our behalf, provisional patent applications, and we may file additional patent applications directed to antibodies that target IL-17, including applications covering composition of matter, pharmaceutical formulations, and methods of using such antibodies, including ORKA-002. We have exclusive rights to ORKA-001 and ORKA-002 and the corresponding IL-23 and IL-17 patent applications pursuant to license agreements with Paragon. If the patent applications mature into one or more issued patents covering ORKA-001 or ORKA-002, we would expect those patents to expire in 2045, absent any applicable patent term adjustments or extensions.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Should any of our product candidates be approved for commercialization, we intend to develop a plan to commercialize them in the United States and other key markets, through internal infrastructure and/or external partnerships in a manner that will enable us to realize the full commercial value of our programs. Given our stage of development, we have not yet established a commercial organization or distribution capabilities. We have exclusive worldwide rights to develop and commercialize ORKA-001 and ORKA-002 pursuant to license agreements with Paragon.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do not currently own or operate facilities for product manufacturing, testing, storage, and distribution. We have contracted and expect to continue to contract with third parties for the manufacture and distribution of our product candidates. Because we rely on contract manufacturers, we employ personnel with extensive technical, manufacturing, analytical, and quality experience. Our team has deep knowledge and understanding of the regulations that govern manufacturing, documentation, quality assurance, and quality control of drug supply that are required to support our regulatory filings.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biotechnology and biopharmaceutical industries are characterized by continuing technological advancement and significant competition. While we believe that our programs, technology, development experience and scientific knowledge provide us with competitive advantages, we face competition from major pharmaceutical and biotechnology companies, academic institutions, governmental agencies, and public and private research institutions, among others. Any product candidates that we successfully develop and commercialize will compete with existing therapies and therapies that may become available in the future. Many of the companies with which we are currently competing or will compete against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establishing clinical trial sites, patient enrollment for clinical trials as well as in acquiring technologies complementary to, or necessary for, our programs.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Key competitive factors affecting the success of all our product candidates that we develop, if approved, are likely to be efficacy, safety, convenience, presentation, price, the level of generic competition, and the availability of reimbursement from government and other third-party payors. Our competitors may also obtain FDA or other regulatory approval for their products more rapidly than we may obtain approval for our products, which could result in our competitors establishing a strong market position before we are able to enter the market.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Specifically, there are several companies developing or marketing treatments that may be approved for the same indications and/or diseases as our two most advanced programs, ORKA-001 and ORKA-002, including major pharmaceutical companies. We do not yet have clinical data for any of our programs and there can be no assurance that our programs will have similar or comparable results.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There are several approved biologic therapies for the treatment of moderate-to-severe PsO. These include mAbs targeting IL-23, such as Skyrizi (risankizumab) from AbbVie, Tremfya (guselkumab) from Janssen, and Ilumya (tildrakizumab) from Sun Pharma, also marketed as Ilumetri by Almirall in Europe, which all target the p19 subunit, and Stelara (ustekinumab) from Janssen, which targets the p40 subunit; mAbs targeting IL-17, such as Bimzelx (bimekizumab) from UCB, which targets IL-17A/F, Cosentyx (secukinumab) from Novartis and Taltz (ixekizumab) from Eli Lilly, which both target IL-17A, and Siliq (brodalumab) from Ortho Dermatologics, also marketed as Kyntheum by LEO Pharma in Europe, which targets IL-17 receptor/A; and biologics targeting TNF-α, such as Humira (adalimumab) from AbbVie, Enbrel (etanercept) from Amgen, and Remicade (infliximab) from Janssen, and various biosimilar versions of each. In addition, there are several approved oral medicines in these indications, including the phosphodiesterase-4 (PDE4) inhibitor Otezla (apremilast) from Amgen and the tyrosine kinase 2 (TYK2) inhibitor Sotyktu (deucravacitinib) from Bristol-Myers Squibb. Many of these therapies also are approved or in development for PsA, HS, axSpA, and other I&amp;I indications.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we are aware of several product candidates in clinical development for moderate-to-severe PsO, along with PsA, HS, axSpA, and other indications. These include the biologics picankibart from Innovent Biologics targeting IL-23p19 and sonelokimab from MoonLake Immunotherapeutics targeting IL-17A/F. Also, there are several oral agents in development, including JNJ-2113 from Janssen targeting the IL-23 receptor, DC-853 from Eli Lilly targeting IL-17A, and TAK-279 from Takeda and ESK-001 from Alumis, both targeting TYK2.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Significant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Paragon Therapeutics – Option Agreements</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March 2024, we entered into two antibody discovery and option agreements (“Option Agreements”) with Paragon and Paruka Holding, LLC (“Paruka”). Paruka is an entity formed by Paragon as a vehicle to hold equity in our Company in order to share profits with certain employees of Paragon. Under the terms of each agreement, Paragon identifies, evaluates, and develops antibodies directed against certain mutually agreed therapeutic targets of interest to us. From time to time, we can choose to add additional targets to the collaboration upon agreement with Paragon and Paruka. Under the Option Agreements, we have the exclusive option to, on a research program-by-research program basis, be granted an exclusive, worldwide license to all of Paragon’s right, title, and interest in and to the intellectual property resulting from the applicable research program to develop, manufacture, and commercialize the antibodies and products directed to the selected target(s) (each, an “Option”). We have initiated certain research programs with Paragon that generally focus on discovering, generating, identifying and/or characterizing antibodies directed to a particular target (each, a “Research Program”), including for IL-23 and IL-17A/F for ORKA-001 and ORKA-002, respectively. Our exclusive option with respect to each Research Program is exercisable at our sole discretion at such time as specified in the Option Agreements (the “Option Period”). There is no payment due upon exercise of an Option pursuant to the Option Agreements. For each of these agreements, once we enter into the corresponding license agreements, we will be required to make non-refundable milestone payments to Paragon of up to $12.0 million under each respective agreement upon the achievement of certain clinical development milestones, up to $10.0 million under each respective agreement upon the achievement of certain regulatory milestones, as well as a low single-digit percentage royalty for antibody products beginning on the first commercial sale in each program.</w:t>
      </w:r>
    </w:p>
    <w:p>
      <w:pPr>
        <w:spacing w:after="0" w:line="19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terminate any Option Agreement or any Research Program at any time for any or no reason upon 30 days’ prior written notice to Paragon, provided that we must pay certain unpaid fees due to Paragon upon such termination, as well as any non-cancellable obligations reasonably incurred by Paragon in connection with its activities under any terminated Research Program. Paragon may terminate any Option Agreement or a Research Program immediately upon written notice to us if, as a result of any action or failure to act by us or our affiliates, such Research Program or all material activities under the applicable Research Plan are suspended, discontinued or otherwise delayed for a certain consecutive number of months. Each party has the right to terminate the Option Agreements or any Research Program upon material breach that remains uncured or the other party’s bankruptcy.</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as part of the Option Agreements, on December 31, 2024 and December 31, 2025, we granted and will grant, respectively, Paruka a warrant to purchase a number of shares equal to 1.00% of outstanding shares as of the date of the grant on a fully-diluted basis, with an exercise price equal to the fair market value of the underlying shares on the grant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Paragon Therapeutics – License Agreements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September 2024, we exercised the Option to acquire certain rights to ORKA-001, and in December 2024, we entered into the corresponding license agreement with Paragon (the “ORKA-001 License Agreement”), pursuant to which Paragon granted us a royalty-bearing, world-wide, exclusive license to develop, manufacture, commercialize or otherwise exploit certain antibodies and products targeting IL-23 in all fields other than the field of inflammatory bowel disease (“ORKA-001 Field”). In December 2024, we exercised the Option with respect to ORKA-002 for the IL-17A/F program, and in February 2025, we entered into the corresponding license agreement with Paragon (the “ORKA-002 License Agreement” and together with the ORKA-001 License Agreement, the “License Agreements”), pursuant to which Paragon granted us a royalty-bearing, world-wide, exclusive license to develop, manufacture, commercialize or otherwise exploit certain antibodies and products targeting IL-17A/F in all fields (“ORKA-002 Field” and together with the ORKA-001 Field, the “Fields”).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License Agreements provide us with exclusive licenses in the Fields to Paragon’s patent applications covering the related antibodies, their method of use and their method of manufacture and Paragon has agreed not to conduct any new campaigns that generate anti-IL-23 monospecific antibodies or anti-IL-17A/F monospecific antibodies for the ORKA-001 Field or the ORKA-002 Field, respectively, for at least five years. Each of the ORKA-001 and ORKA-002 License Agreements may be terminated on 60 days’ notice to Paragon, on material breach without cure, and on a party’s insolvency or bankruptcy to the extent permitted by law.</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Pursuant to the terms of each of the ORKA-001 and ORKA-002 License Agreements, we are obligated to pay Paragon non-refundable milestone payments of up to $12.0 million under each respective agreement upon the achievement of certain clinical development milestones and up to $10.0 million under each respective agreement upon the achievement of certain regulatory milestones, including a $1.5 million fee for nomination of a development candidate (or initiation of an investigational new drug (“IND”) enabling toxicology study) and a further milestone payment of $2.5 million upon the first dosing of a human patient in a Phase 1 trial for each of ORKA-001 and ORKA-002. In addition, we are obligated to pay Paragon a low single-digit percentage royalty for antibody products for each of ORKA-001 and ORKA-002. For each of the License Agreements, the royalty term ends on the later of</w:t>
      </w:r>
    </w:p>
    <w:p>
      <w:pPr>
        <w:spacing w:after="0" w:line="5" w:lineRule="exact"/>
        <w:rPr>
          <w:sz w:val="20"/>
          <w:szCs w:val="20"/>
          <w:color w:val="auto"/>
        </w:rPr>
      </w:pPr>
    </w:p>
    <w:p>
      <w:pPr>
        <w:jc w:val="both"/>
        <w:ind w:firstLine="8"/>
        <w:spacing w:after="0" w:line="255" w:lineRule="auto"/>
        <w:tabs>
          <w:tab w:leader="none" w:pos="2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last-to-expire licensed patent or our patent directed to the manufacture, use or sale of a licensed antibody in the country at issue or (ii) 12 years from the date of first sale of a Company product. There is also a royalty step-down if there is no Paragon patent in effect during the royalty term for each program.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Cell Line License Agreement</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March 2024, we entered into the Cell Line License Agreement (the “Cell Line License Agreement”) with WuXi Biologics Ireland Limited (“WuXi Biologics”). Under the Cell Line License Agreement, we received a non-exclusive, worldwide, sublicensable license to certain of WuXi Biologics’ know-how, cell line, biological materials (the “WuXi Biologics Licensed Technology”) and media and feeds to make, have made, use, sell and import certain therapeutic products produced through the use of the cell line licensed by WuXi Biologics under the Cell Line License Agreement (the “WuXi Biologics Licensed Products”). Specifically, the WuXi Biologics Licensed Technology is used in certain manufacturing activities in support of the ORKA-001 and ORKA-002 programs.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consideration for the license, we agreed to pay WuXi Biologics a non-refundable license fee of $150,000. Additionally, to the extent that we manufacture our commercial supplies of bulk drug product with a manufacturer other than WuXi Biologics or its affiliates, we are required to make royalty payments to WuXi Biologics at a rate of less than one percent of net sales of WuXi Biologics Licensed Products manufactured by the third-party manufacturer. Pursuant to an amendment to the Cell Line License Agreement effective in November 2024, a provision was added that permits the royalties owed under the agreement to be bought out on a product-by-product basis for a lump-sum payment.</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Cell Line License Agreement will continue indefinitely unless terminated (i) by us upon six months’ prior written notice and our payment of all undisputed amounts due to WuXi Biologics through the effective date of termination, (ii) by WuXi Biologics for a material breach by us that remains uncured for 60 days after written notice, (iii) by WuXi Biologics if we fail to make a payment and such failure continues for 30 days after receiving notice of such failure, or (iv) by either party upon the other party’s bankruptcy.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our third-party contractors, will be required to navigate the various preclinical, clinical and commercial approval requirements of the governing regulatory agencies of the countries in which we wish to conduct studies or seek approval or licensure of our product candidates. Generally, before a new therapeutic product can be marketed, considerable data demonstrating a biological product candidate’s quality, safety, purity and potency, or a small molecule drug candidate’s quality, safety and efficacy, must be obtained, organized into a format specific for each regulatory authority, submitted for review and approved by the regulatory authority. For biological product candidates, potency is similar to efficacy and is interpreted to mean the specific ability or capacity of the product, as indicated by appropriate laboratory tests or by adequately controlled clinical data obtained through the administration of the product in the manner intended, to effect a given result.</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Failure to comply with the applicable U.S. requirements at any time during the product development process, approval process or post-marketing may subject an applicant to administrative or judicial sanctions. These sanctions could include, among other actions, the FDA’s refusal to approve pending applications from the sponsor,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our company and our products or product candidates.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United States Biologics Regulation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United States, biological products are subject to regulation under the Federal Food, Drug, and Cosmetic Act (“FDCA”), the Public Health Service Act (“PHSA”) and other federal, state, local, and foreign statutes and regulations. The process of obtaining regulatory approvals and the subsequent compliance with appropriate federal, state, and local statutes and regulations requires the expenditure of substantial time and financial resources. Failure to comply with the applicable U.S. requirements at any time during the product development process, approval process or following approval may subject an applicant to administrative action and judicial sanctions. The process required by the FDA before biologic product candidates may be marketed in the United States generally involves the following:</w:t>
      </w:r>
    </w:p>
    <w:p>
      <w:pPr>
        <w:spacing w:after="0" w:line="187"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and animal studies performed in accordance with the FDA’s current Good Laboratory Practices (“GLP”) regulation;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clinical trials may begin and must be updated annually or when significant changes are made;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or ethics committee at each clinical site before the trial is commenced;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of the proposed biologic candidate in accordance with current Good Manufacturing Practices (“cGMPs”);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current Good Clinical Practice (“GCP”) requirements to establish the safety, purity and potency of the proposed biologic product candidate for its intended purpose;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BLA, after completion of all pivotal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proposed product is produced to assess compliance with cGMPs, and to assure that the facilities, methods and controls are adequate to preserve the biological product’s continued safety, purity and potency, and of selected clinical investigation sites to assess compliance with GCPs;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a BLA to permit commercial marketing of the product for particular indications for use in the United States.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and Clinical Development</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Prior to beginning any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 or protocols for preclinical studies and clinical trials.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IND submission process, supervision of human gene transfer trials includes evaluation and assessment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preclinical studies and clinical trials and clinical study results to public registries.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purposes of BLA approval, human clinical trials are typically conducted in three sequential phases that may overlap.</w:t>
      </w:r>
    </w:p>
    <w:p>
      <w:pPr>
        <w:spacing w:after="0" w:line="225" w:lineRule="exact"/>
        <w:rPr>
          <w:sz w:val="20"/>
          <w:szCs w:val="20"/>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some cases, the FDA may require, or companies may voluntarily pursue, additional clinical trials after a product is approved to gain more information about the product. These so-called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sponsor may choose, but is not required, to conduct a foreign clinical study under an IND. When a foreign clinical study is conducted under an IND, all IND requirements must be met unless waived. When the foreign clinical study is not conducted under an IND, the sponsor must ensure that the study complies with certain FDA regulatory requirements in order to use the study as support for an IND or application for marketing approval or licensure, including that the study was conducted in accordance with GCP, including review and approval by an independent ethics committee and use of proper procedures for obtaining informed consent from subjects, and the FDA is able to validate the data from the study through an onsite inspection if the FDA deems such inspection necessary. The GCP requirements encompass both ethical and data integrity standards for clinical studies.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BLA Submission and Review</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the product, or from a number of alternative sources, including studies initiated and sponsored by investigators. The submission of a BLA requires payment of a substantial application user fee to the FDA, unless a waiver or exemption applies.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under the Pediatric Research Equity Act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requires that a sponsor who is planning to submit a marketing application for a biological product that includes a new active ingredient, new indication, new dosage form, new dosing regimen or new route of administration submit an initial pediatric study plan within sixty days after an end-of-Phase 2 meeting or as may be agreed between the sponsor and FDA. Unless otherwise required by regulation, PREA does not apply to any biological product for an indication for which orphan designation has been granted.</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Once a BLA has been accepted for filing, the FDA’s goal is to review standard applications within ten months after the filing date, or, if the application qualifies for priority review, six months after the FDA accepts the application for filing. In both standard and priority reviews, the review process may also be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The FDA is not bound by the recommendations of an advisory committee, but it considers such recommendations carefully when making decisions.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Combination Therapy</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Combination therapy is a treatment modality that involves the use of two or more drugs to be used in combination to treat a disease or condition. If those drugs are combined in one dosage form, such as one pill, that is known as a fixed dose combination product and it is reviewed pursuant to the FDA’s Combination Rule at 21 CFR 300.50. The rule provides that two or more drugs may be combined in a single dosage form when each component contributes to the claimed effects and the dosage of each component (amount, frequency, duration) is such that the combination is safe and effective for a significant patient population requiring such concurrent therapy as defined in the labeling for the drug. But not all combination therapy falls under the category of a fixed dose combination. For example, the FDA recognizes that two drugs in separate dosage forms and in separate packaging, that otherwise might be administered as monotherapy for an indication, also may be used in combination for the same indication. In 2013, the FDA issued guidance to assist sponsors that were developing the range of combination therapies that fall outside the category of fixed dose combinations. That guidance provides recommendations and advice on such topics as: (1) assessment at the outset whether two or more therapies are appropriate for use in combination; (2) guiding principles for nonclinical and clinical development of the combination; (3) options for regulatory pathways to seek marketing approval of the combination; and (4) post-marketing safety monitoring and reporting obligations. Given the wide range of potential combination therapy variations, the FDA indicated it intends to assess each potential combination on a case-by case basis and encouraged sponsors to engage in early and regular consultation with the relevant review division at the agency throughout the development process for its proposed combination.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Regulation of Combination Products</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Certain therapeutic products are comprised of multiple components, such as drug components, biologic components, and device components, that would normally be subject to different regulatory frameworks by the FDA and frequently regulated by different centers at the FDA. These products are known as combination products. Under the FDCA, the FDA is charged with assigning a center with primary jurisdiction, or a lead center, for review of a combination product. The determination of which center will be the lead center is based on the “primary mode of action” of the combination product. Thus, if the primary mode of action of drug/biologic-device combination product is attributable to the drug or biological product, the FDA center responsible for premarket review of the drug or biological product would have primary jurisdiction for the combination product. The FDA has also established the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 A combination product with a primary mode of action attributable to the drug or biologic component generally would be reviewed and approved pursuant to the drug or biologic approval processes set forth in the FDCA. In reviewing the new drug application or BLA for such a product, however, FDA reviewers would consult with their counterparts in the FDA’s Center for Devices and Radiological Health to ensure that the device component of the combination product met applicable requirements regarding safety, effectiveness, durability and performance. In addition, under FDA regulations, combination products are subject to cGMP requirements applicable to both drugs and devices, including the Quality System Regulation applicable to medical devices.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As part of the manufacturing process, the manufacturer is required to perform certain tests on each lot of the product before it is released for distribution. After a BLA is approved for a biological product, the product also may be subject to official lot release.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and potency or effectiveness of biologics.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w:t>
      </w:r>
    </w:p>
    <w:p>
      <w:pPr>
        <w:spacing w:after="0" w:line="19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8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a product, complete withdrawal of the product from the market or product recalls;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studies;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existing product approvals;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of the FDA to permit the import or export of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6" w:name="page27"/>
    <w:bookmarkEnd w:id="26"/>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Biosimilars and Reference Product Exclusivity</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Healthcare and Education Reconciliation Act (the “ACA”) includes a subtitle called the Biologics Price Competition and Innovation Act of 2009 (“BPCIA”), which created an abbreviated approval pathway for biological products that are highly similar, or “biosimilar,” to or interchangeable with an FDA-approved reference biological product. The FDA has issued several guidance documents outlining an approach to review and approval of biosimilars.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Biosimilarity, which requires that there be no clinically meaningful differences between the biological product and the reference product in terms of safety, purity, and potency, is generally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 The FDA has issued guidance documents intended to inform prospective applicants and facilitate the development of proposed biosimilars and interchangeable biosimilars, as well as to describe the FDA’s interpretation of certain statutory requirements added by the BPCIA.</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reference biologic is granted twelve years of exclusivity from the time of first licensure of the reference product. The first biologic product submitted under the abbreviated approval pathway that is determined to be interchangeable with the reference product has exclusivity against other biologics submitted under the abbreviated approval pathway for the lesser of (i) one year after the first commercial marketing, (ii) 18 months after approval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 The BPCIA is complex and continues to be interpreted and implemented by the FDA. In July 2018, the FDA announced an action plan to encourage the development and efficient review of biosimilars, including the establishment of a new office within the agency that will focus on therapeutic biologics and biosimilars. On December 20, 2020, Congress amended the PHSA as part of the COVID-19 relief bill to further simplify the biosimilar review process by making it optional to show that conditions of use proposed in labeling have been previously approved for the reference product, which used to be a requirement of the application.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1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discussed below, the Inflation Reduction Act of 2022 (“IRA”) is a significant new law that intends to foster generic and biosimilar competition and to lower drug and biologic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Term Extension</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United States, after a BLA is approved, owners of relevant drug patents may apply for up to a five-year patent extension, which permits patent term restoration as compensation for the patent term lost during the FDA regulatory process. The allowable patent term extension is typically calculated as one-half the time between, the latter of the effective date of an IND and issue date of the patent for which extension is sought, and the submission date of a BLA, plus the time between BLA submission date and the BLA approval date up to a maximum of five years. The time can be shortened if the FDA determines that the applicant did not pursue licensure with due diligence. The total patent term after the extension may not exceed 14 years from the date of product licensure. Only one patent applicable to a licensed biological product is eligible for extension and only those claims covering the product, a method for using it, or a method for manufacturing it may be extended and the application for the extension must be submitted prior to the expiration of the patent in question.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Some, but not all, foreign jurisdictions possess patent term extension or other additional patent exclusivity mechanisms that may be more or less stringent and comprehensive than those of the United States.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Healthcare Laws and Compliance Requirements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the federal Anti-Kickback Statute (“AKS”); the federal False Claims Act (“FCA”); the Health Insurance Portability and Accountability Act of 1996 (“HIPAA”) and similar foreign, federal and state fraud, abuse and transparency laws.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AKS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AKS has been interpreted to apply to arrangements between pharmaceutical manufacturers on one hand, and prescribers and purchasers on the other. The government often takes the position that to violate the AKS, only one purpose of the remuneration need be to induce referrals, even if there are other legitimate purposes for the remuneration. There are a number of statutory exceptions and regulatory safe harbors protecting some common activities from AKS prosecution, but they are drawn narrowly and practices that involve remuneration, such as consulting agreements, that may be alleged to be intended to induce prescribing, purchasing or recommending may be subject to scrutiny if they do not qualify for an exception or safe harbor. Our practices may not in all cases meet all of the criteria for protection under a statutory exception or regulatory safe harbor. Failure to meet all of the requirements of a particular applicable statutory exception or regulatory safe harbor does not make the conduct per se illegal under the AKS. Instead, the legality of the arrangement will be evaluated on a case-by-case basis based on a cumulative review of all of its facts and circumstances. A person or entity does not need to have actual knowledge of the statute or specific intent to violate it in order to have committed a violation.</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Civil and criminal false claims laws, including the FCA, and civil monetary penalty laws, which can be enforced through civil whistleblower or qui tam actions, prohibit, among other things, individuals or entities from knowingly presenting, or causing to be presented, claims for payment of federal government funds, including in federal healthcare programs, that are false or fraudulent. Pharmaceutical and other healthcare companies have been prosecuted under these laws for engaging in a variety of different types of conduct that “caused” the submission of false claims to federal healthcare programs. Under the AKS, for example, a claim resulting from a violation of the AKS is deemed to be a false or fraudulent claim for purposes of the FCA.</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HIPAA created additional federal criminal statutes that prohibit, among other things, executing a scheme to defraud any healthcare benefit program, including private third-party payors, and making false statements relating to healthcare matters. A person or entity does not need to have actual knowledge of the healthcare fraud statute implemented under HIPAA or specific intent to violate the statute in order to have committed a violation.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FDCA addresses, among other things, the design, production, labeling, promotion, manufacturing, and testing of drugs, biologics and medical devices, and prohibits such acts as the introduction into interstate commerce of adulterated or misbranded drugs or devices. The PHSA also prohibits the introduction into interstate commerce of unlicensed or mislabeled biological products.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U.S. federal Physician Payments Sunshine Act requires certain manufacturers of drugs, devices, biologics and medical supplies for which payment is available under Medicare, Medicaid or the Children’s Health Insurance Program, with specific exceptions, to annually report to the Centers for Medicaid</w:t>
      </w:r>
    </w:p>
    <w:p>
      <w:pPr>
        <w:jc w:val="both"/>
        <w:ind w:firstLine="8"/>
        <w:spacing w:after="0" w:line="253" w:lineRule="auto"/>
        <w:tabs>
          <w:tab w:leader="none" w:pos="2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 Services (“CMS”) information related to payments or other transfers of value to various healthcare professionals including physicians, physician assistants, nurse practitioners, clinical nurse specialists, certified nurse anesthetists, certified nurse-midwives, and teaching hospitals, as well as ownership and investment interests held by physicians and their immediate family members. Beginning on January 1, 2023, California Assembly Bill 1278 requires California physicians and surgeons to notify patients of the Open Payments database established under the federal Physician Payments Sunshine Act.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also subject to federal price reporting laws and federal consumer protection and unfair competition laws. Federal price reporting laws require manufacturers to calculate and report complex pricing metrics to government programs, where such reported prices may be used in the calculation of reimbursement and/ or discounts on approved products. Federal consumer protection and unfair competition laws broadly regulate marketplace activities and activities that potentially harm consumers.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also subject to additional similar U.S. state and foreign law equivalents of each of the above federal laws, which, in some cases, differ from each other in significant ways, and may not have the same effect, thus complicating compliance efforts. If our operations are found to be in violation of any of such laws or any other governmental regulations that apply, we may be subject to penalties, including, without limitation,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Privacy and Security</w:t>
      </w:r>
    </w:p>
    <w:p>
      <w:pPr>
        <w:spacing w:after="0" w:line="227"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Numerous state, federal, and foreign laws govern the collection, dissemination, use, access to, confidentiality, and security of personal information, including health-related information. In the United States, numerous federal and state laws and regulations, including state data breach notification laws, state health information privacy laws, and federal and state consumer protection laws and regulations, govern the collection, use, disclosure, and protection of health-related and other personal information could apply to our operations or the operations of our partners. For example, HIPAA, as amended by the Health Information Technology for Economic and Clinical Health (“HITECH”), and their respective implementing regulations imposes data privacy, security, and breach notification obligations on certain health care providers, health plans, and health care clearinghouses, known as covered entities, as well as their business associates and their covered subcontractors that perform certain services that involve using, disclosing, creating, receiving, maintaining, or transmitting individually identifiable protected health information (“PHI”) for or on behalf of such covered entities. These requirements imposed by HIPAA and the HITECH Act on covered entities and business associates include entering into agreements that require business associates protect PHI provided by the covered entity against improper use or disclosure, among other things; following certain standards for the privacy of PHI, which limit the disclosure of a patient’s past, present, or future physical or mental health or condition or information about a patient’s receipt of health care if the information identifies, or could reasonably be used to identify, the individual; ensuring the confidentiality, integrity, and availability of all PHI created, received, maintained, or transmitted in electronic form, to identify and protect against reasonably anticipated threats or impermissible uses or disclosures to the security and integrity of such PHI; and reporting of breaches of PHI to individuals and regulators. Entities that are found to be in violation of HIPAA may be subject to significant civil, criminal, and administrative fines and penalties and/or additional reporting and oversight obligations if required to enter into a resolution agreement and corrective action plan with the U.S. Department of Health and Human Services (“HHS”) to settle allegations of HIPAA non-compliance. A covered entity or business associate is also liable for civil money penalties for a violation that is based on an act or omission of any of its agents, which may include a downstream business associate, as determined according to the federal common law of agency. HITECH also increased the civil and criminal penalties applicable to covered entities and business associates and gave state attorneys general new authority to file civil actions for damages or injunctions in federal courts to enforce HIPAA and seek attorneys’ fees and costs associated with pursuing federal civil actions. To the extent that we submit electronic healthcare claims and payment transactions that do not comply with the electronic data transmission standards established under HIPAA and HITECH, payments to us may be delayed or denied.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state health information privacy laws, such as California’s Confidentiality of Medical Information Act and Washington’s My Health My Data Act, govern the privacy and security of health-related information, specifically, may apply even when HIPAA does not and impose additional requirements.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Even when HIPAA and state health information privacy laws do not apply, according to the FTC and state Attorneys General, violating consumers’ privacy rights or failing to take appropriate steps to keep consumers’ personal information secure may constitute unfair acts or practices in or affecting commerce in violation of Section 5(a) of the Federal Trade Commission Act and state consumer protection laws.</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certain state laws, such as the California Consumer Privacy Act of 2018, as amended by the California Privacy Rights Act of 2020 (“CCPA”), govern the privacy and security of personal information, including health-related information in certain circumstances, some of which are more stringent than HIPAA in various ways. Numerous other states have passed similar laws, but many differ from each other in significant ways and may not have the same effect, thus complicating compliance efforts. The CCPA applies to personal data of consumers, business representatives, and employees, and imposes obligations on certain businesses that do business in California, including to provide specific disclosures in privacy notices, and affords rights to California residents in relation to their personal information. Health information falls under the CCPA’s definition of personal information where it identifies, relates to, describes, or is reasonably capable of being associated with or could reasonably be linked, directly or indirectly, with a particular consumer or household - unless it is subject to HIPAA - and is included under a new category of personal information, “sensitive personal information,” which is offered greater protection. The numerous other comprehensive privacy laws that have passed or are being considered in other states, as well as at the federal and local levels, also exempt some data processed in the context of clinical trials; but others exempt covered entities and business associates subject to HIPAA altogether, further complicating compliance efforts, and increasing legal risk and compliance costs for us and the third parties upon whom we rely. Additionally, our use of artificial intelligence and machine learning may be subject to laws and evolving regulations regarding the use of artificial intelligence/machine learning, controlling for data bias, and antidiscrimination.</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Coverage and Reimbursement</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it to establish or maintain pricing sufficient to realize a sufficient return on its investment. Government authorities and third-party payors, such as private health insurers and health maintenance organizations, decide which medications they will pay for and establish reimbursement levels.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pharmaceutical or biological product for which we obtain regulatory approval. 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third-party payors. Decisions regarding whether to cover any of our product candidates, if approved, the extent of coverage and amount of reimbursement to be provided are made on a plan-by-plan basis. Further,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Factors payors consider in determining reimbursement are based on whether the product is:</w:t>
      </w:r>
    </w:p>
    <w:p>
      <w:pPr>
        <w:spacing w:after="0" w:line="19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third-party not to cover a product could reduce physician usage and patient demand for the product.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the U.S. government, state legislatures and foreign governments have continued implementing cost-containment programs, including price controls, restrictions on coverage and reimbursement and requirements for substitution of generic products. The IRA provides CMS with significant new authorities intended to curb drug costs and to encourage market competition. For the first time, CMS will be able to directly negotiate prescription drug prices and to cap out-of-pocket costs. Each year, CMS will select and negotiate a preset number of high-spend drugs and biologics that are covered under Medicare Part B and Part D that do not have generic or biosimilar competition. On August 29, 2023, HHS announced the list of the first ten drugs subject to price negotiations. These price negotiations occurred in 2024. In January 2025, CMS announced a list of 15 additional Medicare Part D drugs that will be subject to price negotiations. The IRA also provides a new “inflation rebate” covering Medicare patients that took effect in 2023 and is intended to counter certain price increases in prescriptions drugs. The inflation rebate provision requires drug manufacturers to pay a rebate to the federal government if the price for a drug or biologic under Medicare Part B and Part D increases faster than the rate of inflation. To support biosimilar competition, beginning in October 2022, qualifying biosimilars may receive a Medicare Part B payment increase for a period of five years. Separately, if a biologic drug for which no biosimilar exists delays a biosimilar’s market entry beyond two years, CMS will be authorized to subject the biologics manufacturer to price negotiations intended to ensure fair competition. Notwithstanding these provisions, the IRA’s impact on commercialization and competition remains largely uncertain.</w:t>
      </w:r>
    </w:p>
    <w:p>
      <w:pPr>
        <w:spacing w:after="0" w:line="200" w:lineRule="exact"/>
        <w:rPr>
          <w:sz w:val="20"/>
          <w:szCs w:val="20"/>
          <w:color w:val="auto"/>
        </w:rPr>
      </w:pPr>
    </w:p>
    <w:p>
      <w:pPr>
        <w:spacing w:after="0" w:line="20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may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Finally, in some foreign countries, the proposed pricing for a drug must be approved before it may be lawfully marketed. The requirements governing drug pricing vary widely from country to country. For example, the European Union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 do not follow price structures of the United States and generally prices tend to be significantly lower.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 Reform</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 care programs. Since its enactment, there have been judicial and Congressional challenges to certain aspects of the ACA, and we expect there will be additional challenges and amendments to the ACA in the future. For example, the IRA,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including automatic aggregate reductions of Medicare payments to providers of on average 2% per fiscal year as part of the federal budget sequestration under the Budget Control Act of 2011. These reductions went into effect in April 2013 and, due to subsequent legislative amendments, will remain in effect until 2032 unless additional action is taken by Congress.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Bipartisan Budget Act of 2018, among other things, amended the Medicare Act (as amended by the ACA) to increase the point-of-sale discounts that manufacturers must agree to offer under the Medicare Part D coverage discount program from 50% to 70% off negotiated prices of applicable brand drugs to eligible beneficiaries during their coverage gap period, as a condition for the manufacturer’s outpatient drugs being covered under Medicare Part D.</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which has resulted in several Congressional inquiries and proposed and enacted federal and state measures designed to, among other things, reduce the cost of prescription drugs, bring more transparency to product pricing, review the relationship between pricing and manufacturer patient programs, and reform government program reimbursement methodologies for drug products. For example, in May 2019, CMS adopted a final rule allowing Medicare Advantage Plans the option to use step therapy for Part B drugs, permitting Medicare Part D plans to apply certain utilization controls to new starts of five of the six protected class drugs, and requiring the Explanation of Benefits for Part D beneficiaries to disclose drug price increases and lower cost therapeutic alternatives, which went into effect on January 1, 2021.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spacing w:after="0" w:line="19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Notwithstanding the IRA, continued legislative and enforcement interest exists in the United States with respect to specialty drug pricing practices. Specifically, we expect regulators to continue pushing for transparency to drug pricing, reducing the cost of prescription drugs under Medicare, reviewing the relationship between pricing and manufacturer patient programs, and reforming government program reimbursement methodologies for drugs.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its drugs or put pressure on its drug pricing, which could negatively affect our business, financial condition, results of operations and prospects.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Government Regulation Outside of the United States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regulations in the United States, we are subject to a variety of regulations in other jurisdictions governing, among other things, research and development, clinical trials, testing, manufacturing, safety, efficacy, quality control, labeling, packaging, storage, record keeping, distribution, reporting, export and import, advertising, marketing and other promotional practices involving biological products as well as authorization, approval as well as post-approval monitoring and reporting of our products. Because biologically sourced raw materials are subject to unique contamination risks, their use may be restricted in some countries.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including requirements to conduct additional clinical trials, product licensing, safety reporting, post-authorization requirements, marketing and promotion, interactions with healthcare professionals, pricing and reimbursement may vary widely from country to country. No action can be taken to market any product in a country until an appropriate approval application has been approved by the regulatory authorities in that country. The current approval process varies from country to country, and the time spent in gaining approval varies from that required for FDA approval. In certain countries, the sales price of a product must also be approved. The pricing review period often begins after market approval is granted. Even if a product is approved by a regulatory authority, satisfactory prices may not be approved for such product, which would make launch of such products commercially unfeasible in such countries.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Regulation in the European Union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European Data Laws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collection and use of personal health data and other personal data in the EU is governed by the provisions of the European General Data Protection Regulation (EU) 2016/679 (“GDPR”), which came into force in May 2018, and related data protection laws in individual EU Member States. The GDPR imposes a number of strict obligations and restrictions on the ability to process, including collecting, analyzing and transferring, personal data of individuals, in particular with respect to health data from clinical trials and adverse event reporting. The GDPR includes requirements relating to the legal basis of the processing (such as consent of the individuals to whom the personal data relates), the information provided to the individuals prior to processing their personal data, the personal data breaches which may have to be notified to the national data protection authorities and data subjects, the measures to be taken when engaging processors, and the security and confidentiality of the personal data. EU Member States may also impose additional requirements in relation to health, genetic and biometric data through their national legislation.</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the GDPR imposes specific restrictions on the transfer of personal data to countries outside of the European Economic Area (“EEA”) that are not considered by the European Commission (“EC”) to provide an adequate level of data protection. Appropriate safeguards are required to enable such transfers. Among the appropriate safeguards that can be used, the data exporter may use the standard contractual clauses (“SCCs”). When relying on SCCs, data exporters are also required to conduct a transfer risk assessment to verify if anything in the law and/or practices of the third country may impinge on the effectiveness of the SCCs in the context of the transfer at stake and, if so, to identify and adopt supplementary measures that are necessary to bring the level of protection of the data transferred to the EU standard of essential equivalence. Where no supplementary measure is suitable, the data exporter should avoid, suspend or terminate the transfer. With regard to the transfer of data from the EEA to the United States, on July 10, 2023, the EC adopted its adequacy decision for the EU-US Data Privacy Framework. On the basis of the new adequacy decision, personal data can flow from the EEA to U.S. companies participating in the framework. With regard to the transfer of data from the EU to the United Kingdom (“UK”), personal data may freely flow from the EEA to the UK since the UK is deemed to have an adequate data protection level. However, the adequacy decisions include a ’sunset clause’ which entails that the decisions will automatically expire four years after their entry into force, unless renewed.</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Failure to comply with the requirements of the GDPR and the related national data protection laws of the EU Member States may result in significant monetary fines for noncompliance of up to €20 million or 4% of the annual global revenues of the noncompliant company, whichever is greater, other administrative penalties and a number of criminal offenses for organizations and, in certain cases, their directors and officers, as well as civil liability claims from individuals whose personal data was processed. Data protection authorities from the different EU Member States may still implement certain variations, enforce the GDPR and national data protection laws differently, and introduce additional national regulations and guidelines, which adds to the complexity of processing personal data in the EU.</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there are specific requirements relating to processing health data from clinical trials, including public disclosure obligations provided in the EU Clinical Trials Regulation No. 536/2014 (“CTR”), European Medical Agency (“EMA”) disclosure initiatives and voluntary commitments by industry. Failure to comply with these obligations could lead to government enforcement actions and significant penalties against us, harm to our reputation, and adversely impact our business and operating results.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following the UK’s withdrawal from the EU and the EEA, companies also have to comply with the UK’s data protection laws (including the UK GDPR (as defined in section 3(10) (as supplemented by section 205(4)) of the Data Protection Act 2018 (the “DPA 2018”)), the DPA 2018, and related data protection laws in the UK). Separate from the fines that can be imposed by the GDPR, the UK regime has the ability to fine up to the greater of £17.5 million or 4% of global turnover.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Companies are subject to specific transfer rules under the UK regime, which broadly mirror the GDPR rules. On February 2, 2022, the UK Secretary of State laid before the UK Parliament the international data transfer agreement (“IDTA”) and the international data transfer addendum to the EC’s standard contractual clauses for international data transfers (Addendum) and a document setting out transitional provisions. The IDTA and Addendum came into force on March 21, 2022 and replaced the old SCCs for the purposes of the UK regime.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Regarding transfers from the UK to the EEA, personal data may flow freely since the EEA is deemed to have an adequate data protection level for purposes of the UK regime. With regard to the transfer of personal data from the UK to the United States, the UK government has adopted an adequacy decision for the United States, the UK-US Data Bridge, which came into force on October 12, 2023. The UK-US Data Bridge recognizes the United States as offering an adequate level of data protection where the transfer is to a U.S. company participating in the EU-US Data Privacy Framework and the UK Extension.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Drug and Biologic Development Process</w:t>
      </w:r>
    </w:p>
    <w:p>
      <w:pPr>
        <w:spacing w:after="0" w:line="227"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8"/>
          <w:szCs w:val="18"/>
          <w:color w:val="auto"/>
        </w:rPr>
        <w:t>Regardless of where they are conducted, all clinical trials included in applications for marketing authorization (“MA”) for human medicines in the EU/EEA must have been carried out in accordance with EU regulations. This means that clinical trials conducted in the EU/EEA have to comply with EU clinical trial legislation but also that clinical trials conducted outside the EU/EEA have to comply with ethical principles equivalent to those set out in the EEA, including adhering to international good clinical practice and the Declaration of Helsinki. The conduct of clinical trials in the EU is governed by the CTR, which entered into force on January 31, 2022. The CTR replaced the Clinical Trials Directive 2001/20/EC, (“Clinical Trials Directive”) and introduced a complete overhaul of the existing regulation of clinical trials for medicinal products in the EU.</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former regime, which will expire after a transition period of three years as outlined below in more detail, before a clinical trial can be initiated it must be approved in each EU member state where there is a site at which the clinical trial is to be conducted. The approval must be obtained from two separate entities: the National Competent Authority (“NCA”) and one or more Ethics Committees. The NCA of the EU Member States in which the clinical trial will be conducted must authorize the conduct of the trial, and the independent Ethics Committee must grant a positive opinion in relation to the conduct of the clinical trial in the relevant EU member state before the commencement of the trial. Any substantial changes to the trial protocol or other information submitted with the clinical trial applications must be submitted to or approved by the relevant NCA and Ethics Committees. Under the current regime all suspected unexpected serious adverse reactions to the investigated drug that occur during the clinical trial must be reported to the NCA and to the Ethics Committees of the EU member state where they occur.</w:t>
      </w:r>
    </w:p>
    <w:p>
      <w:pPr>
        <w:spacing w:after="0" w:line="19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 more unified procedure will apply under the new CTR. A sponsor will be able to submit a single application for approval of a clinical trial through a centralized EU clinical trials portal (the Clinical Trials Information System or “CTIS”). One national regulatory authority (the reporting EU member state proposed by the applicant) will take the lead in validating and evaluating the application and consult and coordinate with the other concerned EU Member States. If an application is rejected, it may be amended and resubmitted through the EU clinical trials portal. If an approval is issued, the sponsor may start the clinical trial in all concerned EU Member States. However, a concerned EU member state may in limited circumstances declare an “opt-out” from an approval and prevent the clinical trial from being conducted in such member state. The CTR also aims to streamline and simplify the rules on safety reporting, and introduces enhanced transparency requirements such as mandatory submission of a summary of the clinical trial results to the EU Database. The CTR foresees a three-year transition period. EU Member States will work in CTIS immediately after the system has gone live. Since January 31, 2023, submission of initial clinical trial applications via CTIS is mandatory and CTIS serves as the single entry point for submission of clinical trial-related information and data. By January 31, 2025, all ongoing trials approved under the former Clinical Trials Directive will need to comply with the CTR and have to be transitioned to CTIS. On July 19, 2023, the EC published guidance concerning the steps to be taken in this transition. This guidance provides, among other things, that (i) documentation which was previously assessed will not be reassessed, (ii) templates that were developed and endorsed by the EU Clinical Trials Expert Group to provide compliance with the CTR do not need to be updated and (iii) there is no need to retrospectively create a site suitability form, which are only necessary for new trial sites.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both the former regime and the new CTR, national laws, regulations, and the applicable GCP and GLP standards must also be respected during the conduct of the trials, including the International Council for Harmonization of Technical Requirements for Pharmaceuticals for Human Use guidelines on Good Clinical Practice and the ethical principles that have their origin in the Declaration of Helsinki.</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development of a medicinal product, the EMA and national regulators within the EU provide the opportunity for dialogue and guidance on the development program. At the EMA level, this is usually done in the form of scientific advice, which is given by the Committee for Medicinal Products for Human Use (“CHMP”) on the recommendation of the Scientific Advice Working Party. A fee is incurred with each scientific advice procedure, but is significantly reduced for designated orphan medicines. Advice from the EMA is typically provided based on questions concerning, for example, quality (chemistry, manufacturing and controls testing), nonclinical testing and clinical studies, and pharmacovigilance plans and risk-management programs. Advice is not legally binding with regard to any future Marketing Authorization Application (“MAA”) of the product concerned.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Drug Marketing Authorization</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EEA, after completion of all required clinical testing, pharmaceutical products may only be placed on the market after obtaining a MA. To obtain a MA of a drug under EU regulatory systems, an applicant can submit an MAA through, amongst others, a centralized or decentralized procedure.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be used or sold in the UK, a drug must have an effective MA obtained by a centralized application through EMA or a national application. National applications are governed by the Human Medicines Regulations (SI 2012/1916). Applications are made electronically through the Medicines and Healthcare products Regulatory Agency (“MHRA”) Submissions Portal. The process from application to authorizations generally takes up to 210 days, excluding time taken to provide any additional information or data required by the MHRA.</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30, 2023, the MHRA published detailed guidance on its recently announced new International Reliance Procedure (“IRP”) for MAAs. The IRP applies since January 1, 2024 and replaces existing EU reliance procedures to apply for authorizations from seven international regulators (e.g. Health Canada, Swiss Medic, FDA, EMA, among others). The IRP allows medicinal products approved in other jurisdictions that meet certain criteria to undergo a fast-tracked MHRA review to obtain and/or update a MA in the UK.</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Applicants can submit initial MAAs to the IRP but the procedure can also be used throughout the lifecycle of a product for post-authorization procedures including line extensions, variations and renewals.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Centralized Authorization Procedure</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 that is issued by the EC following the scientific assessment of the application by the EMA that is valid for all EU Member States as well as in the three additional EEA Member States (Norway, Iceland and Liechtenstein). The centralized procedure is compulsory for specific medicinal products, including for medicines developed by means of certain biotechnological processes, products designated as orphan medicinal products, advanced therapy medicinal products (“ATMP”) (gene therapy, somatic cell therapy or tissue engineered medicines) and medicinal products with a new active substance indicated for the treatment of certain diseases (HIV/AIDS, cancer, neurodegenerative disorders, diabetes, auto-immune and viral diseases). For medicinal products containing a new active substance not yet authorized in the EEA before May 20, 2004 and indicated for the treatment of other diseases, medicinal products that constitute significant therapeutic, scientific or technical innovations or for which the grant of a MA through the centralized procedure would be in the interest of public health at EU level, an applicant may voluntarily submit an application for a MA through the centralized procedure.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the centralized procedure, the CHMP established at the EMA, is responsible for conducting the initial assessment of a drug. The CHMP is also responsible for several post-authorization and maintenance activities, such as the assessment of modifications or extensions to an existing MA. Under the centralized procedure, the timeframe for the evaluation of an MAA by the EMA’s CHMP is, in principle, 210 days from receipt of a valid MAA. However, this timeline excludes clock stops, when additional written or oral information is to be provided by the applicant in response to questions asked by the CHMP, so the overall process typically takes a year or more, unless the application is eligible for an accelerated assessment. Accelerated evaluation might be granted by the CHMP in exceptional cases, when a medicinal product is expected to be of a major public health interest, particularly from the point of view of therapeutic innovation. Upon request, the CHMP can reduce the time frame to 150 days if the applicant provides sufficient justification for an accelerated assessment. The CHMP will provide a positive opinion regarding the application only if it meets certain quality, safety and efficacy requirements. This opinion is then transmitted to the EC, which has the ultimate authority for granting MA within 67 days after receipt of the CHMP opinion.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Decentralized Authorization Procedure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Medicines that fall outside the mandatory scope of the centralized procedure have three routes to authorization: (i) they can be authorized under the centralized procedure if they concern a significant therapeutic, scientific or technical innovation, or if their authorization would be in the interest of public health; (ii) they can be authorized under a decentralized procedure where an applicant applies for simultaneous authorization in more than one EU member state; or (iii) they can be authorized in an EU member state in accordance with that state’s national procedures and then be authorized in other EU countries by a procedure whereby the countries concerned agree to recognize the validity of the original, national MA (mutual recognition procedure).</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decentralized procedure permits companies to file identical MA applications for a medicinal product to the competent authorities in various EU Member States simultaneously if such medicinal product has not received marketing approval in any EU Member State before. This procedure is available for pharmaceutical products not falling within the mandatory scope of the centralized procedure. The competent authority of a single EU Member State, the reference member state, is appointed to review the application and provide an assessment report. The competent authorities of the other EU Member States, the concerned member states, are subsequently required to grant a MA for their territories on the basis of this assessment. The only exception to this is where the competent authority of an EU Member State considers that there are concerns of potential serious risk to public health, the disputed points are subject to a dispute resolution mechanism and may eventually be referred to the EC, whose decision is binding for all EU Member States.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Plan</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All new MAAs must include a Risk Management Plan (“RMP”) describing the risk management system that the company will put in place and documenting measures to prevent or minimize the risks associated with the product. RMPs are continually modified and updated throughout the lifetime of the medicine as new information becomes available. An updated RMP must be submitted: (i) at the request of EMA or a national competent authority, or</w:t>
      </w:r>
    </w:p>
    <w:p>
      <w:pPr>
        <w:spacing w:after="0" w:line="1" w:lineRule="exact"/>
        <w:rPr>
          <w:sz w:val="20"/>
          <w:szCs w:val="20"/>
          <w:color w:val="auto"/>
        </w:rPr>
      </w:pPr>
    </w:p>
    <w:p>
      <w:pPr>
        <w:jc w:val="both"/>
        <w:ind w:firstLine="8"/>
        <w:spacing w:after="0" w:line="253" w:lineRule="auto"/>
        <w:tabs>
          <w:tab w:leader="none" w:pos="2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risk-management system is modified, especially as the result of new information being received that may lead to a significant change to the benefit-risk profile or as a result of an important pharmacovigilance or risk-minimization milestone being reached. The regulatory authorities may also impose specific obligations as a condition of the MA. Since October 20, 2023, all RMPs for centrally authorized products are published by the EMA, subject only to limited redactions.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 Validity Period</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MAs have an initial duration of five years. After these five years, the authorization may subsequently be renewed on the basis of a reevaluation of the risk-benefit balance. Once renewed, the MA is valid for an unlimited period unless the EC or the national competent authority decides, on justified grounds relating to pharmacovigilance, to proceed with only one additional five-year renewal. Applications for renewal must be made to the EMA at least nine months before the five-year period expires.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Any authorization which is not followed by the actual placing of the drug on the EU market (in case of centralized procedure) or on the market of the authorizing member state within three years after authorization ceases to be valid.</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UK, the period of three years during which the drug has not been marketed in Great Britain will be restarted from the date of conversion to a Great Britain MA. Conversion refers to the procedure by which, as of January 1, 2021, MAs granted on the basis of a centralized procedure in the EU are only valid in Northern Ireland but not in Great Britain, whereas, prior EU authorizations have all been automatically converted into UK MAs effective in Great Britain only.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the other hand, for the EU, in the case the drug has been marketed in the UK, the placing on the UK market before the end of the period starting when the UK left the EU on January 31, 2020 and ending on December 31, 2020 (the “Brexit Transition Period”) will be taken into account. If, after the end of the Brexit Transition Period, the drug is not placed on any other market of the remaining EU Member States, the three-year period will start running from the last date the drug was placed on the UK market before the end of the Brexit Transition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Advanced Therapy Medicinal Products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EU, medicinal products, including ATMPs are subject to extensive pre- and post-market regulation by regulatory authorities at both the EU and national levels. ATMPs comprise gene therapy products, somatic cell therapy products and tissue engineered products, which are genes, cells or tissues that have undergone substantial manipulation and that are administered to human beings in order to cure, diagnose or prevent diseases or regenerate, repair or replace a human tissue. Pursuant to the Regulation (EC) No 1394/2007, the Committee for Advanced Therapies (“CAT”) is responsible in conjunction with the CHMP for the evaluation of ATMPs. The CHMP and CAT are also responsible for providing guidelines on ATMPs. These guidelines provide additional guidance on the factors that the EMA will consider in relation to the development and evaluation of ATMPs and include, among other things, the preclinical studies required to characterize ATMPs. Although such guidelines are not legally binding, compliance with them is often necessary to gain and maintain approval for product candidates.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mandatory RMP, the holder of a MA for an ATMP must put in place and maintain a system to ensure that each individual product and its starting and raw materials, including all substances coming into contact with the cells or tissues it may contain, can be traced through the sourcing, manufacturing, packaging, storage, transport and delivery to the relevant healthcare institution where the product is used.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Exceptional Circumstances/Conditional Approval</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Similar to accelerated approval regulations in the United States, conditional MAs can be granted in the EU in exceptional circumstances. A conditional MA can be granted for medicinal products where, although comprehensive clinical data referring to the safety and efficacy of the medicinal product have not been supplied, a number of criteria are fulfilled: (i) the benefit/risk balance of the product is positive, (ii) it is likely that the applicant will be in a position to provide the comprehensive clinical data, (iii) unmet medical needs will be fulfilled by the grant of the MA and (iv) the benefit to public health of the immediate availability on the market of the medicinal product concerned outweighs the risk inherent in the fact that additional data are still required. Once a conditional MA has been granted, the MA holder must fulfil specific obligations within defined timelines. A conditional MA is valid for one year and must be renewed annually, but it can be converted into a standard MA once the MA holder fulfils the obligations imposed and the complete data confirm that the medicine’s benefits continue to outweigh its risks.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Market Exclusivity</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in the United States, it may be possible to obtain a period of market and / or data exclusivity in the EU that would have the effect of postponing the entry into the marketplace of a competitor’s generic, hybrid or biosimilar product (even if the pharmaceutical product has already received a MA) and prohibiting another applicant from relying on the MA holder’s pharmacological, toxicological and clinical data in support of another MA for the purposes of submitting an application, obtaining MA or placing the product on the market. Innovative medicinal products, referred to as New Chemical Entities (“NCEs”) approved in the EU qualify for eight years of data exclusivity and 10 years of marketing exclusivity.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7" w:name="page38"/>
    <w:bookmarkEnd w:id="37"/>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 additional non-cumulative one-year period of marketing exclusivity is possible if during the data exclusivity period (the first eight years of the 10-year marketing exclusivity period), the MA holder obtains an authorization for one or more new therapeutic indications that are deemed to bring a significant clinical benefit compared to existing therapies.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data exclusivity period begins on the date of the product’s first MA in the EU. After eight years, a generic product application may be submitted and generic companies may rely on the MA holder’s data. However, a generic product cannot launch until two years later (or a total of 10 years after the first MA in the EU of the innovator product), or three years later (or a total of 11 years after the first MA in the EU of the innovator product) if the MA holder obtains MA for a new indication with significant clinical benefit within the eight-year data exclusivity period. Additionally, another non-cumulative one-year period of data exclusivity can be added to the eight years of data exclusivity where an application is made for a new indication for a well-established substance, provided that significant pre-clinical or clinical studies were carried out in relation to the new indication.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Another year of data exclusivity may be added to the eight years, where a change of classification of a pharmaceutical product has been authorized on the basis of significant pre-trial tests or clinical trials (when examining an application by another applicant for or holder of MA for a change of classification of the same substance the competent authority will not refer to the results of those tests or trials for one year after the initial change was authorized).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Products may not be granted data exclusivity since there is no guarantee that a product will be considered by the EU’s regulatory authorities to include an NCE. Even if a compound is considered to be an NCE and the MA applicant is able to gain the prescribed period of data exclusivity, another company nevertheless could also market another version of the medicinal product if such company can complete a full MAA with their own complete database of pharmaceutical tests, preclinical studies and clinical trials and obtain MA of its product.</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April 26, 2023, the EC submitted a proposal for the reform of the European pharmaceutical legislation. The current draft envisages e.g., a shortening of the periods of data exclusivity, however, there is currently neither a final version of this draft nor a date for its entry into force. While the European Parliament adopted its approving position on the reform on April 10, 2024, no further required legislative steps have been taken since.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Development</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EU, companies developing a new medicinal product are obligated to study their product in children and must therefore submit a PIP together with a request for agreement to the EMA. The EMA issues a decision on the PIP based on an opinion of the EMA’s Pediatric Committee. Companies must conduct pediatric clinical trials in accordance with the PIP approved by the EMA, unless a deferral (e.g. until enough information to demonstrate its effectiveness and safety in adults is available) or waiver (e.g. because the relevant disease or condition occurs only in adults) has been granted by the EMA. The MAA for the medicinal product must include the results of all pediatric clinical trials performed and details of all information collected in compliance with the approved PIP, unless a waiver or a deferral has been granted, in which case the pediatric clinical trials may be completed at a later date. Medicinal products that are granted an MA on the basis of the pediatric clinical trials conducted in accordance with the approved PIP are eligible for a six-month extension of the protection under a supplementary protection certificate (if any is in effect at the time of approval), or, in the case of orphan medicinal products, a two-year extension of the orphan market exclusivity. This pediatric reward is subject to specific conditions and is not automatically available when data in compliance with the approved PIP are developed and submitted. An approved PIP is also required when a MA holder wants to add a new indication, medicinal form or route of administration for a medicine that is already authorized and covered by intellectual property rights.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UK, the MHRA has published guidance on the procedures for UK Paediatric Investigation Plans (“PIPs”) which, where possible, mirror the submission format and requirements of the EU system. EU PIPs remain applicable for Northern Ireland and EU PIPs agreed by the EMA prior to January 1, 2021 have been adopted as UK PIPs.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Post-Approval Regulation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Similar to the United States, both MA holders and manufacturers of medicinal products are subject to comprehensive regulatory oversight by the EMA, the EC and/or the competent regulatory authorities of the EU Member States. This oversight applies both before and after grant of manufacturing licenses and MAs. It includes control of compliance with EU good manufacturing practices rules, manufacturing authorizations, pharmacovigilance rules and requirements governing advertising, promotion, sale, and distribution, recordkeeping, importing and exporting of medicinal products.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Failure by us or by any of our third-party partners, including suppliers, manufacturers and distributors to comply with EU laws and the related national laws of individual EU Member States governing the conduct of clinical trials, manufacturing approval, MA of medicinal products and marketing of such products, both before and after grant of MA, statutory health insurance, bribery and anti-corruption or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holder of an MA for a medicinal product must also comply with EU pharmacovigilance legislation and its related regulations and guidelines, which entail many requirements for conducting pharmacovigilance, or the assessment and monitoring of the safety of medicinal products.</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These pharmacovigilance rules can impose on holders of MAs the obligation to conduct a labor intensive collection of data regarding the risks and benefits of marketed medicinal products and to engage in ongoing assessments of those risks and benefits, including the possible requirement to conduct additional clinical studies or post-authorization safety studies to obtain further information on a medicine’s safety, or to measure the effectiveness of risk-management measures, which may be time consuming and expensive and could impact our profitability. MA holders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 in relation to medicinal products for which they hold MAs. The EMA reviews PSURs for medicinal products authorized through the centralized procedure. If the EMA has concerns that the risk benefit profile of a product has varied, it can adopt an opinion advising that the existing MA for the product be suspended, withdrawn or varied. The agency can advise that the MA holder be obliged to conduct post-authorization Phase 4 safety studies. If the EC agrees with the opinion, it can adopt a decision varying the existing MA. Failure by the MA holder to fulfill the obligations for which the EC’s decision provides can undermine the ongoing validity of the MA.</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More generally, non-compliance with pharmacovigilance obligations can lead to the variation, suspension or withdrawal of the MA for the product or imposition of financial penalties or other enforcement measures.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9" w:name="page40"/>
    <w:bookmarkEnd w:id="39"/>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manufacturing process for pharmaceutical products in the EU is highly regulated and regulators may shut down manufacturing facilities that they believe do not comply with regulations. Manufacturing requires a manufacturing authorization, and the manufacturing authorization holder must comply with various requirements set out in the applicable EU laws, regulations and guidance, including Directive 2001/83/EC, Directive 2003/94/EC (repealed by Directive 2017/1572 on January 31, 2022), Regulation (EC) No 726/2004 and the European Commission Guidelines for Good Manufacturing Practice (“GMP”). These requirements include compliance with EU GMP standards when manufacturing pharmaceutical products and active pharmaceutical ingredients, including the manufacture of active pharmaceutical ingredients outside of the EU with the intention to import the active pharmaceutical ingredients into the EU. Amendments or replacements of at least Directive 2001/83/EC and Regulation (EC) No 726/2004 are part of the reform proposal for European pharmaceutical legislation. Similarly, the distribution of pharmaceutical products into and within the EU is subject to compliance with the applicable EU laws, regulations and guidelines, including the requirement to hold appropriate authorizations for distribution granted by the competent authorities of the EU Member States. The manufacturer or importer must have a qualified person who is responsible for certifying that each batch of product has been manufactured in accordance with GMP, before releasing the product for commercial distribution in the EU or for use in a clinical trial. Manufacturing facilities are subject to periodic inspections by the competent authorities for compliance with GMP.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Regulations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advertising and promotion of our products is also subject to EU laws concerning promotion of medicinal products, interactions with physicians, misleading and comparative advertising and unfair commercial practices. In addition, other national legislation of individual EU Member States may apply to the advertising and promotion of medicinal products and may differ from one country to another. These laws require that promotional materials and advertising in relation to medicinal products comply with the product’s SmPC as approved by the competent regulatory authorities. The SmPC is the document that provides information to physicians concerning the safe and effective use of the medicinal product. It forms an intrinsic and integral part of the MA granted for the medicinal product. Promotion of a medicinal product that does not comply with the SmPC is considered to constitute off-label promotion. All advertising and promotional activities for the product must be consistent with the approved SmPC and therefore all off-label promotion is prohibited. Direct-to-consumer advertising of prescription-only medicines is also prohibited in the EU. Violations of the rules governing the promotion of medicinal products in the EU could be penalized by administrative measures, fines and imprisonment. These laws may further limit or restrict the advertising and promotion of our products to the general public and may also impose limitations on its promotional activities with healthcare professionals.</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EU regulation with regards to dispensing, sale and purchase of medicines has generally been preserved in the UK following Brexit, through the Human Medicines Regulations 2012. However, organizations wishing to sell medicines online need to register with the MHRA. Following Brexit, the requirements to display the common logo no longer apply to UK-based online sellers, except for those established in Northern Ireland.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Anti-Corruption Legislation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EU, interactions between pharmaceutical companies and physicians are also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the EU Member States. Violation of these laws could result in substantial fines and imprisonment.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 Member States also must be publicly disclosed. Moreover, agreements with physicians must often be the subject of prior notification and approval by the physician’s employer, his/her regulatory professional organization, and/or the competent authorities of the individual EU Member States. These requirements are provided in the national laws, industry codes, or professional codes of conduct, applicable in the individual EU Member States. Failure to comply with these requirements could result in reputational risk, public reprimands, administrative penalties, fines or imprisonment.</w:t>
      </w:r>
    </w:p>
    <w:p>
      <w:pPr>
        <w:spacing w:after="0" w:line="183"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In the UK, the pharmaceutical sector is recognized as being particularly vulnerable to corrupt practices, some of which fall within the scope of the Bribery Act 2010. Due to the Bribery Act 2010’s far-reaching territorial application, the potential penalized act does not have to occur in the UK to become within its scope. If the act or omission does not take place in the UK, but the person’s act or omission would constitute an offense if carried out there and the person has a close connection with the UK, an offense will still have been committed.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0" w:name="page41"/>
    <w:bookmarkEnd w:id="40"/>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Bribery Act 2010 is comprised of four offenses that cover (i) individuals, companies and partnerships that give, promise or offer bribes, (ii) individuals, companies and partnerships that request, agree to receive or accept bribes, (iii) individuals, companies and partnerships that bribe foreign public officials, and (iv) companies and partnerships that fail to prevent persons acting on their behalf from paying bribes. The penalties imposed under the Bribery Act 2010 depend on the offence committed, harm and culpability and penalties range from unlimited fines to imprisonment for a maximum term of ten years and in some cases both.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in the UK and Other Markets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UK formally left the EU on January 31, 2020 and EU laws now only apply to the UK in respect of Northern Ireland as laid out in the Protocol on Ireland and Northern Ireland and as amended by the Windsor Framework sets out a long-term set of arrangements for the supply of medicines into Northern Ireland. The EU and the UK agreed on a trade and cooperation agreement (“TCA”), which includes provisions affecting the life sciences sector (including on customs and tariffs). There are some specific provisions concerning pharmaceuticals, including the mutual recognition of GMP, inspections of manufacturing facilities for medicinal products and GMP issued documents. The TCA does not, however, contain wholesale mutual recognition of UK and EU pharmaceutical regulations and product standards.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UK government has adopted the Medicines and Medical Devices Act 2021 (the “MMDA”) to enable the UK’s regulatory frameworks to be updated following the UK’s departure from the EU. The MMDA introduces regulation-making, delegated powers covering the fields of human medicines, clinical trials of human medicines, veterinary medicines and medical devices. The MHRA has since been consulting on future regulations for medicines and medical devices in the UK.</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other countries outside of the EU, such as countries in Eastern Europe, Latin America or Asia, the requirements governing the conduct of clinical trials, product licensing, pricing and reimbursement vary from country to country. In all cases, again, the clinical trials must be conducted in accordance with GCP and the applicable regulatory requirements and the ethical principles that have their origin in the Declaration of Helsinki.</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were formed as a Delaware corporation in 1992 under the name “Nuvelo, Inc.” and subsequently, in 2009, we completed a business combination with ARCA biopharma, Inc. On August 29, 2024, we completed the Merger with Pre-Merger Oruka and changed our name from “ARCA biopharma, Inc.” to “Oruka Therapeutics, Inc.” Our corporate headquarters are located at 855 Oak Grove Avenue, Suite 100, Menlo Park, California 94025. The telephone number at our corporate headquarters is (650) 606-7910. Our corporate website address is </w:t>
      </w:r>
      <w:r>
        <w:rPr>
          <w:rFonts w:ascii="Times New Roman" w:cs="Times New Roman" w:eastAsia="Times New Roman" w:hAnsi="Times New Roman"/>
          <w:sz w:val="18"/>
          <w:szCs w:val="18"/>
          <w:i w:val="1"/>
          <w:iCs w:val="1"/>
          <w:color w:val="auto"/>
        </w:rPr>
        <w:t>www.orukatx.com</w:t>
      </w:r>
      <w:r>
        <w:rPr>
          <w:rFonts w:ascii="Times New Roman" w:cs="Times New Roman" w:eastAsia="Times New Roman" w:hAnsi="Times New Roman"/>
          <w:sz w:val="18"/>
          <w:szCs w:val="18"/>
          <w:color w:val="auto"/>
        </w:rPr>
        <w:t>. We do not incorporate information contained on, or accessible through, our website into this Annual Report on Form 10-K, and you should not consider it part of this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and as of February 28, 2025, we had 28 full-time employees and 36 full-time employees, respectively. We also engage temporary employees and consultants to augment our existing workforce. None of our employees are represented by a labor union or covered under a collective bargaining agreement. We consider our relationship with our employees to be good.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recognize that attracting, motivating, and retaining talent at all levels is vital to continuing our success. We invest in our employees through high-quality benefits, professional development opportunities, and various health and wellness initiatives and offer competitive compensation packages (base salary and incentive plans), ensuring fairness in internal compensation practices. The principal purposes of our incentive plans (bonus and equity) are to align with the long-term interests of our stakeholders and stockholders.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subject to a number of risks that could harm our business, financial condition, results of operations and/or growth prospects or cause our actual results to differ materially from those contained in forward-looking statements we have made in this Form 10-K and those we may make from time to time. The success of our product candidates will depend on a variety of factors. We do not have complete control over many of these factors, including certain aspects of clinical development and the regulatory submission process, potential threats to our intellectual property rights and the manufacturing, marketing, distribution and sales efforts of any current or future collaborator. In addition,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us in the future.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summary is not exhaustive and is qualified by reference to the full set of risk factors set forth in Item 1A “Risk Factors” of this Form 10-K. Please carefully consider all the information in this Form 10-K, including the full set of risks set forth in the “Risk Factors” section and in our other filings with the U.S. Securities and Exchange Commission (“SEC”), before making an investment decision regarding Oruka.</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Drug Development and Regulatory Approval</w:t>
      </w:r>
    </w:p>
    <w:p>
      <w:pPr>
        <w:spacing w:after="0" w:line="22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and obtaining and maintaining regulatory approval for drug products is costly, time-consuming, and highly uncertain.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two most advanced programs, ORKA-001 and ORKA-002. Our projected development goals, including our clinical trials, may not be successful or we may fail to achieve our projected development goals in the time frames we announce and expect.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meet requirements for the chemistry, manufacturing and control of our programs.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Food and Drug Administration (“FDA”) and comparable foreign regulatory approval processes are lengthy and time consuming and we may not be able to obtain or may be delayed in obtaining regulatory approvals for our product candidates. Moreover, even if we obtain regulatory approval, we will be subject to ongoing regulatory obligations.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entities that have developed or may develop programs for the diseases addressed by product candidates developed by us.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9" w:lineRule="exact"/>
        <w:rPr>
          <w:sz w:val="20"/>
          <w:szCs w:val="20"/>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 stage biopharmaceutical company with a limited operating history on which to assess our business; we have not completed any clinical trials, and have no products approved for commercial sale.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incurred losses and we anticipate that we will continue to incur losses for the foreseeable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revenue from product sales and may never be profitable.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raise the capital that we need to support our business plans.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cause dilution to our stockholders, restrict our operations or require us to relinquish rights to our technologies or product candidates.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9" w:lineRule="exact"/>
        <w:rPr>
          <w:sz w:val="20"/>
          <w:szCs w:val="20"/>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protect our patents and other proprietary rights is uncertain and we may fail in obtaining or maintaining necessary rights to our programs.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claims challenging the inventorship or ownership of our intellectual property and may be subject to patent infringement claims or may need to file such claims.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patents and our ability to protect our products may be impaired by changes to patent laws, and our patent protection could be reduced or eliminated for non-compliance with legal requirements.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identify or interpret relevant third-party patents.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terms may be inadequate to protect our competitive position of our programs.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licensed from third parties may be subject to retained rights.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9" w:lineRule="exact"/>
        <w:rPr>
          <w:sz w:val="20"/>
          <w:szCs w:val="20"/>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on agreements with third parties to develop our product candidates. If we are unable to maintain collaborations or licensing arrangements, or if our collaborations or licensing arrangements are not successful, our business could be negatively impacted.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we rely on for the execution of nonclinical studies and clinical trials may fail to carry out their contractual duties.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use third-party manufacturing sites, our third-party manufacturers may encounter difficulties in production or we may need to switch or create third-party manufacturer redundancies.</w:t>
      </w:r>
    </w:p>
    <w:p>
      <w:pPr>
        <w:spacing w:after="0" w:line="158"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Other Risk Factors - Risks Related to Employee Matters, Managing Growth, Other Risks Related to Our Business, and Owning Our Common Stock</w:t>
      </w:r>
    </w:p>
    <w:p>
      <w:pPr>
        <w:spacing w:after="0" w:line="159"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key personnel, and we will be harmed if we cannot recruit and retain highly qualified personnel to successfully implement our business strategy.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successfully implement our plans and strategies, we will need to grow the size of our organization, and we may experience difficulties in managing this growth.</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or breaches of data security could adversely affect our business.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failures to comply with United States and foreign privacy and data protection laws, regulations and standards may adversely affect our business, operations and consolidated financial performance.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exposed to costly and damaging liability claims and our insurance may not cover all damages from such claims.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by macroeconomic or geopolitical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anticipate paying any dividends in the foreseeable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shares by existing stockholders could cause our stock price to decline.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and issuances of equity and debt could result in additional dilution to our stockholders and could cause our stock price to decline.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 stage biopharmaceutical company with a limited operating history on which to assess our business; we have not completed any clinical trials, have no products approved for commercial sale, have historically incurred losses, and we anticipate that we will continue to incur significant losses for the foreseeable future. Moreover, we have never generated revenue from product sales and may never be profitable.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 clinical stage biopharmaceutical company with a limited operating history. We will need to raise substantial additional capital to continue to fund our operations in the future. We have based our estimates on assumptions that may prove to be wrong, and could exhaust our available financial resources sooner than we currently anticipate. We have devoted substantially all of our financial resources to identify, acquire, and develop our product candidates, organizing and staffing our company, and providing general and administrative support for our operations.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Biopharmaceutical product development is a highly speculative undertaking and involves a substantial degree of risk. We expect our losses to increase as our product candidates enter advanced clinical trials. It may be several years, if ever, before we complete pivotal clinical trials or have a product candidate approved for commercialization. We expect to invest significant funds into the research and development of our programs to determine the potential to advance product candidates to regulatory approval. If we obtain regulatory approval to market a product candidate, our future revenue will depend upon the size of any markets in which our product candidates may receive approval, and our ability to achieve sufficient market acceptance, pricing, coverage and adequate reimbursement from third-party payors, and adequate market share for our product candidates in those markets. Even if we obtain adequate market share for our product candidates, we may never become profitable despite obtaining such market share and acceptance of our products.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expenses and increasing operating losses for the foreseeable future and our expenses will increase substantially if and as we:</w:t>
      </w:r>
    </w:p>
    <w:p>
      <w:pPr>
        <w:spacing w:after="0" w:line="16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clinical development of our product candidates, including advancing our product candidates into larger, more expensive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efforts to discover and develop new product candidates, including initiating preclinical studies or clinical trials;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our chemistry, manufacturing and control development, registration, and validation, including the manufacture of our product candidates by third parties, including increasing volumes manufactured by third parties;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and reimbursement for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marketing approval and market for ourselves;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under third-party license agreements;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maintain, protect, and expand our intellectual property portfolio;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issues with the development and potential regulatory approval of our product candidates such as safety issues, manufacturing delays, clinical trial delays, longer follow-up for planned studies or trials, additional major studies or trials, or supportive trials necessary to support marketing approval.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we are unable to raise additional capital when required or on acceptable terms, we may be required to curtail our product development activities and other activities commensurate with the magnitude of the shortfall and our product development activities may cease altogether, which could materially harm our business, financial condition, and results of operations. To the extent that the costs of our activities exceed our current estimates and we are unable to raise sufficient additional capital to cover such costs, we will need to reduce operating expenses, sell assets, enter into strategic transactions, or effect a combination of the above. No assurance can be given that we will be able to enter into any of such transactions on acceptable terms, if at all. Any of the following events could have a material adverse effect on our business, operating results, and prospects:</w:t>
      </w:r>
    </w:p>
    <w:p>
      <w:pPr>
        <w:spacing w:after="0" w:line="18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scaling back, or discontinuation of the development or commercialization of our product candidates;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strategic partnerships, or amending existing partnerships, for research and development programs at an earlier stage than otherwise would be desirable or that we otherwise would have sought to develop independently, or on terms that are less favorable than might otherwise be available in the future;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disposal of technology assets, or the relinquishing or licensing of assets on unfavorable terms, of our rights to technologies or any of our product candidates that we otherwise would seek to develop or commercialize ourselves;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the sale of the company to a third party at a price that may result in a loss on investment for our stockholders;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for bankruptcy or cease operations altogether.</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Even if we are successful in raising new capital, we could be limited in the amount of capital we raise due to investor demand restrictions placed on the amount of capital we raise, or other reasons.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securities or convertible debt securities, the ownership interest of our stockholders will be diluted, and the terms of these securities may include liquidation or other preferences that adversely affect the rights of holders of our common stock. Debt financing and preferred equity financing, if available, may involve agreements that include covenants limiting or restricting our ability to take specific actions, such as incurring additional debt, making capital expenditures, or declaring dividends. For example, in September 2024, we entered into a Securities Purchase Agreement with certain new institutional and accredited investors, whereby the investors purchased an aggregate of 5,600,000 shares of common stock, 2,439 shares of Series A Preferred Stock and pre-funded warrants to purchase an aggregate of 680,000 shares of common stock for an aggregate purchase price of approximately $200.5 million. Each share of Series A Preferred Stock is convertible into 1,000 shares of common stock.</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be required to relinquish valuable rights to our research programs or product candidates or grant licenses on terms that may not be favorable to us. Debt financing, if available, would likely involve agreements that include covenants limiting or restricting our ability to take specific actions, such as incurring additional debt, making capital expenditures, making additional product acquisitions, or declaring dividends.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Clinical Development, Regulatory Approval and Commercialization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entities that have developed or may develop programs for the diseases addressed by our product candidates.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drugs is highly competitive. Product candidates developed by us, if approved, will face significant competition and our failure to effectively compete may prevent us from achieving significant market penetration. We compete with a variety of biopharmaceutical companies as well as academic institutions, governmental agencies, and public and private research institutions, among others. Many of the companies with which we are currently competing or will compete against in the future have significantly greater financial resources and expertise in research and development, manufacturing, preclinical testing, clinical trials, regulatory approvals, and marketing than we do. Mergers and acquisitions in the pharmaceutical and biotechnology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establishing clinical trial sites, recruiting participants for clinical trials, as well as in acquiring technologies complementary to, or necessary for, our product candidates.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competitors have developed, are developing or will develop programs and processes competitive with our programs and processes. Competitive therapeutic treatments include those that have already been approved and accepted by the medical community and any new treatments. Our success will depend partially on our ability to develop and commercialize products that have a competitive safety, efficacy, dosing and/or presentation profile. Our commercial opportunity and success will be reduced or eliminated if competing products are safer, more effective, have a more attractive dosing profile or presentation or are less expensive than the products we develop, or if biosimilars enter the market and are able to gain market acceptance more quickly than we do or at wider scale.</w:t>
      </w:r>
    </w:p>
    <w:p>
      <w:pPr>
        <w:spacing w:after="0" w:line="18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fail in development or suffer delays. We depend on the successful initiation and completion of clinical trials for our product candidates to advance our product development plans.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no products on the market, and all of our programs are in preclinical or clinical stages of development. As a result, we expect it will be many years before we can obtain regulatory approval for and commercialize any product candidate, if ever. Clinical testing is expensive, difficult to design and implement, and can take years to complete and is uncertain as to outcome. A failure of one or more of our clinical trials can occur at any stage of testing. 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for their products. It may be difficult for us to raise additional capital if we experience any issues that delay or prevent the regulatory approval or the ability to commercialize our product candidates.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experience a number of unforeseen events affecting our product development timeline, including the following:</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fail to show safety or efficacy, produce negative or inconclusive results, or our product candidates may have undesirable side effects or unexpected characteristics, and we may decide, or regulators may require that we conduct additional preclinical studies or clinical trials or we may decide to abandon product development programs;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clinical trial materials or other materials necessary to conduct clinical trials of our product candidates may be insufficient or inadequate;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the FDA, or ethics committees may not authorize us or our investigators to commence or conduct a clinical trial at one or more prospective trial sites; or may require that we or our investigators materially modify, suspend or terminate clinical research or trials for various reasons, including noncompliance with regulatory requirements or a finding that the participants in our trials are being exposed to unacceptable health risks;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establish an appropriate safety profile for a product candidate based on clinical or preclinical data as well as data emerging from other therapies in the same class as our product candidates;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required for clinical trials of any product candidates may be larger than we anticipate, especially if regulatory bodies require completion of non-inferiority or superiority trials; enrollment in these clinical trials may be slower than we anticipate or subjects may drop out of these clinical trials or fail to return for post-treatment follow-up at a higher rate than we anticipate;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conduct or data analysis errors may occur, including, but not limited to, failure by investigators or participants to adhere to the study protocol or data entry and/or labeling errors;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and/or contract research organizations (“CROs”);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or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 and could potentially complicate the analysis of data;</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any of our programs may be greater than we anticipate;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clinical testing of other therapies may raise safety or efficacy concerns about our programs;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require us to submit additional data or impose other requirements and our product development timeline may be adversely affected.</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our clinical trials do not produce favorable results, our ability to obtain regulatory approval for our product candidates will be adversely impacted. Moreover, the combined data from our trials may be inconclusive or may not be sufficient to ultimately gain marketing approval from the FDA or other regulatory authorities. There are equivalent processes and risks applicable to clinical trial applications in other countries outside of the United States.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because of the competitive landscape for immunology and inflammation (commonly referred to as “I&amp;I”) indications, we may also face competition for clinical trial enrollment. Clinical trial enrollment will depend on many factors, including if potential clinical trial participants choose to undergo treatment with approved products or enroll in competitors’ ongoing clinical trials for programs that are under development for the same indications as our programs. An increase in the number of approved products for the indications we are targeting with our programs may further exacerbate this competition. Our inability to enroll a sufficient number of participants could, among other things, delay our development timeline, which may further harm our competitive position and have an adverse effect on our business and operations.</w:t>
      </w:r>
    </w:p>
    <w:p>
      <w:pPr>
        <w:spacing w:after="0" w:line="18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two most advanced programs, ORKA-001 and ORKA-002, and our clinical trials of such programs may not be successful.</w:t>
      </w:r>
    </w:p>
    <w:p>
      <w:pPr>
        <w:spacing w:after="0" w:line="159"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7"/>
          <w:szCs w:val="17"/>
          <w:color w:val="auto"/>
        </w:rPr>
        <w:t>Our future success is substantially dependent on our ability to develop and timely obtain marketing approval for, and then successfully commercialize, our two most advanced programs, ORKA-001 and ORKA-002. We are investing a majority of our efforts and financial resources into the research and development of these programs. We have initiated a Phase 1 clinical trial of ORKA-001 in healthy volunteers and anticipate initiating a Phase 1 clinical trial of ORKA-002 in healthy volunteers in the second half of 2025, subject to the filing of an IND or foreign equivalent and regulatory approval. Currently, we believe that the success of our programs is dependent on observing a longer half-life of our product candidates in humans than monoclonal antibodies (“mAbs”) currently marketed and in development as we believe this longer half-life has the potential to result in a more favorable dosing schedule for our product candidates, assuming they successfully complete clinical development and obtain marketing approval. This is based in part on the assumption that the longer half-life we have observed in NHPs will translate into an extended half-life of our product candidates in humans. To the extent we do not observe this extended half-life in humans, it would significantly and adversely affect the clinical and commercial potential of our product candidates.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7" w:name="page48"/>
    <w:bookmarkEnd w:id="47"/>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 frames we announce and expect, the development and potential commercialization of our product candidates may be delayed and our expenses may increase and, as a result, our business may be materially harmed and our stock price may decline.</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such as the expected timing of our clinical trials in our target indications, anticipated data analysis and results from our clinical trials, as well as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development and potential commercialization of our product candidates may be delayed or never achieved and, as a result, our business may be materially harmed and our stock price may decline. Additionally, delays relative to our projected timelines are likely to cause overall expenses to increase, which may require us to raise additional capital sooner than expected and prior to achieving targeted development milestones.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Any drug delivery device that we may use to deliver our product candidates may have its own regulatory, development, supply and other risks.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expect to deliver our product candidates via a drug delivery device, such as an injector or other delivery system. There may be unforeseen technical complications related to the development activities required to bring such a product to market, including primary container compatibility and/or dose volume requirements. If our product candidates are intended to be used with drug delivery devices, we expect to utilize drug delivery devices authorized for marketing under clearances of approvals held by third parties. Our product candidates may not be approved or may be substantially delayed in receiving approval if the devices that we choose to develop do not gain and/or maintain their own regulatory approvals or clearances. Where approval of the drug product and device is sought under a single application, the increased complexity of the review process may delay approval. In addition, some drug delivery devices are provided by single-source third-party companies. We may be dependent on the sustained cooperation and effort of those third-party companies both to supply the devices and, in some cases, to conduct the studies required for approval or other regulatory clearance of the devices. Even if approval is obtained for our products, we may also be dependent on those third-party companies continuing to maintain such approvals or clearances, if required, for their drug delivery devices once they have been received. Failure of third-party companies to supply the devices on time and in accordance with the agreed-upon specifications, to successfully complete studies on the devices in a timely manner, or to obtain or maintain required approvals or clearances of the devices could result in increased development costs, delays in or failure to obtain regulatory approval and delays in product candidates reaching patients.</w:t>
      </w:r>
    </w:p>
    <w:p>
      <w:pPr>
        <w:spacing w:after="0" w:line="18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our programs is unproven, and we may not be successful in our efforts to build a pipeline of programs with commercial value.</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approach to the discovery and development of the research programs with respect to which we have signed a license agreement, exercised the Option to acquire intellectual property license rights to or have the Option to acquire intellectual property license rights to pursuant to the Option Agreements, leverages clinically validated mechanisms of action and incorporates advanced antibody engineering to optimize half-life and other properties designed to overcome limitations of existing therapies. Our programs are purposefully designed to improve upon existing product candidates and products while maintaining the same, well-established mechanisms of action. However, the scientific research that forms the basis of our efforts to develop programs using half-life extension technologies is ongoing and may not result in viable programs. There is limited clinical data available on product candidates utilizing half-life extension technologies, especially in I&amp;I indications, demonstrating whether they are safe or effective for long-term treatment in humans. The long-term safety and efficacy of these technologies and the extended half-lives and exposure profiles of our programs compared to currently approved products are unknown.</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ultimately discover that utilizing half-life extension technologies for our specific targets and indications and any programs resulting therefrom does not possess certain properties required for therapeutic effectiveness. In addition, programs using half-life extension technologies may demonstrate different chemical and pharmacological properties in human participants than they do in laboratory studies or preclinical studies. This technology and any programs resulting therefrom may not demonstrate the same chemical and pharmacological properties in humans and may interact with human biological systems in unforeseen, ineffective or harmful ways.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we may in the future seek to discover and develop programs that are based on novel targets and technologies that are unproven. If our discovery activities fail to identify novel targets or technologies for drug discovery, or such targets prove to be unsuitable for treating human disease, we may not be able to develop viable additional programs. We and our existing or future collaborators may never receive approval to market and commercialize any product candidate. Even if we or an existing or future collaborator obtains regulatory approval, the approval may be for targets, disease indications or patient populations that are not as broad as we intended or desired or may require labeling that includes significant use or distribution restrictions or safety warnings. If the products resulting from the research programs with respect to which we have signed license agreements with Paragon, exercised the Option to acquire intellectual property license rights to or have the Option to acquire intellectual property license rights to pursuant to the Option Agreements prove to be ineffective, unsafe or commercially unviable, such programs would have little, if any, value, which would have a material and adverse effect on our business, financial condition, results of operations and prospects.</w:t>
      </w:r>
    </w:p>
    <w:p>
      <w:pPr>
        <w:spacing w:after="0" w:line="184"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 involves a lengthy and expensive process that is subject to delays and uncertain outcomes, and results of earlier studies and trials may not be predictive of future clinical trial results.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any product candidate, we must complete preclinical studies and then conduct extensive clinical trials to demonstrate the safety and efficacy of such product candidate in humans. Our clinical trials may not be conducted as planned or completed on schedule, if at all, and failure can occur at any time during the preclinical study or clinical trial process.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a failure of one or more clinical trials can occur at any stage of testing. Clinical data is often susceptible to varying interpretations and analyses, and in addition, we expect to rely on participants to provide feedback on measures such as measures of quality of life, which are subjective and inherently difficult to evaluate. These measures can be influenced by factors outside of our control, and can vary widely from day-to-day for a particular participant, and from participant to participant and from site to site within a clinical trial.</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cannot be sure that the FDA, or comparable foreign regulatory authority, as applicable, will agree with our clinical development plan. We plan to use the data from our Phase 1 trials of our ORKA-001 and ORKA-002 programs in healthy volunteers to support Phase 2 trials in PsO and potentially other I&amp;I indications. If the FDA and/or comparable foreign regulatory authority requires us to materially modify our proposed trial designs, conduct additional trials or enroll additional participants, our development timelines may be delayed. We cannot be sure that submission of an IND, Clinical Trial Application or similar application will result in the FDA or comparable foreign regulatory authorities, as applicable, allowing clinical trials to begin in a timely manner, if at all. Moreover, even if these trials begin, issues may arise that could suspend or terminate such clinical trials. Events that may prevent successful or timely initiation or completion of clinical trials include: inability to generate sufficient preclinical, toxicology or other in vivo or in vitro data to support the initiation or continuation of clinical trials; delays in reaching a consensus with regulatory authorities on study design or implementation of the clinical trials; delays or failure in obtaining regulatory authorization to commence a trial; delays in reaching agreement on acceptable terms with prospective CROs and clinical trial sites; recruiting and training suitable clinical investigators; delays in obtaining required IRB approval at each clinical trial site; delays in manufacturing, testing, releasing, validating or importing/exporting sufficient stable quantities of our product candidates for use in clinical trials or the inability to do any of the foregoing; failure by our CROs, other third parties or us to adhere to clinical trial protocols; failure to perform in accordance with the FDA’s or any other regulatory authority’s current GCP requirements or applicable regulatory guidelines in other countries; changes to the clinical trial protocols; clinical sites deviating from trial protocol or dropping out of a trial; delays or failure by our third party vendors or us in the manufacturing, packaging, labeling and proper delivery of clinical trial materials; and third parties being unwilling or unable to satisfy their contractual obligations to us.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could also encounter delays if a clinical trial is required to be materially modified or suspended or terminated by us, the IRBs, by the Data Safety Monitoring Board, if any, or by the FDA or comparable foreign regulatory authorities. Such authorities may suspend, put on clinical hold or terminate a clinical trial due to a number of factors, including not aligning with or supporting our clinical trial designs or our failure to conduct the clinical trial in accordance with regulatory requirements or our clinical trial protocols, inspection of the clinical trial operations or trial site by the FDA or comparable foreign regulatory authorities resulting in the imposition of a clinical hold, unforeseen safety issues or adverse side effects, failure to demonstrate a benefit from the programs, changes in governmental regulations or administrative actions or lack of adequate funding to continue the clinical trial. If we are required to conduct additional clinical trials or other testing of our product candidates beyond those that we currently contemplate, if we are unable to successfully complete clinical trials of our product candidates, if the results of these trials are not positive or are only moderately positive or if there are safety concerns, our business and results of operations may be adversely affected and we may need to adjust or abandon our business plans and we may incur significant additional costs.</w:t>
      </w:r>
    </w:p>
    <w:p>
      <w:pPr>
        <w:spacing w:after="0" w:line="190"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participants in our current and future clinical trials, our clinical development activities could be delayed or otherwise adversely affected. We depend on the successful completion of clinical trials for our product candidates.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experience difficulties in patient participant enrollment in our clinical trials for a variety of reasons. The timely completion of clinical trials in accordance with their protocols depends, among other things, on our ability to enroll a sufficient number of participants who remain in the trial until conclusion. The enrollment of participants in future trials for any of our programs will depend on many factors, including if participants choose to enroll in clinical trials, rather than using approved products, or if our competitors have ongoing clinical trials for programs that are under development for the same indications as our programs, and participants instead enroll in such clinical trials. Even if we are able to enroll a sufficient number of participants for our clinical trials, it may have difficulty maintaining participants in our clinical trials. Our inability to enroll or maintain a sufficient number of participants would result in significant delays in completing clinical trials and increased development costs or may require us to abandon one or more clinical trials altogether.</w:t>
      </w:r>
    </w:p>
    <w:p>
      <w:pPr>
        <w:spacing w:after="0" w:line="18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“topline” or interim data from our clinical trials may change as more participant data becomes available and are subject to audit and verification procedures, and should be viewed with caution until the final data are available.</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are based on a preliminary analysis of then-available data, and the results and related findings and conclusions are subject to change following a more comprehensive review of the data. We also make assumptions, estimations, calculations and conclusions as part of our analyses of these data without the opportunity to fully and carefully evaluate complete data. As a result, the preliminary or topline results that we report may differ from future results of the same studies, or different conclusions or considerations may qualify such results, once additional data have been received and fully evaluated or subsequently made subject to audit and verification procedures.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are subject to the risk that one or more of the clinical outcomes may materially change as participant enrollment continues and more participant data become available or as participants from our clinical trials continue other treatments. Further, others, including regulatory agencies, may not accept or agree with our assumptions, estimates, calculations, conclusions or analyses or may interpret or weigh the importance of data differently, which could impact the value of the particular product candidate, the approvability or commercialization of the particular product candidate and our company in general. In addition, the information we choose to publicly disclose regarding a particular preclinical study or clinical trial is based on what is typically extensive information, and you or others may not agree with what we determine is material or otherwise appropriate information to include in our disclosure. If the preliminary, topline or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0" w:name="page51"/>
    <w:bookmarkEnd w:id="50"/>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reveal significant adverse events, undesirable side effects or patient intolerance not seen in our preclinical studies or earlier clinical trials, and may result in a safety profile that could halt clinical development, inhibit regulatory approval or limit commercial potential or market acceptance of any of our product candidates.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Results of our clinical trials could reveal a high and unacceptable severity and prevalence of side effects or patient intolerance, adverse events or unexpected characteristics, and any of these occurrences could harm our business, financial condition, results of operations and prospects significantly. If significant adverse events or other side effects are observed in any of our clinical trials, we may have difficulty recruiting participants to such trials, participants may drop out of the trials, or we may have to suspend, materially modify or abandon the trials or our development efforts of one or more programs altogether. We, the FDA or other applicable regulatory authorities, or an IRB, may suspend or require the material modification of any clinical trials of any program at any time for various reasons, including a belief that participants in such trials are being exposed to unacceptable health risks or adverse side effects. Moreover, negative or inconclusive results could cause the FDA or other regulatory agencies to require that we repeat or conduct additional clinical trials. If our clinical trials do not produce favorable results, our ability to obtain regulatory approval for our product candidates may be adversely impacted.</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Even if side effects do not preclude the product candidate from obtaining or maintaining marketing approval, undesirable side effects may inhibit market acceptance of the approved product due to their tolerability versus other therapies. In addition, an extended half-life could prolong the duration of undesirable side effects, which could also affect our clinical trials or inhibit market acceptance. Potential side effects associated with our product candidates may not be appropriately recognized or managed by the treating medical staff, as toxicities resulting from our product candidates may not be normally encountered in the general patient population and by medical personnel.</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even if we successfully advance our product candidates through clinical trials, such trials will only include a limited number of participants and limited duration of exposure to our product candidates. As a result, we cannot be assured that adverse effects of our product candidates will not be uncovered when a significantly larger number of participants are exposed to the product candidate after approval. Further, any clinical trials may not be sufficient to determine the effect and safety consequences of using our product candidates over a multi-year period.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any of the foregoing events occur or if one or more of the research programs with respect to which we have signed a licensed agreement for or exercised the Option to acquire intellectual property license rights to or have the Option to acquire intellectual property license rights to pursuant to the Option Agreements prove to be unsafe, our pipeline could be affected, which would have a material adverse effect on our business, financial condition, results of operations and prospects.</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program and fail to capitalize on programs that may be more profitable or for which there is a greater likelihood of success.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initially focused on our most advanced programs, ORKA-001 and ORKA-002, and as a result, we may forgo or delay pursuit of opportunities with other programs that later prove to have greater commercial potential. Our resource allocation decisions may cause us to fail to capitalize on viable commercial products or profitable market opportunities. Our spending on current and future research and development programs for specific indications may not yield any commercially viable product candidates. If we do not accurately evaluate the commercial potential or target market for a particular product candidate, we may be in a position where we may have to relinquish valuable rights to that product candidate through collaboration, licensing or other arrangements in cases in which we would have been more advantageous for us to retain sole development and commercialization rights to such product candidate.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1" w:name="page52"/>
    <w:bookmarkEnd w:id="51"/>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approved products resulting from our programs may not achieve adequate market acceptance among clinicians, patients, healthcare third-party payors and others in the medical community necessary for commercial success and we may not generate any future revenue from the sale or licensing of such products.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Even if regulatory approval is obtained for a product candidate resulting from one of our current or future programs, it may not gain market acceptance among physicians, patients, healthcare payors or the medical community. Market acceptance of our product candidates will depend on many factors, including factors that are not within our control. While there are several approved products and product candidates in later stages of development for the treatment of PsO, our programs incorporate advanced antibody engineering to optimize the half-life and formulation of antibodies, and to date, no such antibody has been approved by the FDA for the treatment of PsO. Market participants with influence over acceptance of new treatments, such as clinicians and third-party payors, may not adopt a biologic that incorporates half-life extension for our targeted indications, and we may not be able to convince the medical community and third-party payors to accept and use, or to provide favorable reimbursement for, any programs developed by us or our existing or future collaborators. Moreover, an extended half-life may make it more difficult for patients to change treatments and there may be a perception that half-life extension could exacerbate side effects, each of which may adversely affect our ability to gain market acceptance.</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of medical products also depend on the willingness of healthcare providers to prescribe the treatment, and if any of our product candidates is approved but does not achieve an adequate level of acceptance, we may not generate or derive sufficient revenue from that product candidate and may not become or remain profitable.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Certain of our programs may compete with our other programs, which could negatively impact our business and reduce our future revenue.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developing product candidates for the same indication, PsO, and may in the future develop our programs for other I&amp;I indications. Each such program targets a different mechanism of action. However, developing multiple programs for a single indication may negatively impact our business if the programs compete with each other. For example, if multiple programs are conducting clinical trials at the same time, they could compete for the enrollment of participants. In addition, if multiple product candidates are approved for the same indication, they may compete for market share, which could limit our future revenue.</w:t>
      </w:r>
    </w:p>
    <w:p>
      <w:pPr>
        <w:spacing w:after="0" w:line="17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conduct clinical trials for programs at sites outside the United States, and the FDA may not accept data from trials conducted in such locations. Moreover, conducting clinical trials outside of the U.S. presents additional risks that may delay our clinical trials.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choose to conduct one or more of our future clinical trials outside the United States. Although the FDA may accept data from clinical trials conducted outside the United States, acceptance of this data is subject to conditions imposed by the FDA. If the FDA does not accept the data from any trial that we conduct outside the United States, it would likely result in the need for additional trials, which would be costly and time-consuming and would delay or permanently halt our development of the applicable product candidates. Even if the FDA accepted such data, it could impose additional conditions, such as requiring us to modify our planned clinical trials to receive clearance to initiate such trials in the United States or to continue such trials once initiated.</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 conducting clinical trials outside of the U.S. presents additional risks that may delay completion of our clinical trials. These risks include the failure of investigators or enrolled participants in foreign countries to adhere to clinical protocol as a result of differences in healthcare services or cultural customs that could restrict or limit our ability to conduct our clinical trials, the administrative burdens of conducting clinical trials under multiple sets of foreign regulations, potential restrictions, such as local privacy restrictions, on data generated from the clinical trial, diminished protection of intellectual property in some countries, as well as political and economic risks relevant to foreign countries.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2" w:name="page53"/>
    <w:bookmarkEnd w:id="52"/>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other comparable foreign regulatory authorities are lengthy, time-consuming and unpredictable. If we are not able to obtain, or if there are delays in obtaining, required regulatory approvals for our product candidates, we may not be able to commercialize, or may be delayed in commercializing, our product candidates, and our ability to generate revenue may be materially impaired.</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lengthy regulatory approval process as well as the unpredictability of clinical trial results may result in our failing to obtain or be delayed in obtaining approval to market our product candidates, which would significantly harm our business, results of operations and prospects. Of the large number of drugs in development, only a small percentage successfully complete the FDA or foreign regulatory approval processes and are commercialized. The process of obtaining regulatory approvals, both in the United States and abroad, is unpredictable, expensive and typically takes many years following commencement of clinical trials. Approval may never be obtained and the approval process can vary substantially based upon a variety of factors, including the type, complexity and novelty of the product candidates involved. Before obtaining regulatory approvals for the commercial sale of our product candidates, we must demonstrate through lengthy, complex and expensive preclinical studies and clinical trials that our product candidates are both safe and effective for each targeted indication. Securing regulatory approval also requires the submission of information about the drug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our obtaining marketing approval. The FDA and comparable foreign regulatory authorities have substantial discretion in the approval process and may refuse to accept any application or may decide that our data are insufficient for approval and require additional preclinical, clinical or other data. Our product candidates could be delayed in receiving, or fail to receive, regulatory approval for many reasons, including: the failure to demonstrate that a product candidate’s benefits outweigh safety risks; regulatory authorities may disagree with our interpretation of clinical data or the data collected may not be acceptable or sufficient to support submission; or the results may not meet the level of statistical significance required for approval by the relevant regulatory authorities or otherwise considered insufficient by the FDA or comparable foreign regulatory authorities. Regulatory authorities may require the addition of labeling statements, such as black box or other warnings or contraindications that could diminish the usage of the product or otherwise limit the commercial success of the affected product.</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Moreover, regulatory authorities may approve any of our product candidates for fewer or more limited indications than we request, including failing to approve the most commercially promising indications, may grant approval contingent on the performance of costly post-marketing clinical trials, or may approve a product candidate with a label that does not include the labeling claims necessary or desirable for the successful commercialization of that product candidate.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meet requirements for the chemistry, manufacturing and control of our programs.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order to receive approval of our products by the FDA and comparable foreign regulatory authorities, we must show that we and our CMO partners are able to characterize, control and manufacture our drug products safely and in accordance with regulatory requirements. This includes manufacturing the active ingredient, developing an acceptable formulation, manufacturing the drug product, performing tests to adequately characterize the formulated product, documenting a repeatable manufacturing process, and demonstrating that our drug products meet stability requirements. As noted above, we may deliver our product candidates via a drug delivery device, which also requires us to meet certain chemistry, manufacturing and control requirements set forth by the FDA and other foreign regulatory authorities. Meeting these chemistry, manufacturing and control requirements is a complex task that requires specialized expertise. If we are not able to meet the chemistry, manufacturing and control requirements, we may not be successful in getting our products approved.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3" w:name="page54"/>
    <w:bookmarkEnd w:id="53"/>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for which we intend to seek approval as biologics may face competition sooner than anticipated.</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Healthcare and Education Reconciliation Act (the “ACA”), includes a subtitle called the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that any of our product candidates approved as biologics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reference products in a way that is similar to traditional generic substitution for non-biological products is not yet clear, and will depend on a number of marketplace and regulatory factors that are still developing.</w:t>
      </w:r>
    </w:p>
    <w:p>
      <w:pPr>
        <w:spacing w:after="0" w:line="18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our product candidates, we will be subject to extensive ongoing regulatory obligations and continued regulatory review and may result in restrictions on the use of the product, which may result in significant additional expense and we may be subject to penalties if we fail to comply with regulatory requirements or experience unanticipated problems with our product candidates.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our product candidates. In addition, even if our product candidates receive approval, our product candidates and the activities associated with their development and commercialization, including their design, testing, manufacture, safety, efficacy, recordkeeping, labeling, storage, approval, advertising, promotion, sale, distribution, import and export will be subject to comprehensive regulation by the FDA and other regulatory agencies in the United States and by comparable foreign regulatory authorities. These requirements include submissions of safety and other post-marketing information and reports, registration, as well as on-going compliance with current CGMPs and GCPs for any clinical trials that we conduct following approval. In addition, manufacturers of drug products and their facilities are subject to continual review and periodic, unannounced inspections by the FDA and other regulatory authorities for compliance with CGMPs.</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we or a regulatory authority discover previously unknown problems with a product or problems with the facilities where the product is manufactured, a regulatory authority may impose restrictions on that product, the manufacturing facility or us, including requiring recall or withdrawal of the product from the market or suspension of manufacturing, restrictions on our ability to conduct clinical trials, including full or partial clinical holds on ongoing or planned trials, restrictions on the manufacturing process, warning or untitled letters, civil and criminal penalties, injunctions, product seizures, detentions or import bans, voluntary or mandatory publicity requirements and imposition of restrictions on operations, including costly new manufacturing requirements.</w:t>
      </w:r>
    </w:p>
    <w:p>
      <w:pPr>
        <w:spacing w:after="0" w:line="18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and regulatory authorities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regulatory filings and our ability to commence human clinical trials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Disruptions at the FDA and other agencies or comparable foreign regulatory authorities, may also slow the time necessary for the review and approval of applications for clinical trial or marketing authorization, which would adversely affect our business. For example, in recent years, including in 2018 and 2019, the U.S. government shut down several times and certain regulatory agencies, such as the FDA and the SEC, had to furlough critical employees and stop critical activities. Additionally, action by the new Trump Administration to limit federal agency budgets or personnel may result in reductions to the FDA’s budget, employees, and operations, which may lead to slower response times and longer review periods, potentially affecting our ability to progress development of our product candidates or obtain regulatory approval for our product candidates.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49" w:gutter="0" w:footer="0" w:header="0"/>
        </w:sectPr>
      </w:pPr>
    </w:p>
    <w:bookmarkStart w:id="54" w:name="page55"/>
    <w:bookmarkEnd w:id="54"/>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from legislative or regulatory reform measures.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be faced with additional or changing regulatory and governmental regulations that could prevent, limit or delay regulatory approval of our product candidates. We cannot predict the likelihood, nature or extent of government regulation that may arise from future legislation or administrative or executive action, either in the United States or abroad. For example, the Trump Administration has discussed several changes to the reach and oversight of the FDA, which could affect its relationship with the pharmaceutical industry, transparency in decision making and ultimately the cost and availability of prescription drugs.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price of pharmaceuticals has been a topic of considerable public discussion that could lead to price controls or other price-limiting strategies by payors that have the effect of lowering payment and reimbursement rates for drugs or otherwise making the commercialization of pharmaceuticals less profitable. Many federal and state legislatures have considered, and adopted, healthcare policies intended to curb rising healthcare costs, such as the IRA. These cost-containment measures may include, among other measures: requirements for pharmaceutical companies to negotiate prescription drug prices with government healthcare programs; controls on government-funded reimbursement for drugs; new or increased requirements to pay prescription drug rebates to government healthcare programs, including if drug prices increase at a higher rate than inflation; controls on healthcare providers; challenges to or limits on the pricing of drugs, including pricing controls or limits or prohibitions on reimbursement for specific products through other means; requirements to try less expensive products or generics before a more expensive branded product; and public funding for cost effectiveness research, which may be used by government and private third-party payors to make coverage and payment decisions. Political, economic and regulatory developments may further complicate developments in healthcare systems and pharmaceutical drug pricing. These developments could, for example, impact our potential licensing agreements as commercial and collaborative partners may also consider the impact of these pressures on their licensing strategies.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new laws or regulations that have the effect of imposing additional costs or regulatory burden on pharmaceutical manufacturers, or otherwise negatively affect the industry, could adversely affect our ability to successfully commercialize our product candidates. The implementation of any price controls, caps on prescription drugs or price transparency requirements could adversely affect our business, operating results and financial condition.</w:t>
      </w:r>
    </w:p>
    <w:p>
      <w:pPr>
        <w:spacing w:after="0" w:line="172"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arrangements with investigators, healthcare professionals, consultants, third-party payors, patient organizations and customers will be subject to applicable healthcare regulatory laws, including conflicts of interest rules, which could expose us to penalties.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Principal investigators for our clinical trials may serve as scientific advisors or consultants to us or may be affiliated with our other service providers, including CROs or site management organizations, and from time to time may receive cash compensation in connection with such services. If these relationships and any related compensation result in perceived or actual conflicts of interest, the integrity of the data generated at the applicable clinical trial site or in the applicable trial may be questioned or jeopardized.</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costs and management attention. If our operations are found to be in violation of any of these laws or any other governmental laws and regulations that may apply to it, we may be subject to significant penalties, including civil, criminal and administrative penalties, damages, fines, exclusion from government-funded healthcare programs, integrity oversight and reporting obligations to resolve allegations of non-compliance, disgorgement, individual imprisonment, contractual damages, reputational harm, diminished profits and the curtailment or restructuring of our operations. Further, defending against any such actions can be costly and time-consuming and may require significant personnel resources. Therefore, even if we are successful in defending against any such actions that may be brought against us, our business may be impaired.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5" w:name="page56"/>
    <w:bookmarkEnd w:id="55"/>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due to unfavorable pricing regulations and/or third-party coverage and reimbursement policies, we may not be able to offer such product candidates at competitive prices, which would seriously harm our business.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intend to seek approval to market our product candidates in the United States and in selected foreign jurisdictions, and we will be subject to rules and regulations in those jurisdictions where we obtain approval. Our ability to successfully commercialize any product candidates that we may develop will depend in part on the extent to which reimbursement for these product candidates and related treatments will be available from government health administration authorities, private health insurers and other organizations. In some jurisdictions, government authorities and other third-party payors decide which medications they will pay for and establish reimbursement levels, and have attempted to control costs by limiting coverage and the amount of reimbursement for particular medications. These entities may create preferential access policies for a competitor’s product, including a branded or generic/biosimilar product, over our products in an attempt to reduce their costs, which may reduce our commercial opportunity. Additionally, if any of our product candidates are approved and we are found to have improperly promoted off-label uses of those product candidates, we may become subject to significant liability, which would materially adversely affect our business and financial condition.</w:t>
      </w:r>
    </w:p>
    <w:p>
      <w:pPr>
        <w:spacing w:after="0" w:line="18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We can face criminal liability and other serious consequences for violations, which can harm our business.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the U.S. Physician Payments Sunshine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 if any.</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some countries, particularly member states of the EU (“EU Member States”), the pricing of prescription drugs is subject to governmental control. In these countries, pricing negotiations with governmental authorities can take considerable time after receipt of marketing approval for a therapeutic.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EU Member States, can further reduce prices. To obtain coverage and reimbursement or pricing approvals in some countries, we or current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If the UK or EU Member States were to significantly alter their regulations affecting the pricing of prescription pharmaceuticals, we could face significant new costs.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6" w:name="page57"/>
    <w:bookmarkEnd w:id="56"/>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obtain and protect our patents and other proprietary rights is uncertain, exposing us to the possible loss of competitive advantage.</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rely upon a combination of patents, trademarks, trade secret protection, confidentiality agreements and the Option and License Agreements to protect the intellectual property related to our programs and technologies and to prevent third parties from competing unfairly with it. Our success depends in large part on our ability to obtain and maintain patent protection for our programs and our product candidates and their uses, as well as our ability to operate without infringing on or violating the proprietary rights of others. Paragon has filed, on our behalf, provisional patent applications and we have filed non-provisional patent applications directed to antibodies that target IL-23, including applications covering composition of matter, pharmaceutical formulations, and methods of using such antibodies, including ORKA-001. In addition, Paragon has filed, on our behalf, provisional patent applications and we intend to file one or more additional provisional patent applications directed to antibodies that target IL-17, including applications covering composition of matter, pharmaceutical formulations, and methods of using such antibodies, including ORKA-002. However, we may not be able to protect our intellectual property rights throughout the world and the legal systems in certain countries may not favor enforcement or protection of patents, trade secrets and other intellectual property. Filing, prosecuting and defending patents on programs worldwide is expensive and our intellectual property rights in some foreign jurisdictions can be less extensive than those in the United States; the reverse may also occur. As such, we may not have patents in all countries or all major markets and may not be able to obtain patents in all jurisdictions even if we apply for them. Our competitors may operate in countries where we do not have patent protection and can freely use our technologies and discoveries in such countries to the extent such technologies and discoveries are publicly known or disclosed in countries where we do have patent protection or pending patent applications.</w:t>
      </w:r>
    </w:p>
    <w:p>
      <w:pPr>
        <w:spacing w:after="0" w:line="19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pending and future patent applications may not result in patents being issued. Any issued patents may not afford sufficient protection of our programs or their intended uses against competitors, nor can there be any assurance that the patents issued will not be infringed, designed around, invalidated by third parties, or effectively prevent others from commercializing competitive technologies, products or programs. Even if these patents are granted, they may be difficult to enforce. Further, any issued patents that we may license or own covering our programs could be narrowed or found invalid or unenforceable if challenged in court or before administrative bodies in the United States or abroad, including the United States Patent and Trademark Office (“USPTO”). Further, if we encounter delays in our clinical trials or delays in obtaining regulatory approval, the period of time during which we could market our product candidates under patent protection would be reduced. Thus, the patents that we may own and license may not afford us any meaningful competitive advantage.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7" w:name="page58"/>
    <w:bookmarkEnd w:id="57"/>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programs, we may also rely on trade secrets, including unpatented know-how, technology and other proprietary information, to maintain our competitive position. Any disclosure, either intentional or unintentional, by our employees, the personnel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In order to protect our proprietary technology and processes, we rely in part on agreements, such as confidentiality agreements, with our vendors,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We may need to share our proprietary information, including trade secrets, with future business partners, collaborators, contractors and others located in countries at heightened risk of theft of trade secrets, including through direct intrusion by private parties or state actors and those affiliated with or controlled by state actors. In addition, while we undertake efforts to protect our trade secrets and other confidential information from disclosure, others may independently discover trade secrets and proprietary information, and in such cases, we may not be able to assert any trade secret rights against such party. Enforcing a claim that a party illegally obtained and is using our trade secrets is challenging and the outcome is unpredictable. In addition, courts outside of the U.S. may be less willing to protect trade secrets. Costly and time-consuming litigation could be necessary to enforce and determine the scope of our proprietary rights and failure to obtain or maintain trade secret protection could adversely affect our competitive business position.</w:t>
      </w:r>
    </w:p>
    <w:p>
      <w:pPr>
        <w:spacing w:after="0" w:line="19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Lastly, if our trademarks and trade names are not registered or adequately protected, then we may not be able to build name recognition in our markets of interest and our business may be adversely affected.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our programs through acquisitions and in-licenses.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Because our development programs currently do and may in the future require the use of proprietary rights held by third parties, the growth of our business may depend in part on our ability to acquire, in-license, or use these third-party proprietary rights. It is possible that we may be unable to obtain licenses at a reasonable cost or on reasonable terms, if at all. Even if we are able to obtain a license, it may be non-exclusive, thereby giving our competitors access to the same technologies licensed to us. We may be unable to acquire or in-license any compositions, methods of use, processes or other third-party intellectual property rights from third parties that we identify as necessary for our programs.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do obtain, we may have to abandon development of the relevant program, which could have a material adverse effect on our business, financial condition, results of operations, and prospects.</w:t>
      </w:r>
    </w:p>
    <w:p>
      <w:pPr>
        <w:spacing w:after="0" w:line="19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While we plan to obtain the right to control prosecution, maintenance and enforcement of the patents relating to our programs, there may be times when the filing and prosecution activities for patents and patent applications relating to our programs are controlled by our current and future licensors or collaboration partners. If any of our current and future licensors or collaboration partners fail to prosecute, maintain and enforce such patents and patent applications in a manner consistent with the best interests of our business,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future licensors and our counsel that took place prior to the date upon which we assumed control over patent prosecution. Moreover, if other third parties have ownership rights to our future in-licensed patents, they may be able to license such patents to our competitors, and our competitors could market competing products and technology.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8" w:name="page59"/>
    <w:bookmarkEnd w:id="58"/>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Failure to obtain licenses at a reasonable cost or terms may require us to expend significant time and resources to redesign our technology, programs, or the methods for manufacturing them or to develop or license replacement technology, all of which may not be feasible on a technical or commercial basis. If we are unable to do so, we may be unable to develop or commercialize the affected product candidates. This could have a material adverse effect on our competitive position, business, financial condition, results of operations, and prospects.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Disputes may arise between us and our future licensors regarding intellectual property subject to a license agreement, including: the scope of rights granted under the license agreement and other interpretation-related issues; whether and the extent to which our technology and processes infringe on intellectual property of the licensor that is not subject to the licensing agreement; our right to sublicense patents and other rights to third parties; our right to transfer or assign the license; the inventorship and ownership of inventions and know-how resulting from the joint creation or use of intellectual property by our future licensors and us and our partners; and the priority of invention of patented technology.</w:t>
      </w:r>
    </w:p>
    <w:p>
      <w:pPr>
        <w:spacing w:after="0" w:line="179"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patent infringement claims or may need to file claims to protect our intellectual property, which could result in substantial costs and liability and prevent us from commercializing our potential products.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Because the intellectual property landscape in the biopharmaceutical industry is rapidly evolving and interdisciplinary, it is difficult to conclusively assess our freedom to operate and guarantee that we can operate without infringing on or violating third-party rights. Third party patent rights, if found to be valid and enforceable, could be alleged to render one or more of our product candidates infringing. If a third party successfully brings a claim against us, we may be required to pay substantial damages, be forced to abandon any affected product candidate and/or seek a license from the patent holder. Any intellectual property claims brought against us, whether or not successful, may cause us to incur significant legal expenses and divert the attention of our management and key personnel from other business concerns. We cannot be certain that patents owned or licensed by us will not be challenged by others in the course of litigation. Some of our competitors may be able to sustain the costs of complex intellectual property litigation more effectively than we can because they have substantially greater resources. In addition, any litigation could have a material adverse effect on our business and operations, including our ability to raise funds.</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Competitors may infringe or otherwise violate our patents, trademarks, copyrights or other intellectual property. To counter infringement or other violations, we may be required to file claims, which can be expensive and time-consuming, and any such claims could provoke these parties to assert counterclaims against us. In addition, in a patent infringement proceeding, a court or administrative body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or administrative body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 we may be required to protect our patents through procedures created to attack the validity of a patent at the USPTO.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if our programs are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which may require us to initiate or defend protracted and costly litigation on behalf of licensees and other parties regardless of the merits of such claims. If any of these claims succeed, we may be forced to pay damages on behalf of those parties or may be required to obtain licenses for the products they use.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9" w:name="page60"/>
    <w:bookmarkEnd w:id="59"/>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7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have wrongfully hired an employee from a competitor or that our employees, consultants or independent contractors have wrongfully used or disclosed confidential information of third parties.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is common in the biopharmaceutical industry, in addition to our employees, we engage the services of consultants to assist us in the development of our programs. Many of these consultants, and many of our employees, were previously employed at, or may have previously provided or may be currently providing consulting services to, other biotechnology or pharmaceutical companies including our competitors or potential competitors. We could in the future be subject to claims that we, our employees or our consultants have inadvertently or otherwise used or disclosed alleged intellectual property, such as trade secrets, or other confidential information of former employers or competitors. Although we try to ensure that our employees and consultants do not use the intellectual property, proprietary information, know-how or trade secrets of others in their work for us, we may become subject to claims that we caused an individual to breach the terms of his or her non-competition or non-solicitation agreement, or that we or these individuals have, inadvertently or otherwise, used or disclosed the alleged trade secrets or other proprietary information of a former employer or competitor.</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While we may litigate to defend ourselves against these claims, even if we are successful, litigation could result in substantial costs and could be a distraction to management. If our defenses to these claims fail, in addition to requiring us to pay monetary damages, a court could prohibit us from using technologies or features that are essential to our programs,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 Even if we are successful in defending against such claims, litigation could result in substantial costs and be a distraction to management.</w:t>
      </w:r>
    </w:p>
    <w:p>
      <w:pPr>
        <w:spacing w:after="0" w:line="18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Changes in either the patent laws or interpretation of patent laws in the United States and foreign jurisdictions could increase the uncertainties and costs surrounding the prosecution of our owned and in-licensed patent applications and the maintenance, enforcement or defense of our owned and in-licensed issued patents. Additionally, there have been proposals for additional changes to the patent laws of the United States and other countries that, if adopted, could impact our ability to enforce our proprietary technology. This combination of events has created uncertainty with respect to the validity and enforceability of patents once obtained. Depending on future actions by the U.S. Congress, the federal courts, the USPTO and the relevant law-making bodies in other countries, the laws and regulations governing patents could change in unpredictable ways that could have a material adverse effect on our patent rights and our ability to protect, defend and enforce our patent rights in the future. In addition, geopolitical instability could increase the uncertainties and costs surrounding the prosecution or maintenance of patent applications and the maintenance, enforcement or defense of issued patents.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patent positions of companies in the development and commercialization of biologics and pharmaceuticals are particularly uncertain. U.S. Supreme Court and U.S. Court of Appeals for the Federal Circuit rulings have narrowed the scope of patent protection available in certain circumstances and weakened the rights of patent owners in certain situations, including in the antibody arts. For example, the United States Supreme Court in Amgen, Inc. v. Sanofi (Amgen) stated that if patent claims are directed to an entire class of compositions of matter, then the patent specification must enable a person skilled in the art to make and use the entire class of compositions. This decision makes it unlikely that we will be granted U.S. patents with composition of matter claims directed to antibodies functionally defined by their ability to bind a particular antigen. Even if we are granted claims directed to functionally defined antibodies, it is possible that a third party may challenge our patents, when issued, relying on the reasoning in Amgen or other recent precedential court decisions.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0" w:name="page61"/>
    <w:bookmarkEnd w:id="60"/>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a European Unified Patent Court (“UPC”) entered into force on June 1, 2023. The UPC is a common patent court that hears patent infringement and revocation proceedings effective for EU Member States. This could enable third parties to seek revocation of a European patent in a single proceeding at the UPC rather than through multiple proceedings in each of the jurisdictions in which the European patent is validated.</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Although we do not currently own any European patents or applications, if we obtain such patents and applications in the future,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we may obtain. We may decide to opt out from the UPC any future European patent applications that we may file and any patents we may obtain.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if we decide to opt out of the UPC.</w:t>
      </w:r>
    </w:p>
    <w:p>
      <w:pPr>
        <w:spacing w:after="0" w:line="18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submissions,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programs, our competitive position would be adversely affected.</w:t>
      </w:r>
    </w:p>
    <w:p>
      <w:pPr>
        <w:spacing w:after="0" w:line="184"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products or technology similar to ours. Any such patent application may have priority over our patent applications or patents, which could require us to obtain rights to issued patents covering such technologies.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1" w:name="page62"/>
    <w:bookmarkEnd w:id="61"/>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claims challenging the inventorship or ownership of our patents and other intellectual property.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programs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the competitive position of our product candidates for an adequate amount of time.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products similar or identical to ours.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technology licensed from various third parties may be subject to retained rights.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future licensors may retain certain rights under the relevant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our future licensors may rely on third-party consultants or collaborators or on funds from third parties, such as the U.S. government, such that our licensors would not be the sole and exclusive owners of any patents we in-license.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licensing arrangements with Paragon through the License Agreements. If we are unable to maintain collaborations or licensing arrangements, or if our collaborations or licensing arrangements are not successful, our business could be negatively impacted.</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currently rely on our licensing arrangements with Paragon through the License Agreements for a substantial portion of our in-licenses.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2" w:name="page63"/>
    <w:bookmarkEnd w:id="62"/>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Collaborations or licensing arrangements that we enter into may not be successful, and any success will depend heavily on the efforts and activities of such collaborators or licensors. If any of our current or future collaborators or licensors experience delays in performance of, or fails to perform our obligations under their agreement with us, disagrees with our interpretation of the terms of such agreement or terminates their agreement with us, the research programs with respect to which we have the option to acquire intellectual property license rights to pursuant to the Option Agreements, the licensing agreements we have pursuant to the License Agreements and our development timeline could be adversely affected. If we fail to comply with any of the obligations under our collaborations or license agreements, including payment terms and diligence terms, our collaborators or licensors may have the right to terminate such agreements, in which event we may lose intellectual property rights and may not be able to develop, manufacture, market or sell the products covered by our agreements or may face other penalties under our agreements. Our collaborators and licensors may also fail to properly maintain or defend the intellectual property we have licensed from them, if required by our agreement with them, or even infringe upon, our intellectual property rights, leading to the potential invalidation of our intellectual property or subjecting us to litigation or arbitration, any of which would be time-consuming and expensive and could harm our ability to commercialize our product candidates. In addition, collaborators could independently develop, or develop with third parties, products that compete directly or indirectly with our programs and products if the collaborators believe that the competitive products are more likely to be successfully developed or can be commercialized under terms that are more economically attractive than ours.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part of our strategy, we plan to evaluate additional opportunities to enhance our capabilities and expand our development pipeline or provide development or commercialization capabilities that complement ours. We may not realize the benefits of such collaborations, alliances or licensing arrangements. Any of these relationships may require us to incur non-recurring and other charges, increase our near and long-term expenditures, issue securities that dilute our existing stockholders or disrupt our management and business.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face significant competition in attracting appropriate collaborators, and more established companies may also be pursuing strategies to license or acquire third-party intellectual property rights that we consider attractive. These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upon, among other things, our assessment of the collaborator’s resources and expertise, the terms and conditions of the proposed collaboration and the proposed collaborator’s evaluation of a number of factors. Collaborations are complex and time-consuming to negotiate, document and execute. In addition, consolidation among large pharmaceutical and biotechnology companies has reduced the number of potential future collaborators. We may not be able to negotiate collaborations on a timely basis, on acceptable terms or at all. If we fail to enter into collaborations and do not have sufficient funds or expertise to undertake the necessary development and commercialization activities, we may not be able to further develop our product candidates or bring them to market.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3" w:name="page64"/>
    <w:bookmarkEnd w:id="63"/>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utilized and plan to continue to utilize and depend upon independent investigators and collaborators, such as medical institutions, CROs, contract testing labs, CMOs and strategic partners, to supply, conduct and support our preclinical studies and clinical trials under agreements with us.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regulations, which are regulations and guidelines enforced by the FDA and comparable foreign regulatory authorities for all of our programs in clinical development.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or refuse to approve our marketing applications. We cannot assure you that upon inspection by a given regulatory authority, such regulatory authority will determine that any of our clinical trials comply with GCP regulations. In addition, our clinical trials must be conducted with products produced under cGMP regulations. Our failure to comply with these regulations may require us to repeat clinical trials, which would delay the regulatory approval process. Moreover, our business may be implicated if any of these third parties violate federal or state fraud and abuse or false claims laws and regulations or healthcare privacy and security laws.</w:t>
      </w:r>
    </w:p>
    <w:p>
      <w:pPr>
        <w:spacing w:after="0" w:line="19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Any third parties conducting our clinical trials will not be our employees and, except for remedies available to us under our agreements with such third parties, we cannot control whether they devote sufficient time and resources to our programs. These third parties may have relationships with other commercial entities, including our competitors, for whom they may also be conducting clinical trials or other product development activities, which could negatively affect their performance on our behalf and the timing thereof and could lead to products that compete directly or indirectly with our product candidates.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4" w:name="page65"/>
    <w:bookmarkEnd w:id="64"/>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rely in the future on the use of manufacturing suites in third-party facilities or on third parties to manufacture our product candidates, and we may rely on third parties to produce and process our products, if approved. Our business could be adversely affected if we are unable to use third-party manufacturing suites or if the third-party manufacturers encounter difficulties in production.</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do not currently own any facility that may be used as our clinical or commercial manufacturing and processing facility and must currently rely on CMOs to manufacture our product candidates. We have not yet caused any product candidates to be manufactured on a commercial scale and may not be able to do so for any of our product candidates, if approved. We currently have a sole source relationship for our supply of the ORKA-001 and ORKA-002 programs. If there should be any disruption in such supply arrangement, including any adverse events affecting our sole supplier, it could have a negative effect on the clinical development of our programs and other operations while we work to identify and qualify an alternate supply source. We may not control the manufacturing process of, and may be completely dependent on, our contract manufacturing partners for compliance with cGMP requirements and any other regulatory requirements of the FDA or comparable foreign regulatory authorities for the manufacture of our product candidates. Beyond periodic audits, we have limited control over the ability of our CMOs to maintain adequate quality control, quality assurance and qualified personnel.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delays, and materially adversely affect our ability to develop, obtain regulatory approval for or market our product candidates, if approved. Similarly, our failure, or the failure of our CMOs,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19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Moreover, our CMOs may experience manufacturing difficulties due to resource constraints, supply chain issues, proposed or actual legislative changes or requirements, or as a result of labor disputes or unstable political environments. If any CMOs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 In addition, our CMOs are responsible for transporting temperature-controlled materials that can be inadvertently degraded during transport due to several factors, rendering certain batches unsuitable for trial use for failure to meet, among others, our integrity and purity specifications. We and any of our CMOs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result in higher costs or adversely impact commercialization of our product candidates.</w:t>
      </w:r>
    </w:p>
    <w:p>
      <w:pPr>
        <w:spacing w:after="0" w:line="194"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18"/>
          <w:szCs w:val="18"/>
          <w:color w:val="auto"/>
        </w:rPr>
        <w:t>Foreign CMOs may be subject to U.S. legislation, including the proposed BIOSECURE bill,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We currently rely on foreign CROs and CMOs, including WuXi Biologics (Hong Kong) Limited and its affiliates (“WuXi Biologics”) and will likely continue to rely on foreign CROs and CMOs in the future. WuXi Biologics is identified in the U.S. legislation known as the BIOSECURE Act, which was proposed in the 118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Congress, as a</w:t>
      </w:r>
    </w:p>
    <w:p>
      <w:pPr>
        <w:spacing w:after="0" w:line="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“biotechnology company of concern.” The version of the BIOSECURE Act introduced in the U.S. House of Representatives during the 118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Congress would prohibit federal agencies from entering into procurement contracts with, as well as providing grants and loans to, an entity that uses biotechnology equipment or services from a biotechnology company of concern, and includes a grandfathering provision allowing biotechnology equipment and services provided or produced by named “biotechnology companies of concern” under a contract or agreement entered into before the effective date until January 1, 2032. The pathway and timing for the BIOSECURE Act or its provisions to become law are uncertain. Depending on whether the BIOSECURE Act becomes law, what the final language of the BIOSECURE Act includes, and how the law is interpreted by U.S. federal agencies, we could be potentially restricted from pursuing U.S. federal government business or grants in the future if we continue to use WuXi or other parties identified as “biotechnology companies of concern” beyond the grandfathering period.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5" w:name="page66"/>
    <w:bookmarkEnd w:id="6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our operations and financial condition may be negatively impacted as a result of any delays or increased costs arising from the trade restrictions and other foreign regulatory requirements affecting such collaborators. In addition, while we have established relationships with CROs and CMOs outside of China, moving to those suppliers in the event of geopolitical instability affecting our collaborators in China could introduce delays into the development program.</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Growth and Other Risks Related to Our Business</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preclinical and clinical drug development, technical operations, clinical operations, regulatory affairs and, potentially, sales and marketing. To manage our anticipated future growth, we must continue to implement and improve our managerial, operational and financial personnel and systems, expand our facilities and continue to recruit and train additional qualified personnel. Due to our limited financial resources and the limited experience of our management team working together in managing a company with such anticipated growth, we may not be able to effectively manage the expansion of our operations or recruit and train additional qualified personnel.</w:t>
      </w:r>
    </w:p>
    <w:p>
      <w:pPr>
        <w:spacing w:after="0" w:line="18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ability to pursue our growth strategy will be limited if we are unable to continue to attract and retain high quality personnel. We have been and will continue to be highly dependent on the research and development, clinical and business development expertise of our executive officers, as well as the other principal members of our management, scientific and clinical team. Any of our management team members may terminate their employment with us at any time. We do not maintain “key person” insurance for any of our executives or other employees.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Attracting and retaining qualified personnel will also be critical to our success, including with respect to any strategic transaction that we may pursue. The loss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facilitate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as well as from universities and research institutions.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rely on consultants and advisors to assist us in formulating our discovery and nonclinical and clinical development and commercialization strategy. Our consultants and advisors may be employed by employers other than us and may have commitments under consulting or advisory contracts with other entities that may limit their availability to us.</w:t>
      </w:r>
    </w:p>
    <w:p>
      <w:pPr>
        <w:spacing w:after="0" w:line="172"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future growth may depend, in part, on our ability to develop and commercialize our product candidates in foreign markets for which we may rely on collaboration with third parties. If we fail to comply with the regulatory requirements in foreign markets and receive applicable marketing approvals, our target market will be reduced and our ability to realize the full market potential of our product candidates will be harmed and our business will be adversely affected. Moreover, even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6" w:name="page67"/>
    <w:bookmarkEnd w:id="66"/>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market opportunity estimates and growth forecasts are subject to significant uncertainty and are based on assumptions and estimates that may not prove to be accurate. Even if the markets in which we compete meet our size estimates and growth forecasts, our business may not grow at similar rates, or at all.</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collaborators, principal investigators, CROs, CMOs, suppliers and vendors may engage in misconduct or other improper activities, including noncompliance with regulatory standards and requirements.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collaborators, principal investigators, CROs, CMOs, suppliers and vendors acting for or on our behalf may engage in misconduct or other improper activities. We have adopted a code of conduct and ethics,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w:t>
      </w:r>
    </w:p>
    <w:p>
      <w:pPr>
        <w:spacing w:after="0" w:line="1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any of our third-party service providers,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collect, receive, store, process, generate, use, transfer, disclose, make accessible, protect, secure, dispose of, transmit, and share (collectively, process) proprietary, confidential, and sensitive data, including personal data, intellectual property, trade secrets, and other sensitive data (collectively, sensitive information). If we (or a third party upon whom we rely) experience a security incident or are perceived to have experienced a security incident, we may experience adverse consequences. While we have implemented security measures designed to protect against security incidents, there can be no assurance that these measures will be effective. Further, cybersecurity breaches or other cybersecurity incidents may allow hackers access to our preclinical compounds, strategies, discoveries, trade secrets, and/or other confidential information. Additionally, sensitive data could be leaked, disclosed, or revealed as a result of or in connection with our employees’, personnel’s, vendors’ or partners’ use of generative AI technologies. Our ability to monitor third parties’ information security practices is limited, and these third parties may not have adequate security measures in place. We may be unable in the future to detect vulnerabilities in our information technology systems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 Applicable data privacy and security obligations may require us to notify relevant stakeholders of security incidents. Such disclosures are costly, and the disclosure or the failure to comply with such requirements could lead to adverse consequences. Moreover, while we may be entitled to damages if our third-party service providers fail to satisfy their privacy or security-related obligations to us, any award may be insufficient or we may be unable to recover such award. Security incidents and attendant consequences may negatively impact our ability to grow and operate our business. The risk of a cybersecurity incident or other informational technology disruption, particularly through cyber-attacks, has generally increased as the number, intensity and sophistication of attempted attacks and intrusions from around the world have increased.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7" w:name="page68"/>
    <w:bookmarkEnd w:id="67"/>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the extent that any disruption or security breach were to result in loss, destruction, unavailability, alteration or dissemination of, or damage to, our data (including clinical trial data) or applications, or for it to be believed or reported that any of these occurred, we could incur liability, including under laws and regulations governing the protection of protected health information and other personal data, and reputational damage and the development and commercialization of our product candidates could be delayed. Further, our insurance policies may not be adequate to compensate us for the potential losses arising from any such disruption in, or failure or security breach of, our systems or third-party systems where information important to our business operations or commercial development is stored.</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contractors (including sites performing our clinical trials), third-party service providers and supply chain companies,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or from cyber-attacks by malicious third parties, or ransomware attacks, which, in each case, may compromise our system infrastructure or lead to the loss, destruction, alteration or dissemination of, or damage to, our data.</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hybrid-remote workforce may create additional risks for our information technology systems and data because our employees work remotely and utilize network connections, computers, and devices working at home, while in transit and in public locations.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and third parties who we work with are or may become subject to numerous domestic and foreign laws, regulations, and standards relating to privacy, data protection, data transfer, and data security, the scope of which is changing, subject to differing applications and interpretations, and may be inconsistent among countries, or conflict with other rules. We are or may become subject to the terms of contractual obligations related to privacy, data protection and data security. Our obligations may also change or expand as our business grows. The actual or perceived failure by us or third parties related to us to comply with such laws, regulations and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w:t>
      </w:r>
    </w:p>
    <w:p>
      <w:pPr>
        <w:spacing w:after="0" w:line="18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8" w:name="page69"/>
    <w:bookmarkEnd w:id="68"/>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adverse legislative or regulatory tax changes that could negatively impact our financial condition.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may have retroactive application) could adversely affect our stockholders or us. We continue to assess the impact of various tax reform proposals and modifications to existing tax treaties in all jurisdictions where we have operations or employees to determine the potential effect on our business and any assumptions we make about our future taxable income. We cannot predict whether any specific proposals will be enacted, the terms of any such proposals or what effect, if any, such proposals would have on our business if they were to be enacted. For example, the United States enacted the IRA, which implements, among other changes, a 1% excise tax on certain stock buybacks. In addition, beginning in 2022, the Tax Cuts and Jobs Act eliminated the previously available option to deduct research and development expenditures and requires taxpayers to amortize them generally over five years for research activities conducted in the United States and over 15 years for research activities conducted outside the United States. Such changes, among others, may adversely affect our effective tax rate, results of operation and general business condition.</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products, or form strategic alliances, in the future, and may not realize the benefits of such acquisitions.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or products resulting from a strategic alliance or acquisition that delay or prevent us from realizing their expected benefits or enhancing our business. There is no assurance that, following any such acquisition, we will achieve the synergies expected in order to justify the transaction, which could result in a material adverse effect on our business and prospects.</w:t>
      </w:r>
    </w:p>
    <w:p>
      <w:pPr>
        <w:spacing w:after="0" w:line="18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maintain our cash at financial institutions, often in balances that exceed federally-insured limits. The failure of financial institutions could adversely affect our ability to pay our operational expenses or make other payments.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cash held in non-interest-bearing and interest-bearing accounts exceeds the Federal Deposit Insurance Corporation insurance limits. If such banking institutions were to fail, we could lose all or a portion of those amounts held in excess of such insurance limitations. In addition, even if account holders are ultimately made whole with respect to a future bank failure, account holders’ access to their accounts and assets held in their accounts may be substantially delayed. Any material loss that we may experience in the future or inability for a material time period to access our cash and cash equivalents could have an adverse effect on our ability to pay our operational expenses or make other payments, which could adversely affect our business.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market opportunity estimates and growth forecasts are subject to significant uncertainty and are based on assumptions and estimates that may not prove to be 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9" w:name="page70"/>
    <w:bookmarkEnd w:id="69"/>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a product candidate in the clinical or at the commercial stage, and our insurance may not cover all damages from such claims.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The use of a product candidate in clinical trials and the sale of any approved products in the future may expose us to liability claims. An individual or group of individuals may bring a liability claim against us if one of our product candidates causes, or merely appears to have caused, an injury. Any claims against us, regardless of their merit, could be difficult and costly to defend and could materially and adversely affect our business. While we carry product liability insurance for our clinical trials, it is possible that any liabilities could exceed our insurance coverage or that in the future we may not be able to maintain insurance coverage at a reasonable cost or obtain insurance coverage that will be adequate to satisfy any liability that may arise. On occasion, large judgments have been awarded in class action or individual lawsuits. A successful product liability claim or series of claims brought against us could cause our stock price to decline and, if judgments exceed our insurance coverage, could decrease our cash and our business operations could be impaired.</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Litigation costs and the outcome of litigation could have a material adverse effect on our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litigation claims through the ordinary course of our business operations regarding, but not limited to, employment matters, security of patient and employee personal information, contractual relations with collaborators and intellectual property rights. Litigation to defend ourselves against claims by third parties, or to enforce any rights that we may have against third parties, may continue to be necessary, which could result in substantial costs and diversion of our resources, causing a material adverse effect on our business, financial condition, results of operations or cash flows.</w:t>
      </w:r>
    </w:p>
    <w:p>
      <w:pPr>
        <w:spacing w:after="0" w:line="17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economic downturns, inflation, fluctuation in interest rates, natural disasters, public health crises, political crises, geopolitical events or other macroeconomic conditions, which could have a material and adverse effect on our results of operations and financial condition.</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and may experience in the future extreme volatility and disruptions, including, among other things, diminished liquidity and credit availability, declines in consumer confidence, declines in economic growth, supply chain shortages, new or increased tariffs and other barriers to trade, trade and other international disputes, increases in inflation rates, fluctuation in interest rates, slower growth or recession, tighter credit, volatility in financial markets, high unemployment, labor availability constraints, public health crises, significant natural disasters, including as a result of climate change, changes to fiscal and monetary policy or government budget dynamics (particularly in the pharmaceutical and biotech areas), particularly in the pharmaceutical and biotech areas, political and military conflict, and uncertainty about economic stability. Fluctuation in interest rates, coupled with reduced government spending and volatility in financial markets, may increase economic uncertainty and affect consumer spending. Similarly, the ongoing military conflict between Russia and Ukraine and in the Middle East and rising tensions with China have created extreme volatility in the global capital markets and may have further global economic consequences, including disruptions of the global supply chain. Any such volatility and disruptions may adversely affect our business or the third parties on whom we rely. If the equity and credit markets deteriorate, including as a result of political unrest or war, it may make any necessary debt or equity financing more costly, more dilutive, or more difficult to obtain in a timely manner or on favorable terms, if at all. Increased inflation rates can adversely affect us by increasing our costs, including materials, operational, labor and employee benefit costs.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in the future experience disruptions as a result of such macroeconomic conditions, including delays or difficulties in initiating or expanding clinical trials and manufacturing sufficient quantities of materials. Any one or a combination of these events could have a material and adverse effect on our results of operations and financial condition.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0" w:name="page71"/>
    <w:bookmarkEnd w:id="70"/>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Geopolitical events and global economic conditions may also affect the ability of the FDA and other regulatory authorities to perform routine functions. If such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Owning Our Stock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may continue to be volatile.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and is likely to be highly volatile and is subject to significant fluctuations. Some of the factors that may cause the market price of our common stock to fluctuate include:</w:t>
      </w:r>
    </w:p>
    <w:p>
      <w:pPr>
        <w:spacing w:after="0" w:line="162" w:lineRule="exact"/>
        <w:rPr>
          <w:sz w:val="20"/>
          <w:szCs w:val="20"/>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results of clinical trials and preclinical studies of our product candidates, or those of our competitors or our existing or future collaborators;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that we may provide to the public;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or potential equity or debt sales by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 or if securities or industry analysts do not publish research or reports about our business, or if they issue adverse or misleading opinions regarding our business and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macroeconomic or geopolitical conditions or market conditions in the pharmaceutical and biotechnology sectors;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including scientific or management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or our securityholders in the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or continued development of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products, clinical progress or lack thereof, significant contracts, commercial relationships or capital commitments;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products;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1" w:name="page72"/>
    <w:bookmarkEnd w:id="71"/>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could materially and adversely affect our business and the value of our common stock. In the past, following periods of volatility in the market price of a company’s securities, stockholders have often instituted class action securities litigation against such companies.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market volatility may lead to securities litigation or increased stockholder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financial condition and cash flows.</w:t>
      </w:r>
    </w:p>
    <w:p>
      <w:pPr>
        <w:spacing w:after="0" w:line="172"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as well as provisions under Delaware law, could make an acquisition of the company more difficult and may prevent attempts by our stockholders to replace or remove management.</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bylaws may discourage, delay or prevent a merger, acquisition or other change in control of the company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current management by making it more difficult for stockholders to replace members of our board of directors. Among other things, these provisions:</w:t>
      </w:r>
    </w:p>
    <w:p>
      <w:pPr>
        <w:spacing w:after="0" w:line="187"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all members of the board are not elected at one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the board of directors or for proposing matters that can be acted on at stockholder meetings;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66 2/3% of the votes that all stockholders would be entitled to cast to amend or repeal certain provisions of our charter or bylaws.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(“DGCL”), which prohibits stockholders owning more than 15% of our outstanding voting stock from merging or combining with us. Although we believe these provisions collectively will provide for an opportunity to receive higher bids by requiring potential acquirors to negotiate with our board of directors, they would apply even if the offer may be considered beneficial by some stockholders.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2" w:name="page73"/>
    <w:bookmarkEnd w:id="72"/>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governing documents provide that, unless we consent in writing to the selection of an alternative forum, certain designated courts will be the sole and exclusive forum for certain legal actions between us and our stockholders, which could limit our stockholders’ ability to obtain a favorable judicial forum for disputes with us or our directors, officers, employees or agents.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governing documents provide that, unless we consent in writing to an alternative forum, the Court of Chancery of the State of Delaware is the sole and exclusive forum for state law claims for (i) any derivative action or proceeding brought on our behalf, (ii) any action asserting a claim of or based on a breach of a fiduciary duty owed by any of our current or former directors, officers, or other employees or our stockholders, (iii) any action asserting a claim arising pursuant to any provision of the DGCL, the certificate of incorporation or the bylaws, (iv) any action to interpret, apply, enforce or determine the validity of the certificate of incorporation or bylaws, or (v) any action asserting a claim that is governed by the internal affairs doctrine, in each case subject to the Court of Chancery having personal jurisdiction over the indispensable parties named as defendants therein, which for purposes of this risk factor refers to herein as the “Delaware Forum Provision.” Our governing documents further provide that, unless we consent in writing to an alternative forum, the federal district courts of the United States will be the exclusive forum for resolving any complaint asserting a cause of action arising under the Securities Act, which for purposes of this risk factor refers to herein as the “Federal Forum Provision.” Neither the Delaware Forum Provision nor the Federal Forum Provision will apply to any causes of action arising under the Exchange Act. In addition, any person or entity purchasing or otherwise acquiring any interest in shares of our capital stock will be deemed to have notice of and consented to the foregoing Delaware Forum Provision and Federal Forum Provision; provided, however, that stockholders cannot and will not be deemed to have waived our compliance with the U.S. federal securities laws and the rules and regulations thereunder.</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may impose additional litigation costs on our stockholders in pursuing any such claims, particularly if such stockholders do not reside in or near the State of Delaware. Additionally, these forum selection clauses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our stock price to decline.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our stockholders sell, or indicate an intention to sell, substantial amounts of our common stock in the public market after legal restrictions on resale lapse, the trading price of our common stock could decline. In addition, shares of our common stock that are subject to our outstanding options will become eligible for sale in the public market to the extent permitted by the provisions of various vesting agreements and Rules 144 and 701 under the Securities Act.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do not anticipate that we will pay any cash dividends in the foreseeable future. The current expectation is that we will retain our future earnings, if any, to fund the development and growth of our business. As a result, capital appreciation, if any, of our common stock will be your sole source of gain, if any, for the foreseeable future.</w:t>
      </w:r>
    </w:p>
    <w:p>
      <w:pPr>
        <w:spacing w:after="0" w:line="17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have the ability to control or significantly influence all matters submitted to our stockholders for approval.</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executive officers, directors and principal stockholders beneficially own a significant percentage of our outstanding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our acquisition on terms that other stockholders may desire.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3" w:name="page74"/>
    <w:bookmarkEnd w:id="73"/>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If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collect, use, store, and transmit confidential, sensitive, proprietary, personal, and health-related information in the ordinary course of our business. As such, we leverage third-party information technology service providers who have implemented and maintain various information security processes designed to identify, assess, and manage material risks from cybersecurity threats to our information technology systems, including critical computer networks, third party hosted services, communications systems, hardware and software, and our data residing on these systems. Our Senior Vice President, Finance is responsible for overseeing these third-party service providers and processes.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Cybersecurity risks are identified by monitoring and evaluating our threat environment, and then assessed by various methods, for example, by manual and automated tools designed to identify and combat cybersecurity threats, analyzing reports of threats, conducting scans and assessments of the threat environment and to identify vulnerabilities, the use of detection and response services and conducting reviews of third-party service providers, among other things. Depending on the threat environment, we implement and maintain various technical, physical, and organizational measures, processes, standards and policies designed to manage and mitigate material risks from cybersecurity threats to our information systems and data, including, for example, physical security and access controls, asset management, systems monitoring, incident detection and response, risk assessment, the implementation of security standards and certifications, encryption of data, network security controls, and a recovery/business continuity plan, among other mitigation tactics. Our recovery/business continuity plan is designed to mitigate and remediate identified cybersecurity incidents and escalate certain incidents as appropriate to management and the Audit Committee. We plan to conduct due diligence on and audits of key technology vendors, contract research organizations, and other third-party contractors and suppliers. Additionally, we conduct periodic employee training that covers cyber and information security, among other topics.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the Company’s overall risk management process. Our Senior Vice President, Finance, who reports directly to the Chief Executive Officer, together with our senior management, is responsible for assessing and managing cybersecurity risks with support from our third-party information technology service providers that employ information technology consultants with over 20 years of experience managing cybersecurity programs. Our cybersecurity program aligns to the National Institute of Standards and Technology (NIST) Cybersecurity Framework (CSF) and is consistently updated as NIST recommendations change year over year. Our Senior Vice President, Finance, together with our senior management and other employees works closely with our information technology service providers to evaluate material cybersecurity threats against our overall business objectives as part of our cybersecurity incident response. The Board of Directors, as a whole and at the committee level, has oversight for the most significant risks facing us and for our processes to identify, prioritize, assess, manage and mitigate those risks. The Audit Committee has been designated by our Board to oversee cybersecurity risks. The Audit Committee receives regular updates on cybersecurity and information technology matters and related risk exposures from our Senior Vice President, Finance. The Board also receives updates from management and the Audit Committee on cybersecurity risks on a regular basis.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last fiscal year, we have not identified any risks from known cybersecurity threats, including as a result of any prior cybersecurity incidents, that have materially affected us, but we face certain ongoing cybersecurity risks or threats that, if realized, are reasonably likely to materially affect us. For a description of the risks from cybersecurity threats that may materially affect the Company and how they may do so, see our “Risk Factors” under Part 1 Item 1A. Risk Factors, in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corporate headquarters are in Menlo Park, California and we have an additional office in Waltham, Massachusetts. Our lease for our Menlo Park headquarters expires on September 30, 2027 and our lease for our Waltham office expires in 2029. We believe our current facilities are sufficient for our needs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relating to claims arising from the ordinary course of business. Our management believes that there are currently no claims or actions pending against us, the ultimate disposition of which could reasonably be expected to have a material adverse effect on our results of operations, financial condition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501"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traded on the Nasdaq Global Market under the symbol “ORKA.”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February 28, 2025, there were approximately 20 stockholders of record of our common stock based on information provided by our transfer agent.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by Rule 12b-2 of the Exchange Act, and pursuant to Instruction 6 to Item 201(e) of Regulation S-K, we are not required to provide the stock performance graph.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the related notes included elsewhere in this Annual Report on Form 10-K for the year ended December 31, 2024 (this “Annual Report”). This discussion contains forward-looking statements that involve risks and uncertainties, such as statements regarding our plans, objectives, expectations, intentions, hopes, beliefs, strategies or projections regarding the future of its pipeline and business and words such as “may,” “will,”, “should,” “could,” “would,” “expect,” “plan,” “anticipate,” “believe,” “estimate,” “project,” “potential,” “seek,” “target,” “goal,” “intend” and variations of such words and any statements that refer to projections, forecasts or other characterizations of future events or circumstances, including any underlying assumptions, and similar expressions are intended to identify forward-looking statements. You should not place undue reliance on these forward-looking statements. These forward-looking statements are based on current expectations and beliefs concerning future developments and their potential effects. There can be no assurance that future developments affecting us will be those that have been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Factors that could cause or contribute to such differences include, but are not limited to, those discussed in the section of this Annual Report entitled “Risk Factors” and elsewhere in this Annual Report. These and many other factors could affect our future financial and operating results. We undertake no obligation to update any forward-looking statement to reflect events after the date of this Annual Report. As used in this Annual Report, unless the context suggests otherwise, “we,” “us,” “our,” “the Company,” “Oruka Therapeutics, Inc.,” “Oruka,” “ARCA biopharma, Inc.,” “ARCA,” refers to Oruka Therapeutics, Inc. and its consolidated subsidiaries, including Oruka Therapeutics Operating Company LLC, taken as a whole.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are a clinical-stage biotechnology company focused on developing novel monoclonal antibody therapeutics for psoriasis (“PsO”) and other inflammatory and immunology (“I&amp;I”) indications. Our name is derived from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xml:space="preserve">, for “skin,” and </w:t>
      </w:r>
      <w:r>
        <w:rPr>
          <w:rFonts w:ascii="Times New Roman" w:cs="Times New Roman" w:eastAsia="Times New Roman" w:hAnsi="Times New Roman"/>
          <w:sz w:val="18"/>
          <w:szCs w:val="18"/>
          <w:i w:val="1"/>
          <w:iCs w:val="1"/>
          <w:color w:val="auto"/>
        </w:rPr>
        <w:t>arukah</w:t>
      </w:r>
      <w:r>
        <w:rPr>
          <w:rFonts w:ascii="Times New Roman" w:cs="Times New Roman" w:eastAsia="Times New Roman" w:hAnsi="Times New Roman"/>
          <w:sz w:val="18"/>
          <w:szCs w:val="18"/>
          <w:color w:val="auto"/>
        </w:rPr>
        <w:t>, for “restoration,” and reflects our mission to deliver therapies for chronic skin diseases that provide patients the most possible freedom from their condition. Our strategy is to apply antibody engineering and format innovations to validated modes of action, which we believe will enable us to improve meaningfully upon the efficacy and dosing regimens of standard-of-care medicines while significantly reducing technical and biological risk. Our programs aim to treat and potentially modify disease by targeting mechanisms with proven efficacy and safety involved in disease pathology and the activity of pathogenic tissue-resident memory T cells (“TRMs”).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lead program, ORKA-001, is designed to target the p19 subunit of interleukin-23 (“IL-23p19”) for the treatment of PsO. Our co-lead program, ORKA-002, is designed to target interleukin-17A and interleukin-17F (“IL-17A/F”) for the treatment of PsO, psoriatic arthritis (“PsA”), and other conditions. These programs each bind their respective targets at high affinity and incorporate half-life extension technology with the aim to increase exposure and decrease dosing frequency. We believe that our focused strategy, differentiated portfolio, and deep expertise position us to set a new treatment standard in large I&amp;I markets with continued unmet need.</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Since our inception in February 2024, we have devoted substantially all of our resources to raising capital, organizing and staffing the company, business and scientific planning, conducting discovery and research activities, establishing arrangements with third parties for the manufacture of our programs and component materials, and providing general and administrative support for these operations. We do not have any programs approved for sale and have not generated any revenue from product sales. To date, we have funded our operations primarily with proceeds from the issuance of convertible preferred stock, common stock, a convertible note, pre-funded warrants, and the proceeds from the reverse recapitalization and merger with ARCA biopharma, Inc., our Pre-Closing Financing and subsequent PIPE Financing (as defined and further described in “Recent developments” below).</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Since our inception, we have incurred significant losses and negative cash flows from our operations. Our ability to generate product revenue sufficient to achieve profitability will depend heavily on the successful development and eventual commercialization of any programs we may develop. We generated net losses of $83.7 million for the period from February 6, 2024 (inception) to December 31, 2024. For the period from February 6 (inception) to December 31, 2024, we have used net cash of $57.8 million for our operating activities.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6" w:name="page77"/>
    <w:bookmarkEnd w:id="76"/>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had cash, cash equivalents, and marketable securities of $393.7 million as of December 31, 2024. We expect that our existing cash, cash equivalents, and marketable securities will be sufficient to fund our operating plans for at least twelve months from the date of filing of this Annual Report. We expect to continue to incur substantial losses for the foreseeable future, and our transition to profitability will depend upon successful development, approval and commercialization of our product candidates and upon achievement of sufficient revenues to support our cost 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ORKA-001</w:t>
      </w:r>
    </w:p>
    <w:p>
      <w:pPr>
        <w:spacing w:after="0" w:line="2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ORKA-001 is a high affinity, extended half-life monoclonal antibody (“mAb”) designed to target IL-23p19. IL-23 is a pro-inflammatory cytokine that plays a critical role in the proliferation and development of T helper 17 (“Th17”) cells, which are the primary drivers of several autoimmune and inflammatory disorders, including PsO. IL-23 is composed of two subunits: a p40 subunit that is shared with IL-12 and a p19 subunit that is specific to IL-</w:t>
      </w:r>
    </w:p>
    <w:p>
      <w:pPr>
        <w:spacing w:after="0" w:line="1" w:lineRule="exact"/>
        <w:rPr>
          <w:sz w:val="20"/>
          <w:szCs w:val="20"/>
          <w:color w:val="auto"/>
        </w:rPr>
      </w:pPr>
    </w:p>
    <w:p>
      <w:pPr>
        <w:jc w:val="both"/>
        <w:ind w:firstLine="8"/>
        <w:spacing w:after="0" w:line="255" w:lineRule="auto"/>
        <w:tabs>
          <w:tab w:leader="none" w:pos="2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First-generation IL-23 antibodies bound p40 and inhibited both IL-12 and IL-23 signaling, while more recent IL-23 antibodies targeting the p19 subunit have shown improved efficacy and safety. Based on preclinical evidence, we believe that ORKA-001 could achieve higher response rates than established therapies in PsO while requiring less frequent dosing and maintaining the favorable safety profile of therapies targeting IL-23p19.</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ORKA-001 is engineered with YTE half-life extension technology, a specific three amino acid change in the fragment crystallizable (“Fc”) domain to modify the pH-dependent binding to the neonatal Fc receptor. As a result, it has a pharmacokinetic profile designed to support a subcutaneous (“SQ”) injection as infrequently as once or twice a year. In addition, emerging evidence suggests that IL-23 blockade can modify the disease biology of PsO, possibly leading to durable remissions and preventing the development of PsA. We believe that the expected characteristics of ORKA-001 increase its potential to deliver these disease-modifying benefits.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initiated the dosing of healthy volunteers in a Phase 1 trial of ORKA-001 in the fourth quarter of 2024. We expect to share interim data from the first-in-human trial in healthy volunteers, including initial pharmacokinetic data, in the second half of 2025 and initial efficacy data in PsO patients in the second half of 2026. Based on recent precedent for PsO, we anticipate that the entire development program from first-in-human to biologics license application (“BLA”) filing could take as little as six to seven years based on the averages for recently approved medicines. However, we have no control over the length of time needed for United States Food and Drug Administration (“FDA”) review, and this timeline could vary.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ORKA-002</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ORKA-002 is a high affinity, extended half-life mAb designed to target IL-17A and IL-17F (“IL-17A/F”). IL-17 inhibition has become central to the treatment of psoriatic diseases, including PsO and PsA, and has also shown efficacy in other I&amp;I indications, such as hidradenitis suppurativa and axial spondyloarthritis. More recently, the importance of inhibiting the IL-17F isoform along with IL-17A has become appreciated, and dual blockade with the recently approved therapy Bimzelx (bimekizumab) has led to higher response rates in patients than blockade of IL-17A alone. ORKA-002 is designed to bind IL-17A/F at similar epitopes, or binding sites, and affinity ranges as bimekizumab, but incorporates half-life extension technology that could enable more convenient dosing intervals. We plan to initiate the dosing of healthy volunteers in a Phase 1 trial of ORKA-002 in the third quarter of 2025. We expect to share interim data from the first-in-human trial in healthy volunteers, including initial pharmacokinetic data, in the first half of 2026.</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view ORKA-002 and ORKA-001 as highly complementary. Patients with moderate-to-severe PsO that have purely skin manifestations are most often treated with IL-23 inhibitors due to the high efficacy and tolerability of this mechanism. However, for patients who also have joint involvement, or signs and symptoms of PsA, an IL-17 inhibitor is typically used due to its efficacy in addressing both skin and joint symptoms. In addition, IL-17 inhibitors are often used in patients with highly resistant skin symptoms that do not adequately resolve through treatment with an IL-23 inhibitor. Furthermore, we have the potential opportunity to administer ORKA-002 and ORKA-001 sequentially, called ORKA-021, to combine two features of each program: the rapid response of an IL-17 inhibitor with the ideal maintenance profile of an IL-23 inhibitor. We believe that ORKA-001 and ORKA-002 provide the potential to offer a highly compelling product profile for most patients with PsO and/or PsA, as well as the opportunity to address additional I&amp;I indications.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Additional Pipeline Program</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 third mAb program, ORKA-003, designed to target an undisclosed pathway. Our strategy as a company is to remain highly focused on I&amp;I diseases, and specifically on inflammatory dermatology conditions. Our third program provides the potential for indication expansion beyond PsO and may create combination opportunities with our more advanced programs.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Pre-Merger Oruka</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29, 2024 (the “Merger Closing”), we completed our acquisition (the “Merger”) of Oruka Therapeutics, Inc. (“Pre-Merger Oruka”) pursuant to an Agreement and Plan of Merger and Reorganization, dated as of April 3, 2024 (the “Merger Agreement”). Following the transactions contemplated by the Merger Agreement, Pre-Merger Oruka merged with and into Atlas Merger Sub Corp., a wholly owned subsidiary of ARCA biopharma, Inc. (“ARCA”) and following that, Pre-Merger Oruka then merged with and into Atlas Merger Sub II, LLC (“Second Merger Sub”), with Second Merger Sub being the surviving entity. Second Merger Sub changed its corporate name to “Oruka Therapeutics Operating Company, LLC.” Pre-Merger Oruka was a pre-clinical stage biotechnology company that was incorporated on February 6, 2024 under the direction of Peter Harwin, a Managing Member of Fairmount Funds Management LLC (“Fairmount”), for the purposes of holding rights to certain intellectual property being developed by Paragon Therapeutics, Inc. (“Paragon”). On August 29, 2024, we changed our name from “ARCA biopharma, Inc.” (“ARCA”) to “Oruka Therapeutics, Inc.” and our Nasdaq ticker symbol from “ABIO” to “ORKA”.</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Pre-Closing Financing</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Immediately prior to the execution and delivery of the Merger Agreement on April 3, 2024, certain new and existing investors of Pre-Merger Oruka entered into a subscription agreement with Pre-Merger Oruka (the “Subscription Agreement”), pursuant to which, and on the terms and subject to the conditions of which, immediately prior to the Closing, those investors purchased shares of common stock of Pre-Merger Oruka (“Pre-Merger Oruka Common Stock”) and Pre-Merger Oruka pre-funded warrants for gross proceeds of approximately $275.0 million (which includes $25.0 million of proceeds previously received from the issuance of the Convertible Note (refer to Note 7 in our consolidated financial statements included in Part II – Item 8 of this Annual Report for additional details) and accrued interest on such note which converted to shares of Pre-Merger Oruka Common Stock) (the “Pre-Closing Financing”). We incurred transaction costs of $20.5 million, which was recorded as a reduction to additional paid-in capital in the consolidated financial statements. At the Closing, the shares of Pre-Merger Oruka Common Stock and Pre-Merger Oruka pre-funded warrants issued pursuant to the Subscription Agreement were converted into shares of Company Common Stock and pre-funded warrants of Company Common Stock in accordance with the Exchange Ratio (defined below).</w:t>
      </w:r>
    </w:p>
    <w:p>
      <w:pPr>
        <w:spacing w:after="0" w:line="1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accordance with an Exchange Ratio determined by terms of the Merger Agreement and upon the effective time of the First Merger (the “First Effective Time”), (i) each then-issued and outstanding share of Pre-Merger Oruka Common Stock including outstanding and unvested Pre-Merger Oruka restricted stock and shares of Pre-Merger Oruka Common Stock issued in connection with the Subscription Agreement, were converted into the right to receive a number of shares of Company Common Stock, equal to the exchange ratio of 6.8569 shares of Company Common Stock (the “Exchange Ratio”), which were subject to the same vesting provisions as those immediately prior to the Merger, (ii) each share of Pre-Merger Oruka Series A convertible preferred stock, par value $0.0001 (“Pre-Merger Oruka Series A Preferred Stock”), outstanding immediately prior to the First Effective Time was converted into the right to receive a number of shares of ARCA Series B non-voting convertible preferred stock, par value $0.001 per share, which are convertible into shares of Company Common Stock at a conversion ratio of approximately 83.3332:1 after the reverse stock split discussed below, (iii) each outstanding option to purchase Pre-Merger Oruka Common Stock was converted into an option to purchase shares of Company Common Stock, (iv) each outstanding warrant to purchase shares of Pre-Merger Oruka Common Stock was converted into a warrant to purchase shares of Company Common Stock, and (v) each share of Company Common Stock issued and outstanding at the First Effective Time remain issued and outstanding in accordance with its terms and such shares. Subsequent to the close of the merger, the common stock shares were then, subject to a reverse stock split of 1-for-12 effected on September 3, 2024 (“Reverse Stock Split”).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8" w:name="page79"/>
    <w:bookmarkEnd w:id="78"/>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part of the Pre-Closing Financing and the Closing, the investors in the Pre-Closing Financing received 22,784,139 shares of Company Common Stock in exchange for 39,873,706 shares of Pre-Merger Oruka Common Stock (which includes the issuance of 2,722,207 shares of Company Common Stock in exchange for 4,764,032 shares of Pre-Merger Oruka Common Stock on the conversion of Convertible Note along with the accrued interest through the conversion date) and 5,522,207 Company pre-funded warrants in exchange for 9,664,208 Pre-Merger pre-funded warrants.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Merger was accounted for as a reverse recapitalization in accordance with U.S. GAAP. Under this method of accounting, Pre-Merger Oruka was deemed to be the accounting acquirer for financial reporting purposes. This determination was primarily based on the fact that, immediately following the Merger: (i) Pre-Merger Oruka stockholders own a substantial majority of the voting rights in the combined company; (ii) Pre-Merger Oruka’s largest stockholders retain the largest interest in the combined company; (iii) Pre-Merger Oruka designated a majority of the initial members of the board of directors of the combined company; and (iv) Pre-Merger Oruka’s executive management team became the management team of the combined company. Accordingly, for accounting purposes: (i) the Merger was treated as the equivalent of Pre-Merger Oruka issuing stock to acquire the net assets of ARCA;</w:t>
      </w:r>
    </w:p>
    <w:p>
      <w:pPr>
        <w:spacing w:after="0" w:line="5" w:lineRule="exact"/>
        <w:rPr>
          <w:sz w:val="20"/>
          <w:szCs w:val="20"/>
          <w:color w:val="auto"/>
        </w:rPr>
      </w:pPr>
    </w:p>
    <w:p>
      <w:pPr>
        <w:jc w:val="both"/>
        <w:ind w:firstLine="8"/>
        <w:spacing w:after="0" w:line="253" w:lineRule="auto"/>
        <w:tabs>
          <w:tab w:leader="none" w:pos="27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historical operating results of the combined company prior to the Merger are those of Pre-Merger Oruka; and (iii) Pre-Merger Oruka was not a variable interest entity as it had sufficient equity at risk in order to fund its next development milestones at the time of the reverse recapitalization. Additional information regarding the Merger is included in Note 3 to the consolidated financial statements included in Part II – Item 8 of this Annual Report.</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September 3, 2024, we effected the Reverse Stock Split, a 1-for-12 reverse stock split of Company Common Stock. The par value per share and the number of authorized shares were not adjusted as a result of the Reverse Stock Split. The shares of Company Common Stock underlying outstanding stock options, common stock warrants and other equity instruments were proportionately reduced and the respective exercise prices, if applicable, were proportionately increased in accordance with the terms of the agreements governing such securities. All references to common stock, options to purchase common stock, outstanding common stock warrants, common stock share data, per share data, and related information contained in the consolidated financial statements have been retrospectively adjusted to reflect the effect of the Reverse Stock Split for all periods presented, unless otherwise specifically indicated or the context otherwise requires.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PIPE Financing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September 11, 2024, we entered into a Securities Purchase Agreement for a private placement (the “PIPE Financing”) with certain institutional and accredited investors. The closing of the PIPE Financing occurred on September 13, 2024.</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the Securities Purchase Agreement, the investors purchased an aggregate of 5,600,000 shares of Company Common Stock at a purchase price of $23.00 per share, an aggregate of 2,439 shares of the Company’s Series A non-voting convertible preferred stock, par value $0.001 per share (“Company Series A Preferred Stock”), at a purchase price of $23,000.00 per share (each Company Series A Preferred Stock is convertible into 1,000 shares of Company Common Stock), and pre-funded warrants to purchase an aggregate of 680,000 shares of Company Common Stock at a purchase price of $22.999 per pre-funded warrant, for aggregate net proceeds of approximately $188.7 million (net of issuance costs of $11.9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date, we have not generated revenue from any sources, including product sales, and do not expect to generate any revenue from the sale of products in the foreseeable future. If our development efforts for our product candidates are successful and result in regulatory approval, we may generate revenue in the future from product sales or payments from future collaboration or license agreements that we may enter into with third parties, or any combination thereof. We cannot predict if, when, or to what extent we will generate revenue from the commercialization and sale of our product candidates. We may never succeed in obtaining regulatory approval for any of our product candidates.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development and research of our programs. These expenses include:</w:t>
      </w:r>
    </w:p>
    <w:p>
      <w:pPr>
        <w:spacing w:after="0" w:line="16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funding research performed by third parties, including Paragon, that conduct research and development activities on our behalf;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and milestone payments under license and option agreements;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continuing our current research programs and discovery-phase development of any programs we may identify, including under future agreements with third parties, such as consultants and contractors;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(“CROs”), contract manufacturing organizations (“CMOs”), and with clinical trial sites that conduct research and development activities on our behalf;</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development and validating our manufacturing process for use in our preclinical studies and current and future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bonuses, employee benefits, travel, and stock-based compensation expense, including stock-based compensation related to the Paruka warrant;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human resource costs, information technology costs, and facility-related costs, including rent, maintenance, utilities, and depreciation for our leased office space.</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 Our primary focus since inception has been the identification and development of our pipeline programs. Our research and development expenses primarily consist of external costs, such as fees paid to Paragon under the Option Agreements. See “—Contractual Obligations and Commitments” below for further details on the Option Agreements.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our research and development expenses will increase substantially for the foreseeable future as we continue to invest in research and development activities related to the continued development of our programs, developing any future programs, including investments in manufacturing, as we advance any program we may identify and continue to conduct clinical trials. The success of programs we may identify and develop will depend on many factors, including the following:</w:t>
      </w:r>
    </w:p>
    <w:p>
      <w:pPr>
        <w:spacing w:after="0" w:line="180"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completion of preclinical studies;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investigational new drug (“IND”) or comparable foreign applications that allow commencement of our planned clinical trials or future clinical trials for any programs we may develop;</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our future clinical trials that support a finding of safety and effectiveness, acceptable pharmacokinetics profile, and an acceptable risk-benefit profile in the intended populations;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through our own facilities or with third-party manufacturers for clinical supply and, where applicable, commercial manufacturing capabilities;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tolerability, and efficacy profile of any programs we may develop following approval.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0" w:name="page81"/>
    <w:bookmarkEnd w:id="80"/>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changes in the outcome of any of these variables with respect to the development of programs that we may identify could mean a significant change in the costs and possible delays in timing associated with the development of such programs. For example, if the FDA or another regulatory authority were to require us to conduct clinical trials beyond those that we currently anticipate will be required for the completion of clinical development of a program, or if we experience significant delays in our clinical trials due to patient enrollment or other reasons, we would be required to expend significant additional financial resources and time on the completion of clinical development. We may never obtain regulatory approval for any of our programs.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including salaries, bonuses, employee benefits, travel, and stock-based compensation, for our executive and other administrative personnel. Other significant general and administrative expenses include legal services, including intellectual property and corporate matters; professional fees for accounting, auditing, tax, insurance, and allocated human resource costs, information technology costs, and facility-related costs, including rent, utilities, maintenance, and depreciation for our leased office space.</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expect our general and administrative expenses will increase substantially for the foreseeable future as we anticipate an increase in our personnel headcount to support the expansion of research and development activities, as well as to support our operations generally. We also expect to continue to incur significant expenses associated with being a public company, including costs related to accounting, audit, legal, regulatory, and tax-related services associated with maintaining compliance with applicable Nasdaq and SEC requirements; director and officer insurance costs; and investor and public relations costs. We also expect to incur additional intellectual property-related expenses as we file patent applications to protect innovations arising from our research and development activities.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income, net consists of interest earned on our cash, cash equivalents, and marketable securities; interest expense on the convertible note from a related party (see discussion herein); and foreign currency transactions gains and losses. Interest expense relates to a convertible note (the “Convertible Note”) issued to Fairmount Healthcare Fund II, L.P. (“Fairmount”), a related party, in March 2024. At the effective time of the Merger, the Convertible Note, along with the accrued interest, was automatically converted into Company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provision for income taxes was recorded for the period from February 6, 2024 (inception) through December 31, 2024. Deferred tax assets generated from our net operating losses have been fully offset by the valuation allowance as we believe it is not more likely than not that the benefit will be realized due to our cumulative losses generated to date.</w:t>
      </w:r>
    </w:p>
    <w:p>
      <w:pPr>
        <w:sectPr>
          <w:pgSz w:w="11900" w:h="16838" w:orient="portrait"/>
          <w:cols w:equalWidth="0" w:num="1">
            <w:col w:w="11240"/>
          </w:cols>
          <w:pgMar w:left="320" w:top="877" w:right="339" w:bottom="144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Period from February 6, 2024 (inception) to December 31, 2024</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 presented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line="205" w:lineRule="auto"/>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9"/>
          <w:szCs w:val="29"/>
          <w:color w:val="auto"/>
          <w:vertAlign w:val="superscript"/>
        </w:rPr>
        <w:t>(1)</w:t>
      </w:r>
    </w:p>
    <w:p>
      <w:pPr>
        <w:ind w:left="180"/>
        <w:spacing w:after="0" w:line="204" w:lineRule="auto"/>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180"/>
        <w:spacing w:after="0" w:line="192" w:lineRule="auto"/>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9"/>
          <w:szCs w:val="29"/>
          <w:color w:val="auto"/>
          <w:vertAlign w:val="superscript"/>
        </w:rPr>
        <w:t>(3)</w:t>
      </w:r>
    </w:p>
    <w:p>
      <w:pPr>
        <w:ind w:left="18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333"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related party amount of $42,640 for the period from February 6, 2024 (inception) to December 31, 2024</w:t>
      </w:r>
    </w:p>
    <w:p>
      <w:pPr>
        <w:spacing w:after="0" w:line="38" w:lineRule="exact"/>
        <w:rPr>
          <w:rFonts w:ascii="Times New Roman" w:cs="Times New Roman" w:eastAsia="Times New Roman" w:hAnsi="Times New Roman"/>
          <w:sz w:val="17"/>
          <w:szCs w:val="17"/>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 of $1,364 for the period from February 6, 2024 (inception) to December 31,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 of $1,468 for the period from February 6, 2024 (inception) to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Period from</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February 6,</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(Inception) to</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0294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54" w:lineRule="exact"/>
        <w:rPr>
          <w:sz w:val="20"/>
          <w:szCs w:val="20"/>
          <w:color w:val="auto"/>
        </w:rPr>
      </w:pPr>
    </w:p>
    <w:p>
      <w:pPr>
        <w:ind w:left="620" w:hanging="615"/>
        <w:spacing w:after="0"/>
        <w:tabs>
          <w:tab w:leader="none" w:pos="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75,060</w:t>
      </w:r>
    </w:p>
    <w:p>
      <w:pPr>
        <w:spacing w:after="0" w:line="63"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13,063</w:t>
      </w:r>
    </w:p>
    <w:p>
      <w:pPr>
        <w:spacing w:after="0" w:line="36"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88,123</w:t>
      </w:r>
    </w:p>
    <w:p>
      <w:pPr>
        <w:spacing w:after="0" w:line="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(88,123)</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5,863</w:t>
      </w:r>
    </w:p>
    <w:p>
      <w:pPr>
        <w:spacing w:after="0" w:line="5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(1,468)</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w:t>
      </w:r>
    </w:p>
    <w:p>
      <w:pPr>
        <w:spacing w:after="0" w:line="3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4,399</w:t>
      </w:r>
    </w:p>
    <w:p>
      <w:pPr>
        <w:spacing w:after="0" w:line="27" w:lineRule="exact"/>
        <w:rPr>
          <w:sz w:val="20"/>
          <w:szCs w:val="20"/>
          <w:color w:val="auto"/>
        </w:rPr>
      </w:pPr>
    </w:p>
    <w:p>
      <w:pPr>
        <w:ind w:left="560" w:hanging="555"/>
        <w:spacing w:after="0"/>
        <w:tabs>
          <w:tab w:leader="none" w:pos="5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(83,724</w:t>
      </w:r>
      <w:r>
        <w:rPr>
          <w:rFonts w:ascii="Times New Roman" w:cs="Times New Roman" w:eastAsia="Times New Roman" w:hAnsi="Times New Roman"/>
          <w:sz w:val="33"/>
          <w:szCs w:val="33"/>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0294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013" w:lineRule="exact"/>
        <w:rPr>
          <w:sz w:val="20"/>
          <w:szCs w:val="20"/>
          <w:color w:val="auto"/>
        </w:rPr>
      </w:pPr>
    </w:p>
    <w:p>
      <w:pPr>
        <w:sectPr>
          <w:pgSz w:w="11900" w:h="16838" w:orient="portrait"/>
          <w:cols w:equalWidth="0" w:num="2">
            <w:col w:w="9300" w:space="720"/>
            <w:col w:w="1220"/>
          </w:cols>
          <w:pgMar w:left="320" w:top="877" w:right="339" w:bottom="1440" w:gutter="0" w:footer="0" w:header="0"/>
          <w:type w:val="continuous"/>
        </w:sect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 presented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External research and development expenses</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Personnel-related (excluding stock-based compensation)</w:t>
      </w:r>
    </w:p>
    <w:p>
      <w:pPr>
        <w:ind w:left="180"/>
        <w:spacing w:after="0" w:line="192" w:lineRule="auto"/>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2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research and development expenses</w:t>
      </w:r>
    </w:p>
    <w:p>
      <w:pPr>
        <w:spacing w:after="0" w:line="333"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related party amount of $32,283 for the period from February 6, 2024 (inception) to December 31, 2024</w:t>
      </w:r>
    </w:p>
    <w:p>
      <w:pPr>
        <w:spacing w:after="0" w:line="38" w:lineRule="exact"/>
        <w:rPr>
          <w:rFonts w:ascii="Times New Roman" w:cs="Times New Roman" w:eastAsia="Times New Roman" w:hAnsi="Times New Roman"/>
          <w:sz w:val="17"/>
          <w:szCs w:val="17"/>
          <w:color w:val="auto"/>
        </w:rPr>
      </w:pPr>
    </w:p>
    <w:p>
      <w:pPr>
        <w:ind w:left="340" w:hanging="332"/>
        <w:spacing w:after="0"/>
        <w:tabs>
          <w:tab w:leader="none" w:pos="3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related party amount of $10,357 for the period from February 6, 2024 (inception) to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Period from</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February 6,</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(Inception) to</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45" w:lineRule="exact"/>
        <w:rPr>
          <w:sz w:val="20"/>
          <w:szCs w:val="20"/>
          <w:color w:val="auto"/>
        </w:rPr>
      </w:pPr>
    </w:p>
    <w:p>
      <w:pPr>
        <w:ind w:left="620" w:hanging="615"/>
        <w:spacing w:after="0"/>
        <w:tabs>
          <w:tab w:leader="none" w:pos="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57,680</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3,959</w:t>
      </w:r>
    </w:p>
    <w:p>
      <w:pPr>
        <w:spacing w:after="0" w:line="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11,992</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1,429</w:t>
      </w:r>
    </w:p>
    <w:p>
      <w:pPr>
        <w:spacing w:after="0" w:line="58" w:lineRule="exact"/>
        <w:rPr>
          <w:sz w:val="20"/>
          <w:szCs w:val="20"/>
          <w:color w:val="auto"/>
        </w:rPr>
      </w:pPr>
    </w:p>
    <w:p>
      <w:pPr>
        <w:ind w:left="620" w:hanging="615"/>
        <w:spacing w:after="0"/>
        <w:tabs>
          <w:tab w:leader="none" w:pos="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922" w:lineRule="exact"/>
        <w:rPr>
          <w:sz w:val="20"/>
          <w:szCs w:val="20"/>
          <w:color w:val="auto"/>
        </w:rPr>
      </w:pPr>
    </w:p>
    <w:p>
      <w:pPr>
        <w:sectPr>
          <w:pgSz w:w="11900" w:h="16838" w:orient="portrait"/>
          <w:cols w:equalWidth="0" w:num="2">
            <w:col w:w="9300" w:space="720"/>
            <w:col w:w="1220"/>
          </w:cols>
          <w:pgMar w:left="320" w:top="873" w:right="339" w:bottom="1440" w:gutter="0" w:footer="0" w:header="0"/>
        </w:sectPr>
      </w:pPr>
    </w:p>
    <w:p>
      <w:pPr>
        <w:spacing w:after="0" w:line="1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$75.1 million for the period from February 6, 2024 (inception) to December 31, 2024 and consisted primarily of the following:</w:t>
      </w:r>
    </w:p>
    <w:p>
      <w:pPr>
        <w:spacing w:after="0" w:line="162" w:lineRule="exact"/>
        <w:rPr>
          <w:sz w:val="20"/>
          <w:szCs w:val="20"/>
          <w:color w:val="auto"/>
        </w:rPr>
      </w:pPr>
    </w:p>
    <w:p>
      <w:pPr>
        <w:jc w:val="both"/>
        <w:ind w:left="660" w:hanging="328"/>
        <w:spacing w:after="0" w:line="254"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$57.7 million of research and development expense primarily includes: $18.3 million related to Paragon services rendered under the Option Agreements for ORKA-001, including $4.8 million for milestones achieved under the Option and License Agreements upon exercise of the option to enter into a license agreement and achievement of development candidate for IL-23 and dosing of the first subject in a Phase 1 clinical trial; $13.3 million of research and development expense primarily related to Paragon services rendered under the Option Agreements for ORKA-002, including $2.3 million for milestones achieved under the Option and License Agreements upon exercise of the option to enter into a license agreement and achievement of development candidate for IL-17; $0.7 million of other research and development expense due to Paragon; $16.5 million of research and development expense on chemistry, manufacturing, and development costs; $5.7 million in toxicology testing with a third-party contract research organization; and $3.2 million of other external research and development costs;</w:t>
      </w:r>
    </w:p>
    <w:p>
      <w:pPr>
        <w:spacing w:after="0" w:line="19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million of personnel-related costs related to salaries, benefits, and other compensation-related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million of stock-based compensation expense, including $10.4 million of stock-based compensation related to the Paruka warrant;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of other expense and allocated human resource costs, information technology costs, and facility-related costs, including rent, maintenance, utilities, and depreciation for our leased office space.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period presented (in thousands):</w:t>
      </w:r>
    </w:p>
    <w:p>
      <w:pPr>
        <w:spacing w:after="0" w:line="221"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Period from</w:t>
      </w:r>
    </w:p>
    <w:p>
      <w:pPr>
        <w:spacing w:after="0" w:line="31"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February 6,</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(Inception) to</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020" w:type="dxa"/>
            <w:vAlign w:val="bottom"/>
            <w:tcBorders>
              <w:top w:val="single" w:sz="8" w:color="CCEEFF"/>
            </w:tcBorders>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Personnel-related (including stock-based compensation)</w:t>
            </w:r>
            <w:r>
              <w:rPr>
                <w:rFonts w:ascii="Times New Roman" w:cs="Times New Roman" w:eastAsia="Times New Roman" w:hAnsi="Times New Roman"/>
                <w:sz w:val="28"/>
                <w:szCs w:val="28"/>
                <w:color w:val="auto"/>
                <w:vertAlign w:val="superscript"/>
              </w:rPr>
              <w:t>(1)</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100" w:type="dxa"/>
            <w:vAlign w:val="bottom"/>
            <w:tcBorders>
              <w:top w:val="single" w:sz="8" w:color="CCEEFF"/>
            </w:tcBorders>
            <w:shd w:val="clear" w:color="auto" w:fill="CCEEFF"/>
          </w:tcPr>
          <w:p>
            <w:pPr>
              <w:spacing w:after="0"/>
              <w:rPr>
                <w:sz w:val="21"/>
                <w:szCs w:val="21"/>
                <w:color w:val="auto"/>
              </w:rPr>
            </w:pPr>
          </w:p>
        </w:tc>
      </w:tr>
      <w:tr>
        <w:trPr>
          <w:trHeight w:val="256"/>
        </w:trPr>
        <w:tc>
          <w:tcPr>
            <w:tcW w:w="100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Professional and consulting fees</w:t>
            </w:r>
            <w:r>
              <w:rPr>
                <w:rFonts w:ascii="Times New Roman" w:cs="Times New Roman" w:eastAsia="Times New Roman" w:hAnsi="Times New Roman"/>
                <w:sz w:val="29"/>
                <w:szCs w:val="29"/>
                <w:color w:val="auto"/>
                <w:vertAlign w:val="superscript"/>
              </w:rPr>
              <w:t>(2)</w:t>
            </w: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00" w:type="dxa"/>
            <w:vAlign w:val="bottom"/>
          </w:tcPr>
          <w:p>
            <w:pPr>
              <w:spacing w:after="0"/>
              <w:rPr>
                <w:sz w:val="22"/>
                <w:szCs w:val="22"/>
                <w:color w:val="auto"/>
              </w:rPr>
            </w:pPr>
          </w:p>
        </w:tc>
      </w:tr>
      <w:tr>
        <w:trPr>
          <w:trHeight w:val="290"/>
        </w:trPr>
        <w:tc>
          <w:tcPr>
            <w:tcW w:w="10020" w:type="dxa"/>
            <w:vAlign w:val="bottom"/>
            <w:tcBorders>
              <w:bottom w:val="single" w:sz="8" w:color="CCEEFF"/>
            </w:tcBorders>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(3)</w:t>
            </w:r>
          </w:p>
        </w:tc>
        <w:tc>
          <w:tcPr>
            <w:tcW w:w="3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13,063</w:t>
            </w:r>
          </w:p>
        </w:tc>
        <w:tc>
          <w:tcPr>
            <w:tcW w:w="10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 of $609 for the period from February 6, 2024 (inception) to December 31, 2024</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 of $575 for the period from February 6, 2024 (inception) to December 31,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 of $180 for the period from February 6, 2024 (inception) to December 31, 2024</w:t>
      </w:r>
    </w:p>
    <w:p>
      <w:pPr>
        <w:spacing w:after="0" w:line="20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$13.1 million for the period from February 6, 2024 (inception) to December 31, 2024 and consisted primarily of the following:</w:t>
      </w:r>
    </w:p>
    <w:p>
      <w:pPr>
        <w:spacing w:after="0" w:line="162" w:lineRule="exact"/>
        <w:rPr>
          <w:sz w:val="20"/>
          <w:szCs w:val="20"/>
          <w:color w:val="auto"/>
        </w:rPr>
      </w:pPr>
    </w:p>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million of personnel-related costs related to salaries, benefits, other compensation-related costs, recruiting costs, including stock-based compensation of $2.9 million, and $0.6 million of personnel-related costs are recruiting costs reimbursed to Paragon for hiring of our executive team, legal, and finance and accounting functions;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 million of professional and consulting fees associated with accounting, audit, and legal fees associated with becoming a public company, including $0.6 million of legal fees due to Paragon associated with patent-related activities;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of other business expenses and net of allocated human resource costs, information technology costs, and facility-related costs, including rent, maintenance, utilities, and depreciation for our leased office space to research and development expenses, including $0.2 million of other business expenses due to Paragon.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Other Income, Net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income from cash equivalents and marketable securities was $5.9 million for the period from February 6, 2024 (inception) to December 31, 2024.</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was $1.5 million for the period from February 6, 2024 (inception) to December 31, 2024 relating to the Convertible Note from Fairmount.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we had $393.7 million of cash, cash equivalents, and marketable securities.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and negative cash flow from operations. We expect to incur significant expenses and operating losses for the foreseeable future as we continue the pre-clinical and clinical development of our programs and our early-stage research activities. We have not yet commercialized any products, and we do not expect to generate revenue from sales of products for several years, if at all. Through December 31, 2024, we had funded our operations primarily with proceeds from issuances of convertible preferred stock, common stock, a convertible note, and pre-funded warrants. In March 2024, we received $2.9 million in net proceeds from the issuance of Pre-Merger Oruka Series A Preferred Stock and $25.0 million in gross proceeds from the issuance of the Convertible Note, both of which were related party transactions. In August 2024, we raised approximately $228.0 million in net proceeds from Pre-Closing Financing and received $4.9 million in cash from ARCA upon consummation of the Merger. In September 2024, we received approximately $188.7 million in net proceeds from the issuance of common stock, Company Series A Preferred Stock, and pre-funded warrants in connection with the PIPE Financing.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3" w:name="page84"/>
    <w:bookmarkEnd w:id="83"/>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primary use of cash is to fund the development of our product candidates and advance our pipeline. This includes both the research and development costs and the general and administrative expenses required to support those operations. Since we are a clinical stage biotechnology company, we have incurred significant operating losses since our inception and we anticipate such losses, in absolute dollar terms, to increase as we continue to pursue clinical development of our product candidates, prepare for the potential commercialization of our product candidates, and expand our development efforts in our pipeline of nonclinical candidates. We expect that our existing cash, cash equivalents, and marketable securities will be sufficient to fund our operating plans for at least twelve months from the date of filing of this Annual Report. We will need to secure additional financing in the future to fund additional research and development, and before a commercial drug can be produced, marketed, and sold. If we are unable to obtain additional financing or generate license or product revenue, the lack of liquidity could have a material adverse effect on our company.</w:t>
      </w:r>
    </w:p>
    <w:p>
      <w:pPr>
        <w:sectPr>
          <w:pgSz w:w="11900" w:h="16838" w:orient="portrait"/>
          <w:cols w:equalWidth="0" w:num="1">
            <w:col w:w="11240"/>
          </w:cols>
          <w:pgMar w:left="320" w:top="877" w:right="339" w:bottom="1440" w:gutter="0" w:footer="0" w:header="0"/>
        </w:sectPr>
      </w:pP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 presented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984885</wp:posOffset>
            </wp:positionV>
            <wp:extent cx="71323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increase in cash and cash equivalents</w:t>
      </w:r>
    </w:p>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Period from</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February 6,</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(Inception) to</w:t>
      </w:r>
    </w:p>
    <w:p>
      <w:pPr>
        <w:spacing w:after="0" w:line="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18" w:lineRule="exact"/>
        <w:rPr>
          <w:sz w:val="20"/>
          <w:szCs w:val="20"/>
          <w:color w:val="auto"/>
        </w:rPr>
      </w:pPr>
    </w:p>
    <w:p>
      <w:pPr>
        <w:ind w:left="560" w:hanging="555"/>
        <w:spacing w:after="0"/>
        <w:tabs>
          <w:tab w:leader="none" w:pos="5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(57,837)</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(330,127)</w:t>
      </w:r>
    </w:p>
    <w:p>
      <w:pPr>
        <w:spacing w:after="0" w:line="9"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449,539</w:t>
      </w:r>
    </w:p>
    <w:p>
      <w:pPr>
        <w:spacing w:after="0" w:line="58" w:lineRule="exact"/>
        <w:rPr>
          <w:sz w:val="20"/>
          <w:szCs w:val="20"/>
          <w:color w:val="auto"/>
        </w:rPr>
      </w:pPr>
    </w:p>
    <w:p>
      <w:pPr>
        <w:ind w:left="620" w:hanging="615"/>
        <w:spacing w:after="0"/>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697" w:lineRule="exact"/>
        <w:rPr>
          <w:sz w:val="20"/>
          <w:szCs w:val="20"/>
          <w:color w:val="auto"/>
        </w:rPr>
      </w:pPr>
    </w:p>
    <w:p>
      <w:pPr>
        <w:sectPr>
          <w:pgSz w:w="11900" w:h="16838" w:orient="portrait"/>
          <w:cols w:equalWidth="0" w:num="2">
            <w:col w:w="9300" w:space="720"/>
            <w:col w:w="1220"/>
          </w:cols>
          <w:pgMar w:left="320" w:top="877" w:right="339" w:bottom="1440" w:gutter="0" w:footer="0" w:header="0"/>
          <w:type w:val="continuous"/>
        </w:sectPr>
      </w:pPr>
    </w:p>
    <w:p>
      <w:pPr>
        <w:spacing w:after="0" w:line="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From February 6, 2024 (inception) to December 31, 2024, net cash used in operating activities was $57.8 million, which was primarily attributable to a net loss of $83.7 million, offset by net non-cash charges of $14.3 million and net changes in operating activities of $11.6 million. Non-cash charges primarily consisted of $14.9 million in stock-based compensation expense (including $10.4 million related to the Paruka warrant) and $1.5 million of non-cash interest expense, partially offset by net accretion of premiums and discounts on marketable securities of $2.2 million. Net changes in our operating activities primarily consisted of a $3.5 million increase in accounts payable, a $3.3 million increase in accrued expenses and other current liabilities, a $6.0 million increase in related parties accounts payable and other current liabilities, partially offset by a $1.1 million increase in prepaid expenses and other current assets. The increase in amounts due to related parties, accounts payable, and accrued expenses and other current liabilities was primarily due to an increase in our business activity, as well as vendor invoicing and payments. The increase in prepaid expenses and other current assets was primarily due to prepaid research and development expenses with our contract research organization.</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From February 6, 2024 (inception) to December 31, 2024, net cash used in investing activities was $330.1 million, which was primarily attributable to purchases of marketable securities.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February 6, 2024 (inception) to December 31, 2024, net cash provided by financing activities was $449.5 million, consisting of $228.0 million of net proceeds from the Pre-Closing Financing, $188.7 million of net proceeds from the PIPE Financing, $25.0 million of net proceeds from the issuance of notes payable to related parties, $4.9 million of cash acquired in connection with the reverse recapitalization and $2.9 million of net proceeds from issuance of the Pre-Merger Oruka Series A Preferred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CMOs and with other vendors for preclinical research studies, clinical trials, manufacturing, and other services and products for operating purposes. These contracts generally provide for termination on notice or may have a potential termination fee if a purchase order is cancelled within a specified time, and therefore, are cancelable contracts. We do not expect any such contract terminations and did not have any non-cancellable obligations under these agreements as of December 31, 2024.</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Paragon Therapeutics - Option Agreements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March 2024, we entered into two antibody discovery and option agreements (“Option Agreements”) with Paragon and Paruka Holding, LLC (“Paruka”). Under the terms of each agreement, Paragon identifies, evaluates, and develops antibodies directed against certain mutually agreed therapeutic targets of interest to us. From time to time, we can choose to add additional targets to the collaboration upon agreement with Paragon and Paruka. Under the Option Agreements, we have the exclusive option to, on a research program-by-research program basis, be granted an exclusive, worldwide license to all of Paragon’s right, title, and interest in and to the intellectual property resulting from the applicable research program to develop, manufacture, and commercialize the antibodies and products directed to the selected target(s) (each, an “Option”). We have initiated certain research programs with Paragon that generally focus on discovering, generating, identifying and/or characterizing antibodies directed to a particular target (each, a “Research Program”), including for IL-23 and IL-17A/F for ORKA-001 and ORKA-002, respectively. Our exclusive option with respect to each Research Program is exercisable at our sole discretion at such time as specified in the Option Agreements (the “Option Period”). There is no payment due upon exercise of an Option pursuant to the Option Agreements. For each of these agreements, once we enter into the corresponding license agreements, we will be required to make non-refundable milestone payments to Paragon of up to $12.0 million under each respective agreement upon the achievement of certain clinical development milestones, up to $10.0 million under each respective agreement upon the achievement of certain regulatory milestones, as well as a low single-digit percentage royalty for antibody products beginning on the first commercial sale in each program.</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terminate any Option Agreement or any Research Program at any time for any or no reason upon 30 days’ prior written notice to Paragon, provided that we must pay certain unpaid fees due to Paragon upon such termination, as well as any non-cancellable obligations reasonably incurred by Paragon in connection with its activities under any terminated Research Program. Paragon may terminate any Option Agreement or a Research Program immediately upon written notice to us if, as a result of any action or failure to act by us or our affiliates, such Research Program or all material activities under the applicable Research Plan are suspended, discontinued or otherwise delayed for a certain consecutive number of months. Each party has the right to terminate the Option Agreements or any Research Program upon material breach that remains uncured or the other party’s bankruptcy.</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as part of the Option Agreements, on December 31, 2024 and December 31, 2025, we granted and will grant, respectively, Paruka a warrant to purchase a number of shares equal to 1.00% of outstanding shares as of the date of the grant on a fully-diluted basis, with an exercise price equal to the fair market value of the underlying shares on the grant date.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warrant is liability-classified and after the initial recognition, the liability is adjusted to fair value at the end of each reporting period, with changes in fair value recorded in the consolidated statement of operations and comprehensive loss as stock-based compensation expenses under research and development expenses. On issuance of the December 31, 2024 warrant to Paruka, the change in fair value of the warrant immediately prior to issuance was recorded in the consolidated statement of operations and comprehensive loss and the resultant carrying value of the liability was reclassified to equity on the consolidated balance sheet as of December 31, 2024.</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Pursuant to the Option Agreements, on a research program-by-research program basis following the finalization of the research plan for each respective research program, we were required to pay Paragon a one-time, nonrefundable research initiation fee of $0.8 million related to the ORKA-001 program. This amount was recognized as a research and development expense during the period from February 6, 2024 (inception) to December 31, 2024. In June 2024, pursuant to the Option Agreements with Paragon, we completed the selection process of our development candidate for IL-23 antibody for ORKA-001 program. We were responsible for 50% of the development costs incurred through the completion of the IL-23 selection process. We received the rights to at least one selected IL-23 antibody in June 2024. During the period from February 6, 2024 (inception) to December 31, 2024, we exercised our option for ORKA-001 and recorded a $1.5 million milestone payment related to the achievement of development candidate as research and development expense in our consolidated statement of operations and comprehensive loss. In addition, during the period from February 6, 2024 (inception) to December 31, 2024, we recorded a $2.5 million milestone payment related to the first dosing of a human subject in a Phase 1 trial of ORKA-001 in December 2024 as research and development expense in our consolidated statement of operations and comprehensive loss. Our share of development costs incurred for the period from February 6, 2024 (inception) to December 31, 2024 was $13.5 million, which was recorded as research and development expenses. An amount of $2.8 million related to ORKA-001 is included in related party accounts payable and other current liabilities as of December 31,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5" w:name="page86"/>
    <w:bookmarkEnd w:id="85"/>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were also required to reimburse Paragon $3.3 million for development costs related to ORKA-002 incurred by Paragon through December 31, 2023 and certain other development costs incurred by Paragon between January 1, 2024 and March 6, 2024 as stipulated by the Option Agreements. This amount was recognized as a research and development expense during the period from February 6, 2024 (inception) to December 31, 2024. We are also responsible for the development costs incurred by Paragon from January 1, 2024 through the completion of the IL-17 selection process. We recognized an amount of $0.8 million payable to Paragon for the research initiation fee related to ORKA-002 following the finalization of the ORKA-002 research plan. This was recognized as research and development expenses in the period from February 6, 2024 (inception) to December 31, 2024. During the period from February 6, 2024 (inception) to December 31, 2024, we exercised our option for ORKA-002 and recorded a $1.5 million milestone payment related to the achievement of development candidate as research and development expense in our consolidated statement of operations and comprehensive loss. We accounted for development costs of $7.8 million for the period from February 6, 2024 (inception) to December 31, 2024 as research and development expenses. An amount of $2.7 million related to ORKA-002 is included in related party accounts payable and other current liabilities as of December 31, 2024.</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expense the service fees as the associated costs are incurred when the underlying services are rendered. Such amounts are classified within research and development expenses in the accompanying consolidated statement of operations and comprehensive loss.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concluded that the rights obtained under the Option Agreements represent an asset acquisition whereby the underlying assets comprise in-process research and development assets with no alternative future use. The Option Agreements did not qualify as a business combination because substantially all of the fair value of the assets acquired was concentrated in the exclusive license options, which represent a group of similar identifiable assets. The research initiation fee represents a one-time cost on a research program-by-research program basis for accessing research services or resources with benefits that are expected to be consumed in the near term, therefore the amounts paid are expensed as part of research and development costs immediately. Amounts paid as reimbursements of on-going development cost, monthly development cost fee and additional development expenses incurred by Paragon due to work completed for selected targets prior to the effective date of the Option Agreements that is associated with services being rendered under the related Research Programs are recognized as research and development expense when incurred.</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period from February 6, 2024 (inception) to December 31, 2024, we recognized $42.0 million of expenses in connection with services provided by Paragon and Paruka under the Option Agreements.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Paragon Therapeutics – License Agreements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September 2024, we exercised the Option to acquire certain rights to ORKA-001, and in December 2024, we entered into the corresponding license agreement with Paragon (the “ORKA-001 License Agreement”), pursuant to which Paragon granted us a royalty-bearing, world-wide, exclusive license to develop, manufacture, commercialize or otherwise exploit certain antibodies and products targeting IL-23 in all fields other than the field of inflammatory bowel disease (“ORKA-001 Field”). In December 2024, we exercised the Option with respect to ORKA-002 for the IL-17A/F program, and in February 2025, we entered into the corresponding license agreement with Paragon (the “ORKA-002 License Agreement” and together with the ORKA-001 License Agreement, the “License Agreements”), pursuant to which Paragon granted us a royalty-bearing, world-wide, exclusive license to develop, manufacture, commercialize or otherwise exploit certain antibodies and products targeting IL-17A/F in all fields (“ORKA-002 Field” and together with the ORKA-001 Field, the “Fields”).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License Agreements provide us with exclusive licenses in the Fields to Paragon’s patent applications covering the related antibodies, their method of use and their method of manufacture and Paragon has agreed not to conduct any new campaigns that generate anti-IL-23 monospecific antibodies or anti-IL-17A/F monospecific antibodies for the ORKA-001 Field or the ORKA-002 Field, respectively, for at least five years. Each of the ORKA-001 and ORKA-002 License Agreements may be terminated on 60 days’ notice to Paragon, on material breach without cure, and on a party’s insolvency or bankruptcy to the extent permitted by law.</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terms of each of the ORKA-001 and ORKA-002 License Agreements, we are obligated to pay Paragon non-refundable milestone payments of up to $12.0 million under each respective agreement upon the achievement of certain clinical development milestones and up to $10.0 million under each respective agreement upon the achievement of certain regulatory milestones, including a $1.5 million fee for nomination of a development candidate (or initiation of an IND-enabling toxicology study) and a further milestone payment of $2.5 million upon the first dosing of a human patient in a Phase 1 trial for each of ORKA-001 and ORKA-002. In addition, we are obligated to pay Paragon a low single-digit percentage royalty for antibody products for each of ORKA-001 and ORKA-002. For each of the License Agreements, the royalty term ends on the later of (i) the last-to-expire licensed patent or our patent directed to the manufacture, use or sale of a licensed antibody in the country at issue or (ii) 12 years from the date of first sale of a Company product. There is also a royalty step-down if there is no Paragon patent in effect during the royalty term for each program.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color w:val="auto"/>
        </w:rPr>
        <w:t>Cell Line License Agreement</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March 2024, we entered into the Cell Line License Agreement (the “Cell Line License Agreement”) with WuXi Biologics Ireland Limited (“WuXi Biologics”). Under the Cell Line License Agreement, we received a non-exclusive, worldwide, sublicensable license to certain of WuXi Biologics’ know-how, cell line, biological materials (the “WuXi Biologics Licensed Technology”) and media and feeds to make, have made, use, sell and import certain therapeutic products produced through the use of the cell line licensed by WuXi Biologics under the Cell Line License Agreement (the “WuXi Biologics Licensed Products”). Specifically, the WuXi Biologics Licensed Technology is used in certain manufacturing activities in support of the ORKA-001 and ORKA-002 programs.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consideration for the license, we agreed to pay WuXi Biologics a non-refundable license fee of $150,000, which was recognized as a research and development expense during the period from February 6, 2024 (inception) to December 31, 2024. Additionally, to the extent that we manufacture our commercial supplies of bulk drug product with a manufacturer other than WuXi Biologics or its affiliates, we are required to make royalty payments to WuXi Biologics at a rate of less than one percent of net sales of WuXi Biologics Licensed Products manufactured by the third-party manufacturer. Pursuant to an amendment to the Cell Line License Agreement effective in November 2024, a provision was added that permits the royalties owed under the agreement to be bought out on a product-by-product basis for a lump-sum payment.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Cell Line License Agreement will continue indefinitely unless terminated (i) by us upon six months’ prior written notice and our payment of all undisputed amounts due to WuXi Biologics through the effective date of termination, (ii) by WuXi Biologics for a material breach by us that remains uncured for 60 days after written notice, (iii) by WuXi Biologics if we fail to make a payment and such failure continues for 30 days after receiving notice of such failure, or (iv) by either party upon the other party’s bankruptcy.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Payable with Related Party</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March 2024, we entered into a Series A Preferred Stock and Convertible Note Purchase Agreement (the “Purchase Agreement”) with Fairmount, whereby we issued the Convertible Note, with an initial principal amount of $25.0 million that, at the time of issuance, could be converted into Pre-Merger Oruka Series A Preferred Stock (or a series of preferred shares that is identical in respect to the shares of preferred shares issued in its next equity financing) or shares of Pre-Merger Oruka Common Stock in exchange for aggregate proceeds of $25.0 million. The Convertible Note accrued interest at a rate of 12.0% per annum. At issuance, the Convertible Note required all unpaid interest and principal to mature on December 31, 2025 (the “Maturity Date”) and prepayment was not permitted without prior written consent of Fairmount. At issuance, the principal payment along with the accrued interest on the Convertible Note was due in full on the Maturity Date. Pursuant to the Purchase Agreement, we had the right to sell and issue additional convertible notes up to an aggregate principal amount equal to $30.0 million, in addition to the $25.0 million initial principal amount of the Convertible Note.</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Immediately prior to the completion of the Merger, the Convertible Note was converted into shares of Pre-Merger Oruka Common Stock based on the aggregate principal amount of $25.0 million, plus unpaid accrued interest of $1.5 million divided by the conversion price, which was determined based upon the Company’s fully-diluted capitalization immediately prior to the Merger. At the effective time of the Merger, the Pre-Merger Oruka Common Stock issued upon the conversion of the Convertible Note (including accrued interest) automatically converted into shares of Company Common Stock. 2,722,207 shares of Company Common Stock were issued on conversion of the Convertible Note and accrued interest. As of December 31, 2024, there is no note payable to a related party.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Lease Agreement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contractual obligations include minimum lease payments under our operating lease obligation for our headquarters in Menlo Park, California. See Note 13 to the consolidated financial statements elsewhere in this report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its financial condition and results of operations is based on its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financial statements, as well as the reported revenues recognized and expenses incurred during the reporting periods. Our estimates are based on its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appearing elsewhere in this Annual Report, we believe the following accounting policies used in the preparation of our financial statements require the most significant judgments and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of costs incurred in performing research and development activities, including salaries and bonuses, overhead costs, contract services and other related costs. The value of goods and services received from contract research organizations and contract manufacturing organizations in the reporting period are estimated based on the level of services performed, and progress in the period in cases when we have not received an invoice from the supplier. In circumstances where amounts have been paid in excess of costs incurred, we record a prepaid expense. When billing terms under these contracts do not coincide with the timing of when the work is performed, we are required to make estimates of outstanding obligations to those third parties as of period end. Any accrual estimates are based on a number of factors, including our knowledge of the progress towards completion of the specific tasks to be performed, invoicing to date under the contracts, communication from the vendors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7"/>
          <w:szCs w:val="17"/>
          <w:color w:val="auto"/>
        </w:rPr>
        <w:t>We measure stock options granted to employees and non-employees based on the estimated fair values of the awards as of the grant date using the Black-Scholes option-pricing model. The model requires management to make a number of assumptions, including common stock fair value, expected volatility, expected term, risk-free interest rate and expected dividend yield. For restricted stock awards and restricted stock units, the estimated fair value is the fair market value of the underlying stock on the grant date. We expense the fair value of our equity-based compensation awards on a straight-line basis over the requisite service period, which is the period in which the related services are received. We account for award forfeitures as they occur. The expense for stock-based awards with performance conditions is recognized when it is probable that a performance condition is met during the vesting period.</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Determination of Fair Value of Common Stock</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public trading market for Company Common Stock has been established in connection with the completion of the Merger. As such, it is no longer necessary for our board of directors to estimate the fair value of our stock-based awards in connection with its accounting for granted stock-based awards or other such awards we may grant, as the fair value of Company Common Stock and share-based awards is determined based on the quoted market price of Company Common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8" w:name="page89"/>
    <w:bookmarkEnd w:id="88"/>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Prior to the merger, Pre-Merger Oruka’s common stock valuations were prepared using a hybrid method, including an option pricing method (“OPM”).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preferred stock liquidation preferences at the time of the liquidity event, such as a strategic sale or a merger. The hybrid method is a probability-weighted expected return method (“PWERM”), where the equity value in one or more of the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assumptions underlying these valuations represented management’s best estimate, which involved inherent uncertainties and the application of management’s judgment. As a result, if Pre-Merger Oruka had used significantly different assumptions or estimates, the fair value of Pre-Merger Oruka’s incentive shares and its stock-based compensation expense could have been materially different.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2 to the consolidated financial statements included in Part II - Item 8 of this Annual Report for more information regarding recently issued accounting pronouncements.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we did not have any off-balance sheet arrangements, as defined in the rules and regulations of the SEC.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under the Securities Exchange Act of 1934, as amended (the “Exchange Act”), and in Item 10(f)(1) of Regulation S-K, and are not required to provide the information under this item.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ORUKA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10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46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43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29"/>
        </w:trPr>
        <w:tc>
          <w:tcPr>
            <w:tcW w:w="102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tc>
        <w:tc>
          <w:tcPr>
            <w:tcW w:w="1000" w:type="dxa"/>
            <w:vAlign w:val="bottom"/>
            <w:shd w:val="clear" w:color="auto" w:fill="CCEEFF"/>
          </w:tcPr>
          <w:p>
            <w:pPr>
              <w:spacing w:after="0"/>
              <w:rPr>
                <w:sz w:val="19"/>
                <w:szCs w:val="19"/>
                <w:color w:val="auto"/>
              </w:rPr>
            </w:pPr>
          </w:p>
        </w:tc>
      </w:tr>
      <w:tr>
        <w:trPr>
          <w:trHeight w:val="176"/>
        </w:trPr>
        <w:tc>
          <w:tcPr>
            <w:tcW w:w="10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238)</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0"/>
        </w:trPr>
        <w:tc>
          <w:tcPr>
            <w:tcW w:w="21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8140" w:type="dxa"/>
            <w:vAlign w:val="bottom"/>
            <w:tcBorders>
              <w:bottom w:val="single" w:sz="8" w:color="CCEEFF"/>
            </w:tcBorders>
            <w:gridSpan w:val="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176"/>
        </w:trPr>
        <w:tc>
          <w:tcPr>
            <w:tcW w:w="10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 of Operations and Comprehensive Loss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8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 of Convertible Preferred Stock and Stockholders’ Equity</w:t>
            </w:r>
          </w:p>
        </w:tc>
        <w:tc>
          <w:tcPr>
            <w:tcW w:w="43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175"/>
        </w:trPr>
        <w:tc>
          <w:tcPr>
            <w:tcW w:w="10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 of Cash Flows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655"/>
        </w:trPr>
        <w:tc>
          <w:tcPr>
            <w:tcW w:w="210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460" w:type="dxa"/>
            <w:vAlign w:val="bottom"/>
            <w:tcBorders>
              <w:top w:val="single" w:sz="8" w:color="CCEEFF"/>
              <w:bottom w:val="single" w:sz="8" w:color="auto"/>
            </w:tcBorders>
          </w:tcPr>
          <w:p>
            <w:pPr>
              <w:spacing w:after="0"/>
              <w:rPr>
                <w:sz w:val="24"/>
                <w:szCs w:val="24"/>
                <w:color w:val="auto"/>
              </w:rPr>
            </w:pPr>
          </w:p>
        </w:tc>
        <w:tc>
          <w:tcPr>
            <w:tcW w:w="5620" w:type="dxa"/>
            <w:vAlign w:val="bottom"/>
            <w:tcBorders>
              <w:top w:val="single" w:sz="8" w:color="CCEEFF"/>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color w:val="auto"/>
              </w:rPr>
              <w:t>F-1</w:t>
            </w:r>
          </w:p>
        </w:tc>
        <w:tc>
          <w:tcPr>
            <w:tcW w:w="10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90" w:name="page91"/>
    <w:bookmarkEnd w:id="90"/>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Oruka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Oruka Therapeutics, Inc. and its subsidiaries (the “Company”) as of December 31, 2024 and February 6, 2024, and the related consolidated statements of operations and comprehensive loss, of convertible preferred stock and stockholders’ equity and of cash flows for the period from February 6, 2024 (inception) to December 31, 2024, including the related notes (collectively referred to as the “consolidated financial statements”). In our opinion, the consolidated financial statements present fairly, in all material respects, the financial position of the Company as of December 31, 2024 and February 6, 2024, and the results of its operations and its cash flows for the period from February 6, 2024 (inception) to December 31, 2024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Research and Development Costs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research and development costs are expensed as incurred. Research and development costs include salaries and bonuses, stock-based compensation, employee benefits, and external costs of vendors and consultants engaged to conduct research and development activities, as well as allocated human resource costs, information technology costs, and facility-related costs, including rent, maintenance, utilities, and depreciation. As disclosed by management, the Company’s research and development expense for the period from February 6, 2024 (inception) to December 31, 2024 was $75.1 million, $57.7 million of which relates to external research and development costs.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external research and development costs is a critical audit matter is a high degree of auditor effort in performing procedures related to the Company’s external research and development costs.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testing external research and development costs, on a sample basis, by obtaining and agreeing the contractual terms of the agreement, amounts incurred to date, and estimates of work performed to date to the (i) underlying agreements with vendors engaged to conduct research and development; (ii) purchase orders; (iii) invoices received; (iv) underlying payments made for expenses incurred on the contracts; and (v) external confirmations or communications obtained by management from vendors.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ORUKA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9"/>
                <w:szCs w:val="19"/>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February 6,</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61,575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314,073</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376,869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long-term</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18,069</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396,019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3,346</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accounts payable and other current liabilities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6,022</w:t>
            </w:r>
          </w:p>
        </w:tc>
        <w:tc>
          <w:tcPr>
            <w:tcW w:w="10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Commitments and contingencies (Note 13)</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$0.0001 par value; no shares and 20,000,000 shares authorized as of December</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 2024 and February 6, 2024, respectively; none issued and outstanding as of December 31, 2024 and February 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A non-voting convertible preferred stock, $0.001 par value; none authorized as of December 31, 2024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6, 2024; none issued and outstanding as of December 31, 2024 and February 6, 2024</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B non-voting convertible preferred stock, $0.001 par value; 251,504 and no shares authorized as of</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2024 and February 6, 2024, respectively; 137,138 and no shares issued and outstanding as of</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2024 and February 6, 2024, respectively</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and $0.001 par value as of December 31, 2024 and February 6, 2024, respectively;</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545,000,000 and 65,000,000 shares authorized, 37,440,510 and 3,197,975 shares issued and outstanding as of</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2024 and February 6, 2024,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463,018</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(83,724)</w:t>
            </w:r>
          </w:p>
        </w:tc>
        <w:tc>
          <w:tcPr>
            <w:tcW w:w="10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382,221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equity</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396,019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2" w:name="page93"/>
    <w:bookmarkEnd w:id="92"/>
    <w:p>
      <w:pPr>
        <w:jc w:val="center"/>
        <w:ind w:left="1660"/>
        <w:spacing w:after="0"/>
        <w:rPr>
          <w:sz w:val="20"/>
          <w:szCs w:val="20"/>
          <w:color w:val="auto"/>
        </w:rPr>
      </w:pPr>
      <w:r>
        <w:rPr>
          <w:rFonts w:ascii="Times New Roman" w:cs="Times New Roman" w:eastAsia="Times New Roman" w:hAnsi="Times New Roman"/>
          <w:sz w:val="18"/>
          <w:szCs w:val="18"/>
          <w:b w:val="1"/>
          <w:bCs w:val="1"/>
          <w:color w:val="auto"/>
        </w:rPr>
        <w:t>ORUKA THERAPEUTICS, INC.</w:t>
      </w:r>
    </w:p>
    <w:p>
      <w:pPr>
        <w:spacing w:after="0" w:line="31" w:lineRule="exact"/>
        <w:rPr>
          <w:sz w:val="20"/>
          <w:szCs w:val="20"/>
          <w:color w:val="auto"/>
        </w:rPr>
      </w:pPr>
    </w:p>
    <w:p>
      <w:pPr>
        <w:jc w:val="center"/>
        <w:ind w:left="168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AND COMPREHENSIVE LOSS</w:t>
      </w:r>
    </w:p>
    <w:p>
      <w:pPr>
        <w:spacing w:after="0" w:line="9" w:lineRule="exact"/>
        <w:rPr>
          <w:sz w:val="20"/>
          <w:szCs w:val="20"/>
          <w:color w:val="auto"/>
        </w:rPr>
      </w:pPr>
    </w:p>
    <w:p>
      <w:pPr>
        <w:jc w:val="center"/>
        <w:ind w:left="16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line="205" w:lineRule="auto"/>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9"/>
          <w:szCs w:val="29"/>
          <w:color w:val="auto"/>
          <w:vertAlign w:val="superscript"/>
        </w:rPr>
        <w:t>(1)</w:t>
      </w:r>
    </w:p>
    <w:p>
      <w:pPr>
        <w:ind w:left="180"/>
        <w:spacing w:after="0" w:line="204" w:lineRule="auto"/>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180"/>
        <w:spacing w:after="0" w:line="192" w:lineRule="auto"/>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9"/>
          <w:szCs w:val="29"/>
          <w:color w:val="auto"/>
          <w:vertAlign w:val="superscript"/>
        </w:rPr>
        <w:t>(3)</w:t>
      </w:r>
    </w:p>
    <w:p>
      <w:pPr>
        <w:ind w:left="18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Unrealized loss on marketable securities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63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per share attributable to Series A non-voting convertible preferred stockholders,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803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per share attributable to Series B non-voting convertible preferred stockholders,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common stockholders, basic and diluted</w:t>
      </w:r>
    </w:p>
    <w:p>
      <w:pPr>
        <w:spacing w:after="0" w:line="77" w:lineRule="exact"/>
        <w:rPr>
          <w:sz w:val="20"/>
          <w:szCs w:val="20"/>
          <w:color w:val="auto"/>
        </w:rPr>
      </w:pPr>
    </w:p>
    <w:p>
      <w:pPr>
        <w:ind w:left="180" w:hanging="161"/>
        <w:spacing w:after="0" w:line="282" w:lineRule="auto"/>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Series A non-voting convertible preferred stockholders,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175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ind w:left="180" w:right="20" w:hanging="161"/>
        <w:spacing w:after="0" w:line="282" w:lineRule="auto"/>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Series B non-voting convertible preferred stockholders,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178308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90"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 of $42,640 for the period from February 6, 2024 (inception) to December 31, 2024</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 of $1,364 for the period from February 6, 2024 (inception) to December 31,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 of $1,468 for the period from February 6, 2024 (inception) to December 31, 2024</w:t>
      </w:r>
    </w:p>
    <w:p>
      <w:pPr>
        <w:spacing w:after="0" w:line="20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Period from</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February 6,</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(Inception) to</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0294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54" w:lineRule="exact"/>
        <w:rPr>
          <w:sz w:val="20"/>
          <w:szCs w:val="20"/>
          <w:color w:val="auto"/>
        </w:rPr>
      </w:pPr>
    </w:p>
    <w:p>
      <w:pPr>
        <w:ind w:left="620" w:hanging="615"/>
        <w:spacing w:after="0"/>
        <w:tabs>
          <w:tab w:leader="none" w:pos="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75,060</w:t>
      </w:r>
    </w:p>
    <w:p>
      <w:pPr>
        <w:spacing w:after="0" w:line="63"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13,063</w:t>
      </w:r>
    </w:p>
    <w:p>
      <w:pPr>
        <w:spacing w:after="0" w:line="36"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88,123</w:t>
      </w:r>
    </w:p>
    <w:p>
      <w:pPr>
        <w:spacing w:after="0" w:line="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(88,123)</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5,863</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(1,468)</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4</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4,399</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(83,724)</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(41)</w:t>
      </w:r>
    </w:p>
    <w:p>
      <w:pPr>
        <w:spacing w:after="0" w:line="45" w:lineRule="exact"/>
        <w:rPr>
          <w:sz w:val="20"/>
          <w:szCs w:val="20"/>
          <w:color w:val="auto"/>
        </w:rPr>
      </w:pPr>
    </w:p>
    <w:p>
      <w:pPr>
        <w:ind w:left="560" w:hanging="555"/>
        <w:spacing w:after="0"/>
        <w:tabs>
          <w:tab w:leader="none" w:pos="5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(83,765)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0294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313" w:lineRule="exact"/>
        <w:rPr>
          <w:sz w:val="20"/>
          <w:szCs w:val="20"/>
          <w:color w:val="auto"/>
        </w:rPr>
      </w:pPr>
    </w:p>
    <w:p>
      <w:pPr>
        <w:ind w:left="740" w:hanging="735"/>
        <w:spacing w:after="0"/>
        <w:tabs>
          <w:tab w:leader="none" w:pos="7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0294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57" w:lineRule="exact"/>
        <w:rPr>
          <w:sz w:val="20"/>
          <w:szCs w:val="20"/>
          <w:color w:val="auto"/>
        </w:rPr>
      </w:pPr>
    </w:p>
    <w:p>
      <w:pPr>
        <w:ind w:left="420" w:hanging="415"/>
        <w:spacing w:after="0"/>
        <w:tabs>
          <w:tab w:leader="none" w:pos="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(3,873.25)</w:t>
      </w:r>
    </w:p>
    <w:p>
      <w:pPr>
        <w:spacing w:after="0" w:line="76" w:lineRule="exact"/>
        <w:rPr>
          <w:rFonts w:ascii="Times New Roman" w:cs="Times New Roman" w:eastAsia="Times New Roman" w:hAnsi="Times New Roman"/>
          <w:sz w:val="18"/>
          <w:szCs w:val="18"/>
          <w:color w:val="auto"/>
        </w:rPr>
      </w:pPr>
    </w:p>
    <w:p>
      <w:pPr>
        <w:ind w:left="560" w:hanging="555"/>
        <w:spacing w:after="0"/>
        <w:tabs>
          <w:tab w:leader="none" w:pos="5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0294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-127635</wp:posOffset>
            </wp:positionV>
            <wp:extent cx="70294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3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16,789,362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7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51,946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ectPr>
          <w:pgSz w:w="11900" w:h="16838" w:orient="portrait"/>
          <w:cols w:equalWidth="0" w:num="2">
            <w:col w:w="9580" w:space="440"/>
            <w:col w:w="1180"/>
          </w:cols>
          <w:pgMar w:left="320" w:top="873" w:right="37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ORUKA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CONVERTIBLE PREFERRED STOCK AND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1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40" w:type="dxa"/>
            <w:vAlign w:val="bottom"/>
          </w:tcPr>
          <w:p>
            <w:pPr>
              <w:spacing w:after="0"/>
              <w:rPr>
                <w:sz w:val="3"/>
                <w:szCs w:val="3"/>
                <w:color w:val="auto"/>
              </w:rPr>
            </w:pPr>
          </w:p>
        </w:tc>
        <w:tc>
          <w:tcPr>
            <w:tcW w:w="980" w:type="dxa"/>
            <w:vAlign w:val="bottom"/>
            <w:gridSpan w:val="3"/>
            <w:vMerge w:val="restart"/>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1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4"/>
            <w:vMerge w:val="continue"/>
          </w:tcPr>
          <w:p>
            <w:pPr>
              <w:spacing w:after="0"/>
              <w:rPr>
                <w:sz w:val="10"/>
                <w:szCs w:val="10"/>
                <w:color w:val="auto"/>
              </w:rPr>
            </w:pPr>
          </w:p>
        </w:tc>
        <w:tc>
          <w:tcPr>
            <w:tcW w:w="40" w:type="dxa"/>
            <w:vAlign w:val="bottom"/>
            <w:shd w:val="clear" w:color="auto" w:fill="000000"/>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600" w:type="dxa"/>
            <w:vAlign w:val="bottom"/>
          </w:tcPr>
          <w:p>
            <w:pPr>
              <w:spacing w:after="0"/>
              <w:rPr>
                <w:sz w:val="13"/>
                <w:szCs w:val="13"/>
                <w:color w:val="auto"/>
              </w:rPr>
            </w:pPr>
          </w:p>
        </w:tc>
        <w:tc>
          <w:tcPr>
            <w:tcW w:w="1100" w:type="dxa"/>
            <w:vAlign w:val="bottom"/>
            <w:gridSpan w:val="3"/>
          </w:tcPr>
          <w:p>
            <w:pPr>
              <w:jc w:val="center"/>
              <w:ind w:left="308"/>
              <w:spacing w:after="0" w:line="160"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4"/>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Non-Voting</w:t>
            </w:r>
          </w:p>
        </w:tc>
        <w:tc>
          <w:tcPr>
            <w:tcW w:w="40" w:type="dxa"/>
            <w:vAlign w:val="bottom"/>
            <w:shd w:val="clear" w:color="auto" w:fill="000000"/>
          </w:tcPr>
          <w:p>
            <w:pPr>
              <w:spacing w:after="0"/>
              <w:rPr>
                <w:sz w:val="13"/>
                <w:szCs w:val="13"/>
                <w:color w:val="auto"/>
              </w:rPr>
            </w:pPr>
          </w:p>
        </w:tc>
        <w:tc>
          <w:tcPr>
            <w:tcW w:w="1420" w:type="dxa"/>
            <w:vAlign w:val="bottom"/>
            <w:gridSpan w:val="5"/>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Non-Voting</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180" w:type="dxa"/>
            <w:vAlign w:val="bottom"/>
            <w:gridSpan w:val="3"/>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1100" w:type="dxa"/>
            <w:vAlign w:val="bottom"/>
            <w:gridSpan w:val="3"/>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40" w:type="dxa"/>
            <w:vAlign w:val="bottom"/>
            <w:shd w:val="clear" w:color="auto" w:fill="000000"/>
          </w:tcPr>
          <w:p>
            <w:pPr>
              <w:spacing w:after="0"/>
              <w:rPr>
                <w:sz w:val="12"/>
                <w:szCs w:val="12"/>
                <w:color w:val="auto"/>
              </w:rPr>
            </w:pPr>
          </w:p>
        </w:tc>
        <w:tc>
          <w:tcPr>
            <w:tcW w:w="1420" w:type="dxa"/>
            <w:vAlign w:val="bottom"/>
            <w:gridSpan w:val="5"/>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2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600" w:type="dxa"/>
            <w:vAlign w:val="bottom"/>
          </w:tcPr>
          <w:p>
            <w:pPr>
              <w:spacing w:after="0"/>
              <w:rPr>
                <w:sz w:val="14"/>
                <w:szCs w:val="14"/>
                <w:color w:val="auto"/>
              </w:rPr>
            </w:pPr>
          </w:p>
        </w:tc>
        <w:tc>
          <w:tcPr>
            <w:tcW w:w="15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40" w:type="dxa"/>
            <w:vAlign w:val="bottom"/>
            <w:shd w:val="clear" w:color="auto" w:fill="000000"/>
          </w:tcPr>
          <w:p>
            <w:pPr>
              <w:spacing w:after="0"/>
              <w:rPr>
                <w:sz w:val="14"/>
                <w:szCs w:val="14"/>
                <w:color w:val="auto"/>
              </w:rPr>
            </w:pPr>
          </w:p>
        </w:tc>
        <w:tc>
          <w:tcPr>
            <w:tcW w:w="142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3060" w:type="dxa"/>
            <w:vAlign w:val="bottom"/>
            <w:gridSpan w:val="9"/>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Comprehensive  Accumulated  Stockholders’</w:t>
            </w:r>
          </w:p>
        </w:tc>
        <w:tc>
          <w:tcPr>
            <w:tcW w:w="0" w:type="dxa"/>
            <w:vAlign w:val="bottom"/>
          </w:tcPr>
          <w:p>
            <w:pPr>
              <w:spacing w:after="0"/>
              <w:rPr>
                <w:sz w:val="1"/>
                <w:szCs w:val="1"/>
                <w:color w:val="auto"/>
              </w:rPr>
            </w:pPr>
          </w:p>
        </w:tc>
      </w:tr>
      <w:tr>
        <w:trPr>
          <w:trHeight w:val="169"/>
        </w:trPr>
        <w:tc>
          <w:tcPr>
            <w:tcW w:w="1600" w:type="dxa"/>
            <w:vAlign w:val="bottom"/>
            <w:tcBorders>
              <w:bottom w:val="single" w:sz="8" w:color="CCEEFF"/>
            </w:tcBorders>
          </w:tcPr>
          <w:p>
            <w:pPr>
              <w:spacing w:after="0"/>
              <w:rPr>
                <w:sz w:val="14"/>
                <w:szCs w:val="14"/>
                <w:color w:val="auto"/>
              </w:rPr>
            </w:pPr>
          </w:p>
        </w:tc>
        <w:tc>
          <w:tcPr>
            <w:tcW w:w="7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bottom w:val="single" w:sz="8" w:color="CCEEFF"/>
            </w:tcBorders>
          </w:tcPr>
          <w:p>
            <w:pPr>
              <w:spacing w:after="0"/>
              <w:rPr>
                <w:sz w:val="14"/>
                <w:szCs w:val="14"/>
                <w:color w:val="auto"/>
              </w:rPr>
            </w:pPr>
          </w:p>
        </w:tc>
        <w:tc>
          <w:tcPr>
            <w:tcW w:w="64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4"/>
                <w:szCs w:val="14"/>
                <w:color w:val="auto"/>
              </w:rPr>
            </w:pPr>
          </w:p>
        </w:tc>
        <w:tc>
          <w:tcPr>
            <w:tcW w:w="5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bottom w:val="single" w:sz="8" w:color="CCEEFF"/>
            </w:tcBorders>
          </w:tcPr>
          <w:p>
            <w:pPr>
              <w:spacing w:after="0"/>
              <w:rPr>
                <w:sz w:val="14"/>
                <w:szCs w:val="14"/>
                <w:color w:val="auto"/>
              </w:rPr>
            </w:pPr>
          </w:p>
        </w:tc>
        <w:tc>
          <w:tcPr>
            <w:tcW w:w="640" w:type="dxa"/>
            <w:vAlign w:val="bottom"/>
            <w:tcBorders>
              <w:top w:val="single" w:sz="8" w:color="auto"/>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top w:val="single" w:sz="8" w:color="auto"/>
              <w:bottom w:val="single" w:sz="8" w:color="auto"/>
            </w:tcBorders>
            <w:shd w:val="clear" w:color="auto" w:fill="000000"/>
          </w:tcPr>
          <w:p>
            <w:pPr>
              <w:spacing w:after="0"/>
              <w:rPr>
                <w:sz w:val="14"/>
                <w:szCs w:val="14"/>
                <w:color w:val="auto"/>
              </w:rPr>
            </w:pP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bottom w:val="single" w:sz="8" w:color="CCEEFF"/>
            </w:tcBorders>
          </w:tcPr>
          <w:p>
            <w:pPr>
              <w:spacing w:after="0"/>
              <w:rPr>
                <w:sz w:val="14"/>
                <w:szCs w:val="14"/>
                <w:color w:val="auto"/>
              </w:rPr>
            </w:pPr>
          </w:p>
        </w:tc>
        <w:tc>
          <w:tcPr>
            <w:tcW w:w="64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bottom w:val="single" w:sz="8" w:color="CCEEFF"/>
            </w:tcBorders>
          </w:tcPr>
          <w:p>
            <w:pPr>
              <w:spacing w:after="0"/>
              <w:rPr>
                <w:sz w:val="14"/>
                <w:szCs w:val="14"/>
                <w:color w:val="auto"/>
              </w:rPr>
            </w:pPr>
          </w:p>
        </w:tc>
        <w:tc>
          <w:tcPr>
            <w:tcW w:w="40" w:type="dxa"/>
            <w:vAlign w:val="bottom"/>
            <w:tcBorders>
              <w:top w:val="single" w:sz="8" w:color="auto"/>
              <w:bottom w:val="single" w:sz="8" w:color="CCEEFF"/>
            </w:tcBorders>
          </w:tcPr>
          <w:p>
            <w:pPr>
              <w:spacing w:after="0"/>
              <w:rPr>
                <w:sz w:val="14"/>
                <w:szCs w:val="14"/>
                <w:color w:val="auto"/>
              </w:rPr>
            </w:pPr>
          </w:p>
        </w:tc>
        <w:tc>
          <w:tcPr>
            <w:tcW w:w="64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60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Balances as of February</w:t>
            </w:r>
          </w:p>
        </w:tc>
        <w:tc>
          <w:tcPr>
            <w:tcW w:w="1100" w:type="dxa"/>
            <w:vAlign w:val="bottom"/>
            <w:gridSpan w:val="3"/>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000000"/>
          </w:tcPr>
          <w:p>
            <w:pPr>
              <w:spacing w:after="0"/>
              <w:rPr>
                <w:sz w:val="9"/>
                <w:szCs w:val="9"/>
                <w:color w:val="auto"/>
              </w:rPr>
            </w:pPr>
          </w:p>
        </w:tc>
        <w:tc>
          <w:tcPr>
            <w:tcW w:w="980" w:type="dxa"/>
            <w:vAlign w:val="bottom"/>
            <w:tcBorders>
              <w:left w:val="single" w:sz="8" w:color="CCEEFF"/>
            </w:tcBorders>
            <w:gridSpan w:val="3"/>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3,197,975</w:t>
            </w:r>
          </w:p>
        </w:tc>
        <w:tc>
          <w:tcPr>
            <w:tcW w:w="480" w:type="dxa"/>
            <w:vAlign w:val="bottom"/>
            <w:gridSpan w:val="2"/>
            <w:vMerge w:val="restart"/>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3"/>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6, 2024 (inception)</w:t>
            </w:r>
          </w:p>
        </w:tc>
        <w:tc>
          <w:tcPr>
            <w:tcW w:w="1100" w:type="dxa"/>
            <w:vAlign w:val="bottom"/>
            <w:gridSpan w:val="3"/>
            <w:vMerge w:val="continue"/>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720" w:type="dxa"/>
            <w:vAlign w:val="bottom"/>
            <w:gridSpan w:val="3"/>
            <w:vMerge w:val="continue"/>
            <w:shd w:val="clear" w:color="auto" w:fill="CCEEFF"/>
          </w:tcPr>
          <w:p>
            <w:pPr>
              <w:spacing w:after="0"/>
              <w:rPr>
                <w:sz w:val="15"/>
                <w:szCs w:val="15"/>
                <w:color w:val="auto"/>
              </w:rPr>
            </w:pPr>
          </w:p>
        </w:tc>
        <w:tc>
          <w:tcPr>
            <w:tcW w:w="520" w:type="dxa"/>
            <w:vAlign w:val="bottom"/>
            <w:tcBorders>
              <w:right w:val="single" w:sz="8" w:color="CCEEFF"/>
            </w:tcBorders>
            <w:vMerge w:val="continue"/>
            <w:shd w:val="clear" w:color="auto" w:fill="CCEEFF"/>
          </w:tcPr>
          <w:p>
            <w:pPr>
              <w:spacing w:after="0"/>
              <w:rPr>
                <w:sz w:val="15"/>
                <w:szCs w:val="15"/>
                <w:color w:val="auto"/>
              </w:rPr>
            </w:pPr>
          </w:p>
        </w:tc>
        <w:tc>
          <w:tcPr>
            <w:tcW w:w="40" w:type="dxa"/>
            <w:vAlign w:val="bottom"/>
            <w:shd w:val="clear" w:color="auto" w:fill="000000"/>
          </w:tcPr>
          <w:p>
            <w:pPr>
              <w:spacing w:after="0"/>
              <w:rPr>
                <w:sz w:val="15"/>
                <w:szCs w:val="15"/>
                <w:color w:val="auto"/>
              </w:rPr>
            </w:pPr>
          </w:p>
        </w:tc>
        <w:tc>
          <w:tcPr>
            <w:tcW w:w="980" w:type="dxa"/>
            <w:vAlign w:val="bottom"/>
            <w:tcBorders>
              <w:left w:val="single" w:sz="8" w:color="CCEEFF"/>
            </w:tcBorders>
            <w:gridSpan w:val="3"/>
            <w:vMerge w:val="continue"/>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28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180" w:type="dxa"/>
            <w:vAlign w:val="bottom"/>
            <w:gridSpan w:val="3"/>
            <w:vMerge w:val="continue"/>
            <w:shd w:val="clear" w:color="auto" w:fill="CCEEFF"/>
          </w:tcPr>
          <w:p>
            <w:pPr>
              <w:spacing w:after="0"/>
              <w:rPr>
                <w:sz w:val="15"/>
                <w:szCs w:val="15"/>
                <w:color w:val="auto"/>
              </w:rPr>
            </w:pPr>
          </w:p>
        </w:tc>
        <w:tc>
          <w:tcPr>
            <w:tcW w:w="980" w:type="dxa"/>
            <w:vAlign w:val="bottom"/>
            <w:gridSpan w:val="3"/>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000000"/>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2,207,553</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118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16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A</w:t>
            </w: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000000"/>
          </w:tcPr>
          <w:p>
            <w:pPr>
              <w:spacing w:after="0"/>
              <w:rPr>
                <w:sz w:val="10"/>
                <w:szCs w:val="10"/>
                <w:color w:val="auto"/>
              </w:rPr>
            </w:pPr>
          </w:p>
        </w:tc>
        <w:tc>
          <w:tcPr>
            <w:tcW w:w="6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convertible preferred</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 net of issuance</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20,000,000</w:t>
            </w:r>
          </w:p>
        </w:tc>
        <w:tc>
          <w:tcPr>
            <w:tcW w:w="26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2,931</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000000"/>
          </w:tcPr>
          <w:p>
            <w:pPr>
              <w:spacing w:after="0"/>
              <w:rPr>
                <w:sz w:val="12"/>
                <w:szCs w:val="12"/>
                <w:color w:val="auto"/>
              </w:rPr>
            </w:pPr>
          </w:p>
        </w:tc>
        <w:tc>
          <w:tcPr>
            <w:tcW w:w="700" w:type="dxa"/>
            <w:vAlign w:val="bottom"/>
            <w:tcBorders>
              <w:left w:val="single" w:sz="8" w:color="CCEEFF"/>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costs of $69</w:t>
            </w:r>
          </w:p>
        </w:tc>
        <w:tc>
          <w:tcPr>
            <w:tcW w:w="84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tcBorders>
              <w:right w:val="single" w:sz="8" w:color="CCEEFF"/>
            </w:tcBorders>
            <w:vMerge w:val="continue"/>
            <w:shd w:val="clear" w:color="auto" w:fill="CCEEFF"/>
          </w:tcPr>
          <w:p>
            <w:pPr>
              <w:spacing w:after="0"/>
              <w:rPr>
                <w:sz w:val="14"/>
                <w:szCs w:val="14"/>
                <w:color w:val="auto"/>
              </w:rPr>
            </w:pPr>
          </w:p>
        </w:tc>
        <w:tc>
          <w:tcPr>
            <w:tcW w:w="40" w:type="dxa"/>
            <w:vAlign w:val="bottom"/>
            <w:shd w:val="clear" w:color="auto" w:fill="000000"/>
          </w:tcPr>
          <w:p>
            <w:pPr>
              <w:spacing w:after="0"/>
              <w:rPr>
                <w:sz w:val="14"/>
                <w:szCs w:val="14"/>
                <w:color w:val="auto"/>
              </w:rPr>
            </w:pPr>
          </w:p>
        </w:tc>
        <w:tc>
          <w:tcPr>
            <w:tcW w:w="700" w:type="dxa"/>
            <w:vAlign w:val="bottom"/>
            <w:tcBorders>
              <w:left w:val="single" w:sz="8" w:color="CCEEFF"/>
            </w:tcBorders>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3"/>
            <w:vMerge w:val="continue"/>
            <w:shd w:val="clear" w:color="auto" w:fill="CCEEFF"/>
          </w:tcPr>
          <w:p>
            <w:pPr>
              <w:spacing w:after="0"/>
              <w:rPr>
                <w:sz w:val="14"/>
                <w:szCs w:val="14"/>
                <w:color w:val="auto"/>
              </w:rPr>
            </w:pPr>
          </w:p>
        </w:tc>
        <w:tc>
          <w:tcPr>
            <w:tcW w:w="980" w:type="dxa"/>
            <w:vAlign w:val="bottom"/>
            <w:gridSpan w:val="3"/>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Exchange of Series A</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shd w:val="clear" w:color="auto" w:fill="000000"/>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convertible preferred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 for Series B non-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voting convertible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preferred stock upon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the closing of the</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(20,000,000)</w:t>
            </w:r>
          </w:p>
        </w:tc>
        <w:tc>
          <w:tcPr>
            <w:tcW w:w="260" w:type="dxa"/>
            <w:vAlign w:val="bottom"/>
          </w:tcPr>
          <w:p>
            <w:pPr>
              <w:spacing w:after="0"/>
              <w:rPr>
                <w:sz w:val="12"/>
                <w:szCs w:val="12"/>
                <w:color w:val="auto"/>
              </w:rPr>
            </w:pPr>
          </w:p>
        </w:tc>
        <w:tc>
          <w:tcPr>
            <w:tcW w:w="4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w w:val="97"/>
              </w:rPr>
              <w:t>(2,931)</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000000"/>
          </w:tcPr>
          <w:p>
            <w:pPr>
              <w:spacing w:after="0"/>
              <w:rPr>
                <w:sz w:val="12"/>
                <w:szCs w:val="12"/>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137,138</w:t>
            </w:r>
          </w:p>
        </w:tc>
        <w:tc>
          <w:tcPr>
            <w:tcW w:w="280" w:type="dxa"/>
            <w:vAlign w:val="bottom"/>
          </w:tcPr>
          <w:p>
            <w:pPr>
              <w:spacing w:after="0"/>
              <w:rPr>
                <w:sz w:val="12"/>
                <w:szCs w:val="12"/>
                <w:color w:val="auto"/>
              </w:rPr>
            </w:pP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2,931</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2,931</w:t>
            </w:r>
          </w:p>
        </w:tc>
        <w:tc>
          <w:tcPr>
            <w:tcW w:w="0" w:type="dxa"/>
            <w:vAlign w:val="bottom"/>
          </w:tcPr>
          <w:p>
            <w:pPr>
              <w:spacing w:after="0"/>
              <w:rPr>
                <w:sz w:val="1"/>
                <w:szCs w:val="1"/>
                <w:color w:val="auto"/>
              </w:rPr>
            </w:pPr>
          </w:p>
        </w:tc>
      </w:tr>
      <w:tr>
        <w:trPr>
          <w:trHeight w:val="171"/>
        </w:trPr>
        <w:tc>
          <w:tcPr>
            <w:tcW w:w="1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reverse capitalization</w:t>
            </w:r>
          </w:p>
        </w:tc>
        <w:tc>
          <w:tcPr>
            <w:tcW w:w="8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shd w:val="clear" w:color="auto" w:fill="000000"/>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 of convertible</w:t>
            </w: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000000"/>
          </w:tcPr>
          <w:p>
            <w:pPr>
              <w:spacing w:after="0"/>
              <w:rPr>
                <w:sz w:val="10"/>
                <w:szCs w:val="10"/>
                <w:color w:val="auto"/>
              </w:rPr>
            </w:pPr>
          </w:p>
        </w:tc>
        <w:tc>
          <w:tcPr>
            <w:tcW w:w="6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notes (including</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accrued interest) into</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common stock upon the</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closing of the reverse</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000000"/>
          </w:tcPr>
          <w:p>
            <w:pPr>
              <w:spacing w:after="0"/>
              <w:rPr>
                <w:sz w:val="12"/>
                <w:szCs w:val="12"/>
                <w:color w:val="auto"/>
              </w:rPr>
            </w:pPr>
          </w:p>
        </w:tc>
        <w:tc>
          <w:tcPr>
            <w:tcW w:w="700" w:type="dxa"/>
            <w:vAlign w:val="bottom"/>
            <w:tcBorders>
              <w:left w:val="single" w:sz="8" w:color="CCEEFF"/>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2,722,207</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26,445</w:t>
            </w:r>
          </w:p>
        </w:tc>
        <w:tc>
          <w:tcPr>
            <w:tcW w:w="100" w:type="dxa"/>
            <w:vAlign w:val="bottom"/>
            <w:shd w:val="clear" w:color="auto" w:fill="CCEEFF"/>
          </w:tcPr>
          <w:p>
            <w:pPr>
              <w:spacing w:after="0"/>
              <w:rPr>
                <w:sz w:val="12"/>
                <w:szCs w:val="12"/>
                <w:color w:val="auto"/>
              </w:rPr>
            </w:pPr>
          </w:p>
        </w:tc>
        <w:tc>
          <w:tcPr>
            <w:tcW w:w="118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26,448</w:t>
            </w:r>
          </w:p>
        </w:tc>
        <w:tc>
          <w:tcPr>
            <w:tcW w:w="0" w:type="dxa"/>
            <w:vAlign w:val="bottom"/>
          </w:tcPr>
          <w:p>
            <w:pPr>
              <w:spacing w:after="0"/>
              <w:rPr>
                <w:sz w:val="1"/>
                <w:szCs w:val="1"/>
                <w:color w:val="auto"/>
              </w:rPr>
            </w:pPr>
          </w:p>
        </w:tc>
      </w:tr>
      <w:tr>
        <w:trPr>
          <w:trHeight w:val="171"/>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recapitalization</w:t>
            </w:r>
          </w:p>
        </w:tc>
        <w:tc>
          <w:tcPr>
            <w:tcW w:w="84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tcBorders>
              <w:right w:val="single" w:sz="8" w:color="CCEEFF"/>
            </w:tcBorders>
            <w:vMerge w:val="continue"/>
            <w:shd w:val="clear" w:color="auto" w:fill="CCEEFF"/>
          </w:tcPr>
          <w:p>
            <w:pPr>
              <w:spacing w:after="0"/>
              <w:rPr>
                <w:sz w:val="14"/>
                <w:szCs w:val="14"/>
                <w:color w:val="auto"/>
              </w:rPr>
            </w:pPr>
          </w:p>
        </w:tc>
        <w:tc>
          <w:tcPr>
            <w:tcW w:w="40" w:type="dxa"/>
            <w:vAlign w:val="bottom"/>
            <w:shd w:val="clear" w:color="auto" w:fill="000000"/>
          </w:tcPr>
          <w:p>
            <w:pPr>
              <w:spacing w:after="0"/>
              <w:rPr>
                <w:sz w:val="14"/>
                <w:szCs w:val="14"/>
                <w:color w:val="auto"/>
              </w:rPr>
            </w:pPr>
          </w:p>
        </w:tc>
        <w:tc>
          <w:tcPr>
            <w:tcW w:w="700" w:type="dxa"/>
            <w:vAlign w:val="bottom"/>
            <w:tcBorders>
              <w:left w:val="single" w:sz="8" w:color="CCEEFF"/>
            </w:tcBorders>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3"/>
            <w:vMerge w:val="continue"/>
            <w:shd w:val="clear" w:color="auto" w:fill="CCEEFF"/>
          </w:tcPr>
          <w:p>
            <w:pPr>
              <w:spacing w:after="0"/>
              <w:rPr>
                <w:sz w:val="14"/>
                <w:szCs w:val="14"/>
                <w:color w:val="auto"/>
              </w:rPr>
            </w:pPr>
          </w:p>
        </w:tc>
        <w:tc>
          <w:tcPr>
            <w:tcW w:w="980" w:type="dxa"/>
            <w:vAlign w:val="bottom"/>
            <w:gridSpan w:val="3"/>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shd w:val="clear" w:color="auto" w:fill="000000"/>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and pre-funded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warrants in the Pre-</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000000"/>
          </w:tcPr>
          <w:p>
            <w:pPr>
              <w:spacing w:after="0"/>
              <w:rPr>
                <w:sz w:val="12"/>
                <w:szCs w:val="12"/>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20,061,932</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2"/>
                <w:szCs w:val="12"/>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248,437</w:t>
            </w:r>
          </w:p>
        </w:tc>
        <w:tc>
          <w:tcPr>
            <w:tcW w:w="100" w:type="dxa"/>
            <w:vAlign w:val="bottom"/>
          </w:tcPr>
          <w:p>
            <w:pPr>
              <w:spacing w:after="0"/>
              <w:rPr>
                <w:sz w:val="12"/>
                <w:szCs w:val="12"/>
                <w:color w:val="auto"/>
              </w:rPr>
            </w:pPr>
          </w:p>
        </w:tc>
        <w:tc>
          <w:tcPr>
            <w:tcW w:w="11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248,457</w:t>
            </w:r>
          </w:p>
        </w:tc>
        <w:tc>
          <w:tcPr>
            <w:tcW w:w="0" w:type="dxa"/>
            <w:vAlign w:val="bottom"/>
          </w:tcPr>
          <w:p>
            <w:pPr>
              <w:spacing w:after="0"/>
              <w:rPr>
                <w:sz w:val="1"/>
                <w:szCs w:val="1"/>
                <w:color w:val="auto"/>
              </w:rPr>
            </w:pPr>
          </w:p>
        </w:tc>
      </w:tr>
      <w:tr>
        <w:trPr>
          <w:trHeight w:val="171"/>
        </w:trPr>
        <w:tc>
          <w:tcPr>
            <w:tcW w:w="1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Closing Financing</w:t>
            </w:r>
          </w:p>
        </w:tc>
        <w:tc>
          <w:tcPr>
            <w:tcW w:w="8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shd w:val="clear" w:color="auto" w:fill="000000"/>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costs of Pre-</w:t>
            </w: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000000"/>
          </w:tcPr>
          <w:p>
            <w:pPr>
              <w:spacing w:after="0"/>
              <w:rPr>
                <w:sz w:val="10"/>
                <w:szCs w:val="10"/>
                <w:color w:val="auto"/>
              </w:rPr>
            </w:pPr>
          </w:p>
        </w:tc>
        <w:tc>
          <w:tcPr>
            <w:tcW w:w="6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Closing Financing and</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000000"/>
          </w:tcPr>
          <w:p>
            <w:pPr>
              <w:spacing w:after="0"/>
              <w:rPr>
                <w:sz w:val="12"/>
                <w:szCs w:val="12"/>
                <w:color w:val="auto"/>
              </w:rPr>
            </w:pPr>
          </w:p>
        </w:tc>
        <w:tc>
          <w:tcPr>
            <w:tcW w:w="700" w:type="dxa"/>
            <w:vAlign w:val="bottom"/>
            <w:tcBorders>
              <w:left w:val="single" w:sz="8" w:color="CCEEFF"/>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(20,504)</w:t>
            </w:r>
          </w:p>
        </w:tc>
        <w:tc>
          <w:tcPr>
            <w:tcW w:w="100" w:type="dxa"/>
            <w:vAlign w:val="bottom"/>
            <w:shd w:val="clear" w:color="auto" w:fill="CCEEFF"/>
          </w:tcPr>
          <w:p>
            <w:pPr>
              <w:spacing w:after="0"/>
              <w:rPr>
                <w:sz w:val="12"/>
                <w:szCs w:val="12"/>
                <w:color w:val="auto"/>
              </w:rPr>
            </w:pPr>
          </w:p>
        </w:tc>
        <w:tc>
          <w:tcPr>
            <w:tcW w:w="118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(20,504)</w:t>
            </w:r>
          </w:p>
        </w:tc>
        <w:tc>
          <w:tcPr>
            <w:tcW w:w="0" w:type="dxa"/>
            <w:vAlign w:val="bottom"/>
          </w:tcPr>
          <w:p>
            <w:pPr>
              <w:spacing w:after="0"/>
              <w:rPr>
                <w:sz w:val="1"/>
                <w:szCs w:val="1"/>
                <w:color w:val="auto"/>
              </w:rPr>
            </w:pPr>
          </w:p>
        </w:tc>
      </w:tr>
      <w:tr>
        <w:trPr>
          <w:trHeight w:val="171"/>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reverse recapitalization</w:t>
            </w:r>
          </w:p>
        </w:tc>
        <w:tc>
          <w:tcPr>
            <w:tcW w:w="84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tcBorders>
              <w:right w:val="single" w:sz="8" w:color="CCEEFF"/>
            </w:tcBorders>
            <w:vMerge w:val="continue"/>
            <w:shd w:val="clear" w:color="auto" w:fill="CCEEFF"/>
          </w:tcPr>
          <w:p>
            <w:pPr>
              <w:spacing w:after="0"/>
              <w:rPr>
                <w:sz w:val="14"/>
                <w:szCs w:val="14"/>
                <w:color w:val="auto"/>
              </w:rPr>
            </w:pPr>
          </w:p>
        </w:tc>
        <w:tc>
          <w:tcPr>
            <w:tcW w:w="40" w:type="dxa"/>
            <w:vAlign w:val="bottom"/>
            <w:shd w:val="clear" w:color="auto" w:fill="000000"/>
          </w:tcPr>
          <w:p>
            <w:pPr>
              <w:spacing w:after="0"/>
              <w:rPr>
                <w:sz w:val="14"/>
                <w:szCs w:val="14"/>
                <w:color w:val="auto"/>
              </w:rPr>
            </w:pPr>
          </w:p>
        </w:tc>
        <w:tc>
          <w:tcPr>
            <w:tcW w:w="700" w:type="dxa"/>
            <w:vAlign w:val="bottom"/>
            <w:tcBorders>
              <w:left w:val="single" w:sz="8" w:color="CCEEFF"/>
            </w:tcBorders>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3"/>
            <w:vMerge w:val="continue"/>
            <w:shd w:val="clear" w:color="auto" w:fill="CCEEFF"/>
          </w:tcPr>
          <w:p>
            <w:pPr>
              <w:spacing w:after="0"/>
              <w:rPr>
                <w:sz w:val="14"/>
                <w:szCs w:val="14"/>
                <w:color w:val="auto"/>
              </w:rPr>
            </w:pPr>
          </w:p>
        </w:tc>
        <w:tc>
          <w:tcPr>
            <w:tcW w:w="980" w:type="dxa"/>
            <w:vAlign w:val="bottom"/>
            <w:gridSpan w:val="3"/>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shd w:val="clear" w:color="auto" w:fill="000000"/>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to former stockholders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of ARCA biopharma,</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Inc. in connection with</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the closing of reverse</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000000"/>
          </w:tcPr>
          <w:p>
            <w:pPr>
              <w:spacing w:after="0"/>
              <w:rPr>
                <w:sz w:val="12"/>
                <w:szCs w:val="12"/>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1,208,883</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4,999</w:t>
            </w:r>
          </w:p>
        </w:tc>
        <w:tc>
          <w:tcPr>
            <w:tcW w:w="100" w:type="dxa"/>
            <w:vAlign w:val="bottom"/>
          </w:tcPr>
          <w:p>
            <w:pPr>
              <w:spacing w:after="0"/>
              <w:rPr>
                <w:sz w:val="12"/>
                <w:szCs w:val="12"/>
                <w:color w:val="auto"/>
              </w:rPr>
            </w:pPr>
          </w:p>
        </w:tc>
        <w:tc>
          <w:tcPr>
            <w:tcW w:w="11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171"/>
        </w:trPr>
        <w:tc>
          <w:tcPr>
            <w:tcW w:w="1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recapitalization</w:t>
            </w:r>
          </w:p>
        </w:tc>
        <w:tc>
          <w:tcPr>
            <w:tcW w:w="8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shd w:val="clear" w:color="auto" w:fill="000000"/>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w:t>
            </w: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000000"/>
          </w:tcPr>
          <w:p>
            <w:pPr>
              <w:spacing w:after="0"/>
              <w:rPr>
                <w:sz w:val="10"/>
                <w:szCs w:val="10"/>
                <w:color w:val="auto"/>
              </w:rPr>
            </w:pPr>
          </w:p>
        </w:tc>
        <w:tc>
          <w:tcPr>
            <w:tcW w:w="6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 Series A non-</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voting convertible</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preferred stock, and</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pre-funded warrants in</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connection with the</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2,439</w:t>
            </w:r>
          </w:p>
        </w:tc>
        <w:tc>
          <w:tcPr>
            <w:tcW w:w="120" w:type="dxa"/>
            <w:vAlign w:val="bottom"/>
            <w:shd w:val="clear" w:color="auto" w:fill="CCEEFF"/>
          </w:tcPr>
          <w:p>
            <w:pPr>
              <w:spacing w:after="0"/>
              <w:rPr>
                <w:sz w:val="12"/>
                <w:szCs w:val="12"/>
                <w:color w:val="auto"/>
              </w:rPr>
            </w:pPr>
          </w:p>
        </w:tc>
        <w:tc>
          <w:tcPr>
            <w:tcW w:w="5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56,097</w:t>
            </w:r>
          </w:p>
        </w:tc>
        <w:tc>
          <w:tcPr>
            <w:tcW w:w="40" w:type="dxa"/>
            <w:vAlign w:val="bottom"/>
            <w:shd w:val="clear" w:color="auto" w:fill="000000"/>
          </w:tcPr>
          <w:p>
            <w:pPr>
              <w:spacing w:after="0"/>
              <w:rPr>
                <w:sz w:val="12"/>
                <w:szCs w:val="12"/>
                <w:color w:val="auto"/>
              </w:rPr>
            </w:pPr>
          </w:p>
        </w:tc>
        <w:tc>
          <w:tcPr>
            <w:tcW w:w="700" w:type="dxa"/>
            <w:vAlign w:val="bottom"/>
            <w:tcBorders>
              <w:left w:val="single" w:sz="8" w:color="CCEEFF"/>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5,600,000</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144,433</w:t>
            </w:r>
          </w:p>
        </w:tc>
        <w:tc>
          <w:tcPr>
            <w:tcW w:w="100" w:type="dxa"/>
            <w:vAlign w:val="bottom"/>
            <w:shd w:val="clear" w:color="auto" w:fill="CCEEFF"/>
          </w:tcPr>
          <w:p>
            <w:pPr>
              <w:spacing w:after="0"/>
              <w:rPr>
                <w:sz w:val="12"/>
                <w:szCs w:val="12"/>
                <w:color w:val="auto"/>
              </w:rPr>
            </w:pPr>
          </w:p>
        </w:tc>
        <w:tc>
          <w:tcPr>
            <w:tcW w:w="118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144,439</w:t>
            </w:r>
          </w:p>
        </w:tc>
        <w:tc>
          <w:tcPr>
            <w:tcW w:w="0" w:type="dxa"/>
            <w:vAlign w:val="bottom"/>
          </w:tcPr>
          <w:p>
            <w:pPr>
              <w:spacing w:after="0"/>
              <w:rPr>
                <w:sz w:val="1"/>
                <w:szCs w:val="1"/>
                <w:color w:val="auto"/>
              </w:rPr>
            </w:pPr>
          </w:p>
        </w:tc>
      </w:tr>
      <w:tr>
        <w:trPr>
          <w:trHeight w:val="171"/>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PIPE Financing</w:t>
            </w:r>
          </w:p>
        </w:tc>
        <w:tc>
          <w:tcPr>
            <w:tcW w:w="84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tcBorders>
              <w:right w:val="single" w:sz="8" w:color="CCEEFF"/>
            </w:tcBorders>
            <w:vMerge w:val="continue"/>
            <w:shd w:val="clear" w:color="auto" w:fill="CCEEFF"/>
          </w:tcPr>
          <w:p>
            <w:pPr>
              <w:spacing w:after="0"/>
              <w:rPr>
                <w:sz w:val="14"/>
                <w:szCs w:val="14"/>
                <w:color w:val="auto"/>
              </w:rPr>
            </w:pPr>
          </w:p>
        </w:tc>
        <w:tc>
          <w:tcPr>
            <w:tcW w:w="40" w:type="dxa"/>
            <w:vAlign w:val="bottom"/>
            <w:shd w:val="clear" w:color="auto" w:fill="000000"/>
          </w:tcPr>
          <w:p>
            <w:pPr>
              <w:spacing w:after="0"/>
              <w:rPr>
                <w:sz w:val="14"/>
                <w:szCs w:val="14"/>
                <w:color w:val="auto"/>
              </w:rPr>
            </w:pPr>
          </w:p>
        </w:tc>
        <w:tc>
          <w:tcPr>
            <w:tcW w:w="700" w:type="dxa"/>
            <w:vAlign w:val="bottom"/>
            <w:tcBorders>
              <w:left w:val="single" w:sz="8" w:color="CCEEFF"/>
            </w:tcBorders>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3"/>
            <w:vMerge w:val="continue"/>
            <w:shd w:val="clear" w:color="auto" w:fill="CCEEFF"/>
          </w:tcPr>
          <w:p>
            <w:pPr>
              <w:spacing w:after="0"/>
              <w:rPr>
                <w:sz w:val="14"/>
                <w:szCs w:val="14"/>
                <w:color w:val="auto"/>
              </w:rPr>
            </w:pPr>
          </w:p>
        </w:tc>
        <w:tc>
          <w:tcPr>
            <w:tcW w:w="980" w:type="dxa"/>
            <w:vAlign w:val="bottom"/>
            <w:gridSpan w:val="3"/>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costs of PIPE</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(3,263)</w:t>
            </w:r>
          </w:p>
        </w:tc>
        <w:tc>
          <w:tcPr>
            <w:tcW w:w="40" w:type="dxa"/>
            <w:vAlign w:val="bottom"/>
            <w:shd w:val="clear" w:color="auto" w:fill="000000"/>
          </w:tcPr>
          <w:p>
            <w:pPr>
              <w:spacing w:after="0"/>
              <w:rPr>
                <w:sz w:val="10"/>
                <w:szCs w:val="10"/>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(8,592)</w:t>
            </w:r>
          </w:p>
        </w:tc>
        <w:tc>
          <w:tcPr>
            <w:tcW w:w="100" w:type="dxa"/>
            <w:vAlign w:val="bottom"/>
          </w:tcPr>
          <w:p>
            <w:pPr>
              <w:spacing w:after="0"/>
              <w:rPr>
                <w:sz w:val="10"/>
                <w:szCs w:val="10"/>
                <w:color w:val="auto"/>
              </w:rPr>
            </w:pPr>
          </w:p>
        </w:tc>
        <w:tc>
          <w:tcPr>
            <w:tcW w:w="11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(8,592)</w:t>
            </w:r>
          </w:p>
        </w:tc>
        <w:tc>
          <w:tcPr>
            <w:tcW w:w="0" w:type="dxa"/>
            <w:vAlign w:val="bottom"/>
          </w:tcPr>
          <w:p>
            <w:pPr>
              <w:spacing w:after="0"/>
              <w:rPr>
                <w:sz w:val="1"/>
                <w:szCs w:val="1"/>
                <w:color w:val="auto"/>
              </w:rPr>
            </w:pPr>
          </w:p>
        </w:tc>
      </w:tr>
      <w:tr>
        <w:trPr>
          <w:trHeight w:val="171"/>
        </w:trPr>
        <w:tc>
          <w:tcPr>
            <w:tcW w:w="1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Financing</w:t>
            </w:r>
          </w:p>
        </w:tc>
        <w:tc>
          <w:tcPr>
            <w:tcW w:w="8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shd w:val="clear" w:color="auto" w:fill="000000"/>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 of Series A</w:t>
            </w: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000000"/>
          </w:tcPr>
          <w:p>
            <w:pPr>
              <w:spacing w:after="0"/>
              <w:rPr>
                <w:sz w:val="10"/>
                <w:szCs w:val="10"/>
                <w:color w:val="auto"/>
              </w:rPr>
            </w:pPr>
          </w:p>
        </w:tc>
        <w:tc>
          <w:tcPr>
            <w:tcW w:w="6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non-voting convertible</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preferred stock to</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(2,439)</w:t>
            </w:r>
          </w:p>
        </w:tc>
        <w:tc>
          <w:tcPr>
            <w:tcW w:w="120" w:type="dxa"/>
            <w:vAlign w:val="bottom"/>
            <w:shd w:val="clear" w:color="auto" w:fill="CCEEFF"/>
          </w:tcPr>
          <w:p>
            <w:pPr>
              <w:spacing w:after="0"/>
              <w:rPr>
                <w:sz w:val="12"/>
                <w:szCs w:val="12"/>
                <w:color w:val="auto"/>
              </w:rPr>
            </w:pPr>
          </w:p>
        </w:tc>
        <w:tc>
          <w:tcPr>
            <w:tcW w:w="5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(52,834)</w:t>
            </w:r>
          </w:p>
        </w:tc>
        <w:tc>
          <w:tcPr>
            <w:tcW w:w="40" w:type="dxa"/>
            <w:vAlign w:val="bottom"/>
            <w:shd w:val="clear" w:color="auto" w:fill="000000"/>
          </w:tcPr>
          <w:p>
            <w:pPr>
              <w:spacing w:after="0"/>
              <w:rPr>
                <w:sz w:val="12"/>
                <w:szCs w:val="12"/>
                <w:color w:val="auto"/>
              </w:rPr>
            </w:pPr>
          </w:p>
        </w:tc>
        <w:tc>
          <w:tcPr>
            <w:tcW w:w="700" w:type="dxa"/>
            <w:vAlign w:val="bottom"/>
            <w:tcBorders>
              <w:left w:val="single" w:sz="8" w:color="CCEEFF"/>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2,439,000</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52,832</w:t>
            </w:r>
          </w:p>
        </w:tc>
        <w:tc>
          <w:tcPr>
            <w:tcW w:w="100" w:type="dxa"/>
            <w:vAlign w:val="bottom"/>
            <w:shd w:val="clear" w:color="auto" w:fill="CCEEFF"/>
          </w:tcPr>
          <w:p>
            <w:pPr>
              <w:spacing w:after="0"/>
              <w:rPr>
                <w:sz w:val="12"/>
                <w:szCs w:val="12"/>
                <w:color w:val="auto"/>
              </w:rPr>
            </w:pPr>
          </w:p>
        </w:tc>
        <w:tc>
          <w:tcPr>
            <w:tcW w:w="118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52,834</w:t>
            </w:r>
          </w:p>
        </w:tc>
        <w:tc>
          <w:tcPr>
            <w:tcW w:w="0" w:type="dxa"/>
            <w:vAlign w:val="bottom"/>
          </w:tcPr>
          <w:p>
            <w:pPr>
              <w:spacing w:after="0"/>
              <w:rPr>
                <w:sz w:val="1"/>
                <w:szCs w:val="1"/>
                <w:color w:val="auto"/>
              </w:rPr>
            </w:pPr>
          </w:p>
        </w:tc>
      </w:tr>
      <w:tr>
        <w:trPr>
          <w:trHeight w:val="171"/>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w:t>
            </w:r>
          </w:p>
        </w:tc>
        <w:tc>
          <w:tcPr>
            <w:tcW w:w="84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tcBorders>
              <w:right w:val="single" w:sz="8" w:color="CCEEFF"/>
            </w:tcBorders>
            <w:vMerge w:val="continue"/>
            <w:shd w:val="clear" w:color="auto" w:fill="CCEEFF"/>
          </w:tcPr>
          <w:p>
            <w:pPr>
              <w:spacing w:after="0"/>
              <w:rPr>
                <w:sz w:val="14"/>
                <w:szCs w:val="14"/>
                <w:color w:val="auto"/>
              </w:rPr>
            </w:pPr>
          </w:p>
        </w:tc>
        <w:tc>
          <w:tcPr>
            <w:tcW w:w="40" w:type="dxa"/>
            <w:vAlign w:val="bottom"/>
            <w:shd w:val="clear" w:color="auto" w:fill="000000"/>
          </w:tcPr>
          <w:p>
            <w:pPr>
              <w:spacing w:after="0"/>
              <w:rPr>
                <w:sz w:val="14"/>
                <w:szCs w:val="14"/>
                <w:color w:val="auto"/>
              </w:rPr>
            </w:pPr>
          </w:p>
        </w:tc>
        <w:tc>
          <w:tcPr>
            <w:tcW w:w="700" w:type="dxa"/>
            <w:vAlign w:val="bottom"/>
            <w:tcBorders>
              <w:left w:val="single" w:sz="8" w:color="CCEEFF"/>
            </w:tcBorders>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3"/>
            <w:vMerge w:val="continue"/>
            <w:shd w:val="clear" w:color="auto" w:fill="CCEEFF"/>
          </w:tcPr>
          <w:p>
            <w:pPr>
              <w:spacing w:after="0"/>
              <w:rPr>
                <w:sz w:val="14"/>
                <w:szCs w:val="14"/>
                <w:color w:val="auto"/>
              </w:rPr>
            </w:pPr>
          </w:p>
        </w:tc>
        <w:tc>
          <w:tcPr>
            <w:tcW w:w="980" w:type="dxa"/>
            <w:vAlign w:val="bottom"/>
            <w:gridSpan w:val="3"/>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shd w:val="clear" w:color="auto" w:fill="000000"/>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under employee stock</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000000"/>
          </w:tcPr>
          <w:p>
            <w:pPr>
              <w:spacing w:after="0"/>
              <w:rPr>
                <w:sz w:val="12"/>
                <w:szCs w:val="12"/>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2,960</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2"/>
                <w:szCs w:val="12"/>
                <w:color w:val="auto"/>
              </w:rPr>
            </w:pPr>
          </w:p>
        </w:tc>
        <w:tc>
          <w:tcPr>
            <w:tcW w:w="11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71"/>
        </w:trPr>
        <w:tc>
          <w:tcPr>
            <w:tcW w:w="1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 plan</w:t>
            </w:r>
          </w:p>
        </w:tc>
        <w:tc>
          <w:tcPr>
            <w:tcW w:w="8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shd w:val="clear" w:color="auto" w:fill="000000"/>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Reclassification of the</w:t>
            </w: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000000"/>
          </w:tcPr>
          <w:p>
            <w:pPr>
              <w:spacing w:after="0"/>
              <w:rPr>
                <w:sz w:val="10"/>
                <w:szCs w:val="10"/>
                <w:color w:val="auto"/>
              </w:rPr>
            </w:pPr>
          </w:p>
        </w:tc>
        <w:tc>
          <w:tcPr>
            <w:tcW w:w="6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Paruka warrant from</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000000"/>
          </w:tcPr>
          <w:p>
            <w:pPr>
              <w:spacing w:after="0"/>
              <w:rPr>
                <w:sz w:val="12"/>
                <w:szCs w:val="12"/>
                <w:color w:val="auto"/>
              </w:rPr>
            </w:pPr>
          </w:p>
        </w:tc>
        <w:tc>
          <w:tcPr>
            <w:tcW w:w="700" w:type="dxa"/>
            <w:vAlign w:val="bottom"/>
            <w:tcBorders>
              <w:left w:val="single" w:sz="8" w:color="CCEEFF"/>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10,357</w:t>
            </w:r>
          </w:p>
        </w:tc>
        <w:tc>
          <w:tcPr>
            <w:tcW w:w="100" w:type="dxa"/>
            <w:vAlign w:val="bottom"/>
            <w:shd w:val="clear" w:color="auto" w:fill="CCEEFF"/>
          </w:tcPr>
          <w:p>
            <w:pPr>
              <w:spacing w:after="0"/>
              <w:rPr>
                <w:sz w:val="12"/>
                <w:szCs w:val="12"/>
                <w:color w:val="auto"/>
              </w:rPr>
            </w:pPr>
          </w:p>
        </w:tc>
        <w:tc>
          <w:tcPr>
            <w:tcW w:w="118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10,357</w:t>
            </w:r>
          </w:p>
        </w:tc>
        <w:tc>
          <w:tcPr>
            <w:tcW w:w="0" w:type="dxa"/>
            <w:vAlign w:val="bottom"/>
          </w:tcPr>
          <w:p>
            <w:pPr>
              <w:spacing w:after="0"/>
              <w:rPr>
                <w:sz w:val="1"/>
                <w:szCs w:val="1"/>
                <w:color w:val="auto"/>
              </w:rPr>
            </w:pPr>
          </w:p>
        </w:tc>
      </w:tr>
      <w:tr>
        <w:trPr>
          <w:trHeight w:val="171"/>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liability to equity</w:t>
            </w:r>
          </w:p>
        </w:tc>
        <w:tc>
          <w:tcPr>
            <w:tcW w:w="84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tcBorders>
              <w:right w:val="single" w:sz="8" w:color="CCEEFF"/>
            </w:tcBorders>
            <w:vMerge w:val="continue"/>
            <w:shd w:val="clear" w:color="auto" w:fill="CCEEFF"/>
          </w:tcPr>
          <w:p>
            <w:pPr>
              <w:spacing w:after="0"/>
              <w:rPr>
                <w:sz w:val="14"/>
                <w:szCs w:val="14"/>
                <w:color w:val="auto"/>
              </w:rPr>
            </w:pPr>
          </w:p>
        </w:tc>
        <w:tc>
          <w:tcPr>
            <w:tcW w:w="40" w:type="dxa"/>
            <w:vAlign w:val="bottom"/>
            <w:shd w:val="clear" w:color="auto" w:fill="000000"/>
          </w:tcPr>
          <w:p>
            <w:pPr>
              <w:spacing w:after="0"/>
              <w:rPr>
                <w:sz w:val="14"/>
                <w:szCs w:val="14"/>
                <w:color w:val="auto"/>
              </w:rPr>
            </w:pPr>
          </w:p>
        </w:tc>
        <w:tc>
          <w:tcPr>
            <w:tcW w:w="700" w:type="dxa"/>
            <w:vAlign w:val="bottom"/>
            <w:tcBorders>
              <w:left w:val="single" w:sz="8" w:color="CCEEFF"/>
            </w:tcBorders>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3"/>
            <w:vMerge w:val="continue"/>
            <w:shd w:val="clear" w:color="auto" w:fill="CCEEFF"/>
          </w:tcPr>
          <w:p>
            <w:pPr>
              <w:spacing w:after="0"/>
              <w:rPr>
                <w:sz w:val="14"/>
                <w:szCs w:val="14"/>
                <w:color w:val="auto"/>
              </w:rPr>
            </w:pPr>
          </w:p>
        </w:tc>
        <w:tc>
          <w:tcPr>
            <w:tcW w:w="980" w:type="dxa"/>
            <w:vAlign w:val="bottom"/>
            <w:gridSpan w:val="3"/>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000000"/>
          </w:tcPr>
          <w:p>
            <w:pPr>
              <w:spacing w:after="0"/>
              <w:rPr>
                <w:sz w:val="10"/>
                <w:szCs w:val="10"/>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4,562</w:t>
            </w:r>
          </w:p>
        </w:tc>
        <w:tc>
          <w:tcPr>
            <w:tcW w:w="100" w:type="dxa"/>
            <w:vAlign w:val="bottom"/>
          </w:tcPr>
          <w:p>
            <w:pPr>
              <w:spacing w:after="0"/>
              <w:rPr>
                <w:sz w:val="10"/>
                <w:szCs w:val="10"/>
                <w:color w:val="auto"/>
              </w:rPr>
            </w:pPr>
          </w:p>
        </w:tc>
        <w:tc>
          <w:tcPr>
            <w:tcW w:w="11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4,562</w:t>
            </w:r>
          </w:p>
        </w:tc>
        <w:tc>
          <w:tcPr>
            <w:tcW w:w="0" w:type="dxa"/>
            <w:vAlign w:val="bottom"/>
          </w:tcPr>
          <w:p>
            <w:pPr>
              <w:spacing w:after="0"/>
              <w:rPr>
                <w:sz w:val="1"/>
                <w:szCs w:val="1"/>
                <w:color w:val="auto"/>
              </w:rPr>
            </w:pPr>
          </w:p>
        </w:tc>
      </w:tr>
      <w:tr>
        <w:trPr>
          <w:trHeight w:val="171"/>
        </w:trPr>
        <w:tc>
          <w:tcPr>
            <w:tcW w:w="1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expense</w:t>
            </w:r>
          </w:p>
        </w:tc>
        <w:tc>
          <w:tcPr>
            <w:tcW w:w="8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shd w:val="clear" w:color="auto" w:fill="000000"/>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 loss on</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5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000000"/>
          </w:tcPr>
          <w:p>
            <w:pPr>
              <w:spacing w:after="0"/>
              <w:rPr>
                <w:sz w:val="10"/>
                <w:szCs w:val="10"/>
                <w:color w:val="auto"/>
              </w:rPr>
            </w:pPr>
          </w:p>
        </w:tc>
        <w:tc>
          <w:tcPr>
            <w:tcW w:w="700" w:type="dxa"/>
            <w:vAlign w:val="bottom"/>
            <w:tcBorders>
              <w:left w:val="single" w:sz="8" w:color="CCEEFF"/>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(41)</w:t>
            </w:r>
          </w:p>
        </w:tc>
        <w:tc>
          <w:tcPr>
            <w:tcW w:w="160" w:type="dxa"/>
            <w:vAlign w:val="bottom"/>
            <w:shd w:val="clear" w:color="auto" w:fill="CCEEFF"/>
          </w:tcPr>
          <w:p>
            <w:pPr>
              <w:spacing w:after="0"/>
              <w:rPr>
                <w:sz w:val="10"/>
                <w:szCs w:val="10"/>
                <w:color w:val="auto"/>
              </w:rPr>
            </w:pPr>
          </w:p>
        </w:tc>
        <w:tc>
          <w:tcPr>
            <w:tcW w:w="98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71"/>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marketable securities</w:t>
            </w:r>
          </w:p>
        </w:tc>
        <w:tc>
          <w:tcPr>
            <w:tcW w:w="84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tcBorders>
              <w:right w:val="single" w:sz="8" w:color="CCEEFF"/>
            </w:tcBorders>
            <w:vMerge w:val="continue"/>
            <w:shd w:val="clear" w:color="auto" w:fill="CCEEFF"/>
          </w:tcPr>
          <w:p>
            <w:pPr>
              <w:spacing w:after="0"/>
              <w:rPr>
                <w:sz w:val="14"/>
                <w:szCs w:val="14"/>
                <w:color w:val="auto"/>
              </w:rPr>
            </w:pPr>
          </w:p>
        </w:tc>
        <w:tc>
          <w:tcPr>
            <w:tcW w:w="40" w:type="dxa"/>
            <w:vAlign w:val="bottom"/>
            <w:shd w:val="clear" w:color="auto" w:fill="000000"/>
          </w:tcPr>
          <w:p>
            <w:pPr>
              <w:spacing w:after="0"/>
              <w:rPr>
                <w:sz w:val="14"/>
                <w:szCs w:val="14"/>
                <w:color w:val="auto"/>
              </w:rPr>
            </w:pPr>
          </w:p>
        </w:tc>
        <w:tc>
          <w:tcPr>
            <w:tcW w:w="700" w:type="dxa"/>
            <w:vAlign w:val="bottom"/>
            <w:tcBorders>
              <w:left w:val="single" w:sz="8" w:color="CCEEFF"/>
            </w:tcBorders>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3"/>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000000"/>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(83,724)</w:t>
            </w:r>
          </w:p>
        </w:tc>
        <w:tc>
          <w:tcPr>
            <w:tcW w:w="1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(83,724)</w:t>
            </w:r>
          </w:p>
        </w:tc>
        <w:tc>
          <w:tcPr>
            <w:tcW w:w="0" w:type="dxa"/>
            <w:vAlign w:val="bottom"/>
          </w:tcPr>
          <w:p>
            <w:pPr>
              <w:spacing w:after="0"/>
              <w:rPr>
                <w:sz w:val="1"/>
                <w:szCs w:val="1"/>
                <w:color w:val="auto"/>
              </w:rPr>
            </w:pPr>
          </w:p>
        </w:tc>
      </w:tr>
      <w:tr>
        <w:trPr>
          <w:trHeight w:val="110"/>
        </w:trPr>
        <w:tc>
          <w:tcPr>
            <w:tcW w:w="1600" w:type="dxa"/>
            <w:vAlign w:val="bottom"/>
            <w:tcBorders>
              <w:top w:val="single" w:sz="8" w:color="CCEEFF"/>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Balances as of December</w:t>
            </w:r>
          </w:p>
        </w:tc>
        <w:tc>
          <w:tcPr>
            <w:tcW w:w="7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right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000000"/>
          </w:tcPr>
          <w:p>
            <w:pPr>
              <w:spacing w:after="0"/>
              <w:rPr>
                <w:sz w:val="9"/>
                <w:szCs w:val="9"/>
                <w:color w:val="auto"/>
              </w:rPr>
            </w:pPr>
          </w:p>
        </w:tc>
        <w:tc>
          <w:tcPr>
            <w:tcW w:w="620" w:type="dxa"/>
            <w:vAlign w:val="bottom"/>
            <w:tcBorders>
              <w:top w:val="single" w:sz="8" w:color="auto"/>
              <w:left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000000"/>
          </w:tcPr>
          <w:p>
            <w:pPr>
              <w:spacing w:after="0"/>
              <w:rPr>
                <w:sz w:val="19"/>
                <w:szCs w:val="19"/>
                <w:color w:val="auto"/>
              </w:rPr>
            </w:pPr>
          </w:p>
        </w:tc>
        <w:tc>
          <w:tcPr>
            <w:tcW w:w="700" w:type="dxa"/>
            <w:vAlign w:val="bottom"/>
            <w:tcBorders>
              <w:lef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137,138</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2,931</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37,440,510</w:t>
            </w:r>
          </w:p>
        </w:tc>
        <w:tc>
          <w:tcPr>
            <w:tcW w:w="48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463,018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3"/>
            <w:shd w:val="clear" w:color="auto" w:fill="CCEEFF"/>
          </w:tcPr>
          <w:p>
            <w:pPr>
              <w:jc w:val="right"/>
              <w:ind w:right="100"/>
              <w:spacing w:after="0" w:line="213" w:lineRule="exact"/>
              <w:rPr>
                <w:sz w:val="20"/>
                <w:szCs w:val="20"/>
                <w:color w:val="auto"/>
              </w:rPr>
            </w:pPr>
            <w:r>
              <w:rPr>
                <w:rFonts w:ascii="Times New Roman" w:cs="Times New Roman" w:eastAsia="Times New Roman" w:hAnsi="Times New Roman"/>
                <w:sz w:val="13"/>
                <w:szCs w:val="13"/>
                <w:color w:val="auto"/>
              </w:rPr>
              <w:t>(41</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 $</w:t>
            </w:r>
          </w:p>
        </w:tc>
        <w:tc>
          <w:tcPr>
            <w:tcW w:w="980" w:type="dxa"/>
            <w:vAlign w:val="bottom"/>
            <w:gridSpan w:val="3"/>
            <w:shd w:val="clear" w:color="auto" w:fill="CCEEFF"/>
          </w:tcPr>
          <w:p>
            <w:pPr>
              <w:jc w:val="right"/>
              <w:ind w:right="80"/>
              <w:spacing w:after="0" w:line="213" w:lineRule="exact"/>
              <w:rPr>
                <w:sz w:val="20"/>
                <w:szCs w:val="20"/>
                <w:color w:val="auto"/>
              </w:rPr>
            </w:pPr>
            <w:r>
              <w:rPr>
                <w:rFonts w:ascii="Times New Roman" w:cs="Times New Roman" w:eastAsia="Times New Roman" w:hAnsi="Times New Roman"/>
                <w:sz w:val="13"/>
                <w:szCs w:val="13"/>
                <w:color w:val="auto"/>
              </w:rPr>
              <w:t>(83,724</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 $</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382,221</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4" w:name="page95"/>
    <w:bookmarkEnd w:id="94"/>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ORUKA THERAPEUTICS, INC.</w:t>
      </w:r>
    </w:p>
    <w:p>
      <w:pPr>
        <w:spacing w:after="0" w:line="31"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loss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accretion of premiums and discounts on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Non-cash interest expense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Non-cash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Depreciation expense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Operating lease liability</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Related party accounts payable and other current liabilities</w:t>
      </w:r>
    </w:p>
    <w:p>
      <w:pPr>
        <w:spacing w:after="0" w:line="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p>
      <w:pPr>
        <w:spacing w:after="0" w:line="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issuance of Pre-Merger Oruka Series A Preferred Stock, net of issuance costs paid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issuance of notes payable to related party, net of issuance costs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Proceeds from the Pre-Closing Financing,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the PIPE Financing,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Cash acquired in connection with the reverse recapitalization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w:t>
      </w:r>
    </w:p>
    <w:p>
      <w:pPr>
        <w:spacing w:after="0" w:line="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63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at beginning of period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625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operating and financing activities: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lease liability arising from obtaining operating right-of-use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Assets acquired in connection with the reverse capitalization</w:t>
      </w:r>
    </w:p>
    <w:p>
      <w:pPr>
        <w:spacing w:after="0" w:line="9" w:lineRule="exact"/>
        <w:rPr>
          <w:sz w:val="20"/>
          <w:szCs w:val="20"/>
          <w:color w:val="auto"/>
        </w:rPr>
      </w:pPr>
    </w:p>
    <w:p>
      <w:pPr>
        <w:ind w:left="180" w:right="3780"/>
        <w:spacing w:after="0" w:line="265" w:lineRule="auto"/>
        <w:rPr>
          <w:sz w:val="20"/>
          <w:szCs w:val="20"/>
          <w:color w:val="auto"/>
        </w:rPr>
      </w:pPr>
      <w:r>
        <w:rPr>
          <w:rFonts w:ascii="Times New Roman" w:cs="Times New Roman" w:eastAsia="Times New Roman" w:hAnsi="Times New Roman"/>
          <w:sz w:val="17"/>
          <w:szCs w:val="17"/>
          <w:color w:val="auto"/>
        </w:rPr>
        <w:t>Other liabilities assumed in connection with the reverse recapitalization Non-cash accrued interest on convertible note converted 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Non-cash exchange of Pre-Merger Oruka Series A preferred stock for Series B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Conversion of Series A non-voting convertible preferred stock to common stock</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Reclassification of the Paruka warrant from liability to equity</w:t>
      </w:r>
    </w:p>
    <w:p>
      <w:pPr>
        <w:spacing w:after="0" w:line="207" w:lineRule="exact"/>
        <w:rPr>
          <w:sz w:val="20"/>
          <w:szCs w:val="20"/>
          <w:color w:val="auto"/>
        </w:rPr>
      </w:pPr>
    </w:p>
    <w:p>
      <w:pPr>
        <w:jc w:val="right"/>
        <w:ind w:right="5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Period from</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February 6,</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(Inception) to</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0294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14" w:lineRule="exact"/>
        <w:rPr>
          <w:sz w:val="20"/>
          <w:szCs w:val="20"/>
          <w:color w:val="auto"/>
        </w:rPr>
      </w:pPr>
    </w:p>
    <w:p>
      <w:pPr>
        <w:ind w:left="560" w:hanging="555"/>
        <w:spacing w:after="0"/>
        <w:tabs>
          <w:tab w:leader="none" w:pos="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(83,724)</w:t>
      </w:r>
    </w:p>
    <w:p>
      <w:pPr>
        <w:spacing w:after="0" w:line="22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14,919</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(2,245)</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1,468</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127</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27</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(1,128)</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(43)</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3,462</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3,292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6,022</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(57,837)</w:t>
      </w: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(189)</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(329,938)</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(330,127)</w:t>
      </w:r>
    </w:p>
    <w:p>
      <w:pPr>
        <w:spacing w:after="0" w:line="26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2,931</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24,980</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227,953</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188,681</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4,940</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54</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449,539</w:t>
      </w:r>
    </w:p>
    <w:p>
      <w:pPr>
        <w:spacing w:after="0" w:line="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61,575</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left="620" w:hanging="615"/>
        <w:spacing w:after="0"/>
        <w:tabs>
          <w:tab w:leader="none" w:pos="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73" w:lineRule="exact"/>
        <w:rPr>
          <w:sz w:val="20"/>
          <w:szCs w:val="20"/>
          <w:color w:val="auto"/>
        </w:rPr>
      </w:pPr>
    </w:p>
    <w:p>
      <w:pPr>
        <w:ind w:left="840" w:hanging="835"/>
        <w:spacing w:after="0"/>
        <w:tabs>
          <w:tab w:leader="none" w:pos="8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w:t>
      </w:r>
    </w:p>
    <w:p>
      <w:pPr>
        <w:spacing w:after="0" w:line="27" w:lineRule="exact"/>
        <w:rPr>
          <w:sz w:val="20"/>
          <w:szCs w:val="20"/>
          <w:color w:val="auto"/>
        </w:rPr>
      </w:pPr>
    </w:p>
    <w:p>
      <w:pPr>
        <w:ind w:left="840" w:hanging="835"/>
        <w:spacing w:after="0"/>
        <w:tabs>
          <w:tab w:leader="none" w:pos="8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w:t>
      </w:r>
    </w:p>
    <w:p>
      <w:pPr>
        <w:spacing w:after="0" w:line="9" w:lineRule="exact"/>
        <w:rPr>
          <w:sz w:val="20"/>
          <w:szCs w:val="20"/>
          <w:color w:val="auto"/>
        </w:rPr>
      </w:pPr>
    </w:p>
    <w:p>
      <w:pPr>
        <w:ind w:left="880" w:hanging="875"/>
        <w:spacing w:after="0"/>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w:t>
      </w:r>
    </w:p>
    <w:p>
      <w:pPr>
        <w:spacing w:after="0" w:line="9" w:lineRule="exact"/>
        <w:rPr>
          <w:sz w:val="20"/>
          <w:szCs w:val="20"/>
          <w:color w:val="auto"/>
        </w:rPr>
      </w:pPr>
    </w:p>
    <w:p>
      <w:pPr>
        <w:ind w:left="700" w:hanging="695"/>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1,468</w:t>
      </w:r>
    </w:p>
    <w:p>
      <w:pPr>
        <w:spacing w:after="0" w:line="9" w:lineRule="exact"/>
        <w:rPr>
          <w:sz w:val="20"/>
          <w:szCs w:val="20"/>
          <w:color w:val="auto"/>
        </w:rPr>
      </w:pPr>
    </w:p>
    <w:p>
      <w:pPr>
        <w:ind w:left="700" w:hanging="695"/>
        <w:spacing w:after="0"/>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2,931</w:t>
      </w:r>
    </w:p>
    <w:p>
      <w:pPr>
        <w:spacing w:after="0" w:line="9" w:lineRule="exact"/>
        <w:rPr>
          <w:sz w:val="20"/>
          <w:szCs w:val="20"/>
          <w:color w:val="auto"/>
        </w:rPr>
      </w:pPr>
    </w:p>
    <w:p>
      <w:pPr>
        <w:ind w:left="620" w:hanging="615"/>
        <w:spacing w:after="0"/>
        <w:tabs>
          <w:tab w:leader="none" w:pos="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52,834</w:t>
      </w:r>
    </w:p>
    <w:p>
      <w:pPr>
        <w:spacing w:after="0" w:line="9" w:lineRule="exact"/>
        <w:rPr>
          <w:rFonts w:ascii="Times New Roman" w:cs="Times New Roman" w:eastAsia="Times New Roman" w:hAnsi="Times New Roman"/>
          <w:sz w:val="18"/>
          <w:szCs w:val="18"/>
          <w:color w:val="auto"/>
        </w:rPr>
      </w:pPr>
    </w:p>
    <w:p>
      <w:pPr>
        <w:ind w:left="620" w:hanging="615"/>
        <w:spacing w:after="0"/>
        <w:tabs>
          <w:tab w:leader="none" w:pos="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10,357</w:t>
      </w:r>
    </w:p>
    <w:p>
      <w:pPr>
        <w:sectPr>
          <w:pgSz w:w="11900" w:h="16838" w:orient="portrait"/>
          <w:cols w:equalWidth="0" w:num="2">
            <w:col w:w="9300" w:space="720"/>
            <w:col w:w="1180"/>
          </w:cols>
          <w:pgMar w:left="320" w:top="873" w:right="379" w:bottom="1440" w:gutter="0" w:footer="0" w:header="0"/>
        </w:sectPr>
      </w:pPr>
    </w:p>
    <w:bookmarkStart w:id="95" w:name="page96"/>
    <w:bookmarkEnd w:id="9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ORUKA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and Basis of Presentation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Oruka Therapeutics, Inc., together with its subsidiaries (collectively, the “Company”), formerly known as ARCA biopharma, Inc. (“ARCA”), is a clinical-stage biotechnology company that is the result of the reverse recapitalization discussed below. Prior to the reverse recapitalization, the private company Oruka Therapeutics, Inc. (“Pre-Merger Oruka”) was established and incorporated under the laws of the state of Delaware on February 6, 2024 (referred to in the Notes as the inception of the Company). The Company is headquartered in Menlo Park, California. The Company is focused on developing novel monoclonal antibody therapeutics for psoriasis (“PsO”) and other inflammatory and immunology (“I&amp;I”) indications.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reflect the operations of the Company and its wholly-owned subsidiaries. Intercompany balances and transactions have been eliminated in consolidation. The accompanying consolidated financial statements have been prepared in conformity with United States (“U.S.”) generally accepted accounting principles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Recapitalization and Pre-Closing Financing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29, 2024 (the “Merger Closing”), the Company completed the acquisition (the “Merger”) of Pre-Merger Oruka pursuant to an Agreement and Plan of Merger and Reorganization, dated as of April 3, 2024 (the “Merger Agreement”). Following the transactions contemplated by the Merger Agreement, Pre-Merger Oruka merged with and into Atlas Merger Sub Corp., a wholly owned subsidiary of ARCA and following that, Pre-Merger Oruka then merged with and into Atlas Merger Sub II, LLC (“Second Merger Sub”), with Second Merger Sub being the surviving entity. Second Merger Sub changed its corporate name to “Oruka Therapeutics Operating Company, LLC.” On August 29, 2024, the Company changed its name from “ARCA biopharma, Inc.” to “Oruka Therapeutics, Inc.” and its Nasdaq ticker symbol from “ABIO” to “ORKA”.</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Following consummation of the Merger, the Company effected a 1-for-12 reverse stock split (the “Reverse Stock Split”) of the common stock, par value $0.001 per share, of the Company (“Company Common Stock”), which became effective on September 3, 2024. The Company Common Stock commenced trading on a post-Reverse Stock Split, post-Merger basis at the opening of trading on September 3, 2024. The Company is led by the Pre-Merger Oruka management team and remains focused on developing biologics to optimize the treatment of inflammatory skin diseases.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Immediately prior to the execution and delivery of the Merger Agreement on April 3, 2024, certain new and existing investors of Pre-Merger Oruka entered into a subscription agreement with Pre-Merger Oruka (the “Subscription Agreement”), pursuant to which, and on the terms and subject to the conditions of which, immediately prior to the Closing, those investors purchased shares of common stock of Pre-Merger Oruka (“Pre-Merger Oruka Common Stock”) and Pre-Merger Oruka pre-funded warrants for gross proceeds of approximately $275.0 million (which includes $25.0 million of proceeds previously received from the issuance of the Convertible Note (as defined in Note 7) and accrued interest on such note which converted to shares of Pre-Merger Oruka Common Stock) (the “Pre-Closing Financing”). The Company incurred transaction costs of $20.5 million which was recorded as a reduction to additional paid-in capital in the consolidated financial statements. At the Merger Closing, the shares of Pre-Merger Oruka Common Stock and Pre-Merger Oruka pre-funded warrants issued pursuant to the Subscription Agreement were converted into shares of Company Common Stock and pre-funded warrants of Company Common Stock in accordance with the Exchange Ratio (defined below).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6" w:name="page97"/>
    <w:bookmarkEnd w:id="96"/>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accordance with an Exchange Ratio determined by terms of the Merger Agreement and upon the effective time of the First Merger (the “First Effective Time”), (i) each then-issued and outstanding share of Pre-Merger Oruka Common Stock including outstanding and unvested Pre-Merger Oruka restricted stock and shares of Pre-Merger Oruka Common Stock issued in connection with the Subscription Agreement, were converted into the right to receive a number of shares of Company Common Stock, equal to the Exchange Ratio of 6.8569 shares of Company Common Stock, which were subject to the same vesting provisions as those immediately prior to the Merger, (ii) each share of Pre-Merger Oruka Series A convertible preferred stock, par value $0.0001 (“Pre-Merger Oruka Series A Preferred Stock”), outstanding immediately prior to the First Effective Time was converted into the right to receive a number of shares of ARCA Series B non-voting convertible preferred stock, par value $0.001 per share (“Company Series B Preferred Stock”), which are convertible into shares of Company Common Stock, at a conversion ratio of approximately 83:3332:1 (iii) each outstanding option to purchase Pre-Merger Oruka Common Stock was converted into an option to purchase shares of Company Common Stock, (iv) each outstanding warrant to purchase shares of Pre-Merger Oruka Common Stock was converted into a warrant to purchase shares of Company Common Stock, and (v) each share of Company Common Stock issued and outstanding at the First Effective Time remain issued and outstanding in accordance with its terms and such shares. Subsequent to the close of the merger, the common stock shares were then subject to the reverse stock split of 1-for-12 effected on September 3, 2024.</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part of the Pre-Closing Financing and the Merger Closing, investors in the Pre-Closing Financing received 22,784,139 shares of Company Common Stock in exchange for 39,873,706 shares of Pre-Merger Oruka Common Stock (which includes the issuance of 2,722,207 shares of Company Common Stock in exchange for 4,764,032 shares of Pre-Merger Oruka Common Stock on the conversion of Convertible Note along with the accrued interest through the conversion date) and 5,522,207 Company pre-funded warrants in exchange for 9,664,208 Pre-Merger pre-funded warrants.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Merger was accounted for as a reverse recapitalization in accordance with U.S. GAAP. Under this method of accounting, Pre-Merger Oruka was deemed to be the accounting acquirer for financial reporting purposes. This determination was primarily based on the fact that, immediately following the Merger: (i) Pre-Merger Oruka stockholders own a substantial majority of the voting rights in the combined company; (ii) Pre-Merger Oruka’s largest stockholders retain the largest interest in the combined company; (iii) Pre-Merger Oruka designated a majority of the initial members of the board of directors of the combined company; and (iv) Pre-Merger Oruka’s executive management team became the management team of the combined company. Accordingly, for accounting purposes: (i) the Merger was treated as the equivalent of Pre-Merger Oruka issuing stock to acquire the net assets of ARCA, and (ii) the reported historical operating results of the combined company prior to the Merger are those of Pre-Merger Oruka. Additional information regarding the Merger is included in Note 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September 3, 2024, the Company effected the Reverse Stock Split, a 1-for-12 reverse stock split of Company Common Stock. The par value per share and the number of authorized shares were not adjusted as a result of the Reverse Stock Split. The shares of Company Common Stock underlying outstanding stock options, common stock warrants and other equity instruments were proportionately reduced and the respective exercise prices, if applicable, were proportionately increased in accordance with the terms of the agreements governing such securities. All references to common stock, options to purchase common stock, outstanding common stock warrants, common stock share data, per share data, and related information contained in the consolidated financial statements have been retrospectively adjusted to reflect the effect of the Reverse Stock Split for all periods presented, unless otherwise specifically indicated or the context otherwise requires.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Financing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September 11, 2024, the Company entered into a Securities Purchase Agreement for a private placement (the “PIPE Financing”) with certain institutional and accredited investors. The closing of the PIPE Financing occurred on September 13, 2024.</w:t>
      </w:r>
    </w:p>
    <w:p>
      <w:pPr>
        <w:spacing w:after="0" w:line="162" w:lineRule="exact"/>
        <w:rPr>
          <w:sz w:val="20"/>
          <w:szCs w:val="20"/>
          <w:color w:val="auto"/>
        </w:rPr>
      </w:pPr>
    </w:p>
    <w:p>
      <w:pPr>
        <w:jc w:val="both"/>
        <w:ind w:firstLine="379"/>
        <w:spacing w:after="0" w:line="258" w:lineRule="auto"/>
        <w:rPr>
          <w:sz w:val="20"/>
          <w:szCs w:val="20"/>
          <w:color w:val="auto"/>
        </w:rPr>
      </w:pPr>
      <w:r>
        <w:rPr>
          <w:rFonts w:ascii="Times New Roman" w:cs="Times New Roman" w:eastAsia="Times New Roman" w:hAnsi="Times New Roman"/>
          <w:sz w:val="18"/>
          <w:szCs w:val="18"/>
          <w:color w:val="auto"/>
        </w:rPr>
        <w:t>Pursuant to the Securities Purchase Agreement, the investors purchased an aggregate of 5,600,000 shares of Company Common Stock at a purchase price of $23.00 per share, an aggregate of 2,439 shares of the Company’s Series A non-voting convertible preferred stock, par value $0.001 per share (“Company Series A Preferred Stock”), at a purchase price of $23,000.00 per share (each Company Series A Preferred Stock is convertible into 1,000 shares of Company Common Stock), and pre-funded warrants to purchase an aggregate of 680,000 shares of Company Common Stock at a purchase price of $22.999 per pre-funded warrant, for aggregate net proceeds of approximately $188.7 million (net of issuance costs of $11.9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Since its inception, the Company has devoted substantially all of its resources to advancing the development of its portfolio of programs, organizing and staffing the Company, business planning, raising capital, and providing general and administrative support for these operations. Current and future programs will require significant research and development efforts, including preclinical and clinical trials, and regulatory approvals to commercialization. Until such time as the Company can generate significant revenue from product sales, if ever, the Company expects to finance its operating activities through a combination of equity offerings and debt financings.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not generated any revenue from product sales or other sources and has incurred significant operating losses and negative cash flows from operations since inception. For the period from February 6, 2024 (inception) to December 31, 2024, the Company has incurred a net loss of $83.7 million and used net cash of $57.8 million for its operating activities.</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2024, the Company had cash, cash equivalents, and marketable securities of $393.7 million. The Company’s management expects that the existing cash, cash equivalents, and marketable securities will be sufficient to fund the Company’s operating plans for at least twelve months from the date these consolidated financial statements were issued. The Company expects that its research and development and general and administrative costs will continue to increase significantly, including in connection with conducting future pre-clinical activities and clinical trials and manufacturing for its existing product candidates and any future product candidates to support commercialization and providing general and administrative support for its operations, including the costs associated with operating as a public company. The Company’s ability to access capital when needed is not assured and, if capital is not available to the Company when, and in the amounts needed, the Company may be required to significantly curtail, delay, or discontinue one or more of its research or development programs or the commercialization of any product candidate, or be unable to expand its operations or otherwise capitalize on the Company’s business opportunities, as desired, which could materially harm the Company’s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U.S. GAAP requires management to make estimates, assumptions, and judgments that affect the reported amounts of assets and liabilities and the disclosure of contingent liabilities at the date of the consolidated financial statements and the reported amounts of income and expenses during the reporting periods. Significant estimates and assumptions reflected within these consolidated financial statements include but are not limited to research and development expenses and related prepaid or accrued costs and the valuation of stock-based compensation awards and related expenses. The Company bases its estimates on known trends and other market-specific or other relevant factors that it believes to be reasonable under the circumstances. On an ongoing basis, management evaluates its estimates, as there are changes in circumstances, facts, and experience. Actual results could differ materially from those estimates or assumptions.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of cash, cash equivalents and marketable securities. The Company’s investment policy limits investments to high credit quality securities issued by the U.S. government, U.S. government-sponsored agencies, highly rated banks, and corporate issuers, subject to certain concentration limits and restrictions on maturities. The Company’s cash, cash equivalents and marketable securities are held by financial institutions that management believes are of high credit quality. The financial instruments that potentially subject the Company to a concentration of credit risk consist principally of cash deposits. Accounts at the Company’s U.S. banking institution are insured by the Federal Deposit Insurance Corporation (“FDIC”) up to $250,000 per depositor. As of December 31, 2024, the balance at the Company’s U.S. banking institution exceeded the FDIC limits. The Company has not experienced any losses on its deposits of cash and cash equivalents and its accounts are monitored by management to mitigate risk. The Company is exposed to credit risk in the event of default by the financial institutions holding its cash and cash equivalents, and bond issuers.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8" w:name="page99"/>
    <w:bookmarkEnd w:id="98"/>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dependent on third-party organizations to research, develop, manufacture, and process its product candidates for its development programs, including its two most advanced programs, ORKA-001 and ORKA-002. The Company expects to continue to be dependent on a small number of manufacturers to supply it with its requirements for all products. The Company’s research and development programs could be adversely affected by a significant interruption in the supply of the necessary materials. A significant amount of the Company’s research and development activities are performed under its agreements with Paragon Therapeutics, Inc. (“Paragon”) (see Note 12).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time of initial purchase to be cash equivalents. The cash equivalents were comprised of investments in money market funds, U. S. treasury securities, U.S. government agency securities, and debt securities and are stated at fair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invests in marketable securities, primarily securities issued by the U.S. government and its agencies, commercial paper and corporate debt securities. The Company’s marketable securities are classified as available-for-sale and reported at fair value, with unrealized gains and losses included as a component of accumulated other comprehensive loss.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available-for-sale debt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and recognized in other income (expense) in the results of operations. For available-for-sale debt securities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 credit loss exists, an allowance is recorded for the difference between the present value of cash flows expected to be collected and the amortized cost basis of the security. Impairment losses attributable to credit loss factors are charged against the allowance when management believes an available-for-sale security is uncollectible or when either of the criteria regarding intent or requirement to sell is met.</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unrealized losses from declines in fair value below the amortized cost basis as a result of non-credit loss factors are recognized as a component of accumulated other comprehensive loss, net of unrealized gains. Realized gains and losses and declines in fair value, if any, on available-for-sale securities are included in other income, net, in the results of operations.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Marketable securities with stated maturities of greater than three months from the date of purchase but less than one year from the consolidated balance sheet date are classified as current, while marketable securities with maturities in one year or beyond one year from the consolidated balance sheet date are classified as long-term. The cost of securities sold is determined using the specific-identification method. Interest earned and adjustments for the amortization of premiums and discounts on investments are included in interest income on the consolidated statements of operations and comprehensive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Debt issuance costs incurred in connection with the Convertible Note (see Note 7) are recorded as a reduction of the carrying value of the notes payable liability on the Company’s balance sheet and are amortized to interest expense over the term of the loan using the effective interest method. At the effective time of the Merger the Converted Note was converted to common stock and is no longer on the balance sheet as of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 Receivable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accounts for any notes received in exchange for common stock as a subscription receivable, provided the note underlying the receivable is paid prior to the date the financial statement is available to be issued.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3"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that are identical assets or liabilities.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cash equivalents and marketable securities are carried at fair value, determined according to the fair value hierarchy described above (see Note 4). The carrying values of the Company’s prepaid expenses and other current assets, accounts payable and accrued expenses and other current liabilities approximate their fair values due to their relatively short maturity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straight-line method over the estimated useful life of each asset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45"/>
        </w:trPr>
        <w:tc>
          <w:tcPr>
            <w:tcW w:w="100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 years</w:t>
            </w:r>
          </w:p>
        </w:tc>
      </w:t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 years</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Classification of Convertible Preferred Stock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reverse recapitalization, the Company had classified its Pre-Merger Oruka Series A Preferred Stock outside of stockholders’ equity on the Company’s consolidated balance sheet because the holders of such stock have certain liquidation rights in the event of a deemed liquidation event that, in certain situations, is not solely within the control of the Company and would require the redemption of the then-outstanding convertible preferred stock.</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the closing of the Merger, the Company converted its Pre-Merger Oruka Series A Preferred Stock to Company Series B Preferred Stock and has classified the Company Series B Preferred Stock within stockholders’ equity on its consolidated balance sheet because the Company Series B Preferred Stock is not redeemable or puttable to the Company by the holder under any circumstances.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PIPE Financing (see Note 1) the Company issued Company Series A Preferred Stock, and has classified the Company Series A Preferred Stock outside of stockholders’ equity on the Company’s consolidated balance sheet because the holders of such stock have certain rights (see Note 8) that, in certain situations, is not solely within the control of the Company and would require the redemption of the then-outstanding convertible preferred stock. In November 2024, the Company Series A Preferred Stock shares were converted to common stock, and as of December 31, 2024, there were no shares of Company Series A Preferred Stock outstanding.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i w:val="1"/>
          <w:iCs w:val="1"/>
          <w:color w:val="auto"/>
        </w:rPr>
        <w:t>Note Payable to Related Party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accounted for the Convertible Note (as defined in Note 7) at amortized cost. The Company considered if optional conversion features are required to be bifurcated and separately accounted for as a derivative. Costs related to the issuance of the Convertible Note were recorded as a debt discount, amortized over the term of the Convertible Note (see Note 7) and were accounted for as interest expense in other income (expenses) within the consolidated statement of operations and comprehensive loss using the effective interest method. At the effective time of the Merger, shares of Pre-Merger Oruka Common Stock issued pursuant to the conversion of the Convertible Note (including accrued interest) automatically converted into shares of Company Common Stock (see Note 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Contract Costs Accruals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records the costs associated with research studies and manufacturing development as incurred. These costs are a significant component of the Company’s research and development expenses, with a substantial portion of the Company’s ongoing research and development activities conducted by third-party service providers, including contract research organizations (“CROs”) and contract manufacturing organizations (“CMOs”), and the Company’s related-party Paragon (see Note 12).</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accrues for expenses resulting from obligations under its two antibody discovery and option agreements (the “Option Agreements”) (see Note 12), by and among Paragon, Paruka Holding LLC (“Paruka”), an entity formed by Paragon as a vehicle to hold equity in the Company, and the Company as well as agreements with CROs, CMOs, and other outside service providers for which payment flows do not match the periods over which materials or services are provided to the Company. Accruals are recorded based on estimates of services received and efforts expended pursuant to agreements established with Paragon,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The Company makes significant judgments and estimates in determining the accrual balance in each reporting period. If advance payments are made to Paragon, a CRO, CMO, or outside service provider, the payments will be recorded as a prepaid asset which will be expensed as the contracted services are performed. Changes in these estimates that result in material changes to the Company’s accruals could materially affect the Company’s results of operations. As of December 31, 2024, the Company has not experienced any material deviations between accrued and actual research and development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the lease commencement date, when control of the underlying asset is transferred from the lessor to the Company, the Company classifies a lease as either an operating or finance lease and recognizes a right-of-use (“ROU”) asset and a current and non-current lease liability, as applicable, in the balance sheet if the lease has a term greater than one year. Lease terms may include options to extend or terminate the lease when it is reasonably certain that the Company will exercise its option.</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 the lease commencement date, operating lease liabilities and their corresponding ROU assets are recorded at the present value of future minimum lease payments over the expected remaining lease term. The Company determines the present value of lease payments using the implicit rate, if it is readily determinable, or the risk-free discount rate for a period comparable with that of the lease term. For operating leases, lease expense for lease payments is recognized on a straight-line basis over the lease term. For finance leases, lease expense includes amortization expense of the ROU asset recognized on a straight-line basis over the lease term and interest expense recognized on the finance lease liability. In addition, certain adjustments to the ROU asset may be required for items such as lease prepayments, incentives received or initial direct costs. As of December 31, 2024, the Company has one operating lease and no finance leases.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lease and non-lease components related to operating leases as a single lease component. The Company has elected that costs associated with leases having an initial term of 12 months or less are recognized in the consolidated statement of operations and comprehensive loss on a straight-line basis over the lease term and are not recorded on its consolidated balance sheets. Variable lease expense is recognized as incurred and consists primarily of real estate taxes, utilities, and other office space related expenses.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reportable and operating segment. Its Chief Executive Officer, serving as the Chief Operating Decision Maker (“CODM”), oversees operations on an aggregated basis to allocate resources effectively. In assessing the Company’s financial performance, the CODM regularly reviews total operating expenses and consolidated net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include salaries and bonuses, stock-based compensation, employee benefits, and external costs of vendors and consultants engaged to conduct research and development activities, as well as allocated human resource costs, information technology costs, and facility-related costs, including rent, maintenance, utilities, and depreciation.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Nonrefundable advance payments for goods or services to be received in the future for use in research and development activities are recorded as prepaid expenses on the accompanying consolidated balance sheet. The prepaid amounts are expensed as the related goods are delivered or the services are performed, or when it is no longer expected that the goods will be delivered, or the services rendered. If nonrefundable advance payments represent a one-time cost for obtaining goods or services, with anticipated benefits to be utilized within a year of period end, the payment is expensed immediately.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bonuses, stock-based compensation, employee benefits, finance and administration costs, patent and intellectual property costs, professional fees, as well as allocated human resource costs, information technology costs, and facility-related costs, including rent, maintenance, utilities and depreciation.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subject to contingent liabilities, such as legal proceedings and claims, that arise in the ordinary course of business activities. The Company accrues for loss contingencies when losses become probable and are reasonably estimable. If the reasonable estimate of the loss is a range and no amount within the range is a better estimate, the minimum amount of the range is recorded as a liability on the balance sheet. The Company does not accrue for contingent losses that, in its judgment, are considered to be reasonably possible, but not probable; however, it discloses the range of reasonably possible losses. As of December 31, 2024, no liabilities were recorded for loss contingencies (see Note 13).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estimates the fair value of its stock awards using the Black-Scholes option pricing model, which uses as inputs the fair value of the Company’s common stock, and certain management estimates, including the expected stock price volatility, the expected term of the award, the risk-free interest rate, and expected dividends. Expected volatility is calculated based on reported volatility data for a representative group of publicly traded companies for which historical information is available. The Company selects companies with comparable characteristics with historical share price information that approximates the expected term of the equity-based awards. The Company computes the historical volatility data using the daily closing prices for the selected companies’ shares during the equivalent period that approximates the calculated expected term of the stock options. The Company will continue to apply this method until a sufficient amount of historical information regarding the volatility of its stock price becomes available. The risk-free interest rate is based on the U.S. Treasury yield curve in effect at the time of grant commensurate with the expected term assumption. For employee and non-employee awards (except the Paruka warrant) the Company uses the simplified method, under which the expected term is presumed to be the midpoint between the vesting date and the end of the contractual term. The Company utilizes this method due to lack of historical exercise data. For the Paruka warrant, the contractual term is used for the expected term. The expected dividend yield is assumed to be zero as the Company has no current plans to pay any dividends on common stock.</w:t>
      </w:r>
    </w:p>
    <w:p>
      <w:pPr>
        <w:spacing w:after="0" w:line="1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measures restricted common stock awards (“RSAs”) using the difference, if any, between the purchase price per share of the award and the fair value of the Company’s common stock at the date of grant.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2" w:name="page103"/>
    <w:bookmarkEnd w:id="102"/>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grants stock options, restricted stock awards, and warrants that are subject to service or performance-based vesting conditions. Compensation expense for awards to employees and directors with service-based vesting conditions is recognized using the straight-line method over the requisite service period, which is generally the vesting period of the respective award. Compensation expense for awards to non-employees with service-based vesting conditions is recognized in the same manner as if the Company had paid cash in exchange for the goods or services, which is generally over the vesting period of the award. Forfeitures are accounted for as they occur. As of each reporting date, the Company estimates the probability that specified performance criteria will be met and does not recognize compensation expense until it is probable that the performance-based vesting condition will be achieved.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issued stock options, warrants, and RSAs with service-based and performance-based vesting conditions.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recognizes the compensation expense for the option to purchase common stock under the Employee Stock Purchase Plan (“ESPP”), based on the fair value of the common stock estimated using the closing price of the Company’s common stock as reported on the date of offering, less the purchase discount percentage provided for in the plan.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 of operations and comprehensive loss in the same manner in which the award recipient’s payroll costs are classified or in which the award recipient’s service payments are classified, as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that result from transactions and events other than those with stockholders. The Company’s unrealized gains and losses on marketable securities represent the only component of other comprehensive loss that are excluded from the reported net loss and that are presented in the consolidated statement of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Stockholders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Basic and diluted net loss attributable to stockholders per share is presented in conformity with the two-class method required for participating securities (Pre-Merger Oruka Series A Preferred Stock). Basic earnings per share is computed by dividing net income available to each class of shares by the weighted-average number of shares of common stock and participating securities outstanding during the period. Pre-funded warrants were included as the exercise price is negligible and these warrants are fully vested and exercisable. Company Series A Preferred Stock and Company Series B Preferred Stock share the same characteristics as Common Stock and have no substantive preference attributed to them and, accordingly, have been considered as classes of Common Stock in the computation of net loss per share regardless of their legal form.</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loss is allocated to common stock based on its proportional ownership on an as-converted basis. Net loss is not allocated to participating securities as they do not have an obligation to fund losses. The weighted-average number of shares outstanding of common stock reflects changes in ownership over the periods presented. See Note 8 — Convertible Preferred Stock and Stockholders’ Equity.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Diluted net loss per share is computed by dividing the net loss attributable to stockholders adjusted for income (expenses), net of tax, related to any diluted securities, by the weighted-average number of shares of common stock and potentially dilutive securities outstanding for the period. For purposes of this calculation, stock options to purchase common stock, employee warrants to purchase common stock, and unvested RSAs are considered potential dilutive common shares.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generated a net loss for the periods presented. Accordingly, basic and diluted net loss per share is the same because the inclusion of the potentially dilutive securities would be anti-dilutive.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income, net, consists of interest earned on the Company’s cash, cash equivalents, and marketable securities; interest expense on the convertible note from a related party and foreign currency transactions gains and losses.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 assets and liabilities are determined based on the differences between the financial statement basis and tax basis of assets and liabilities using enacted tax rates in effect for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The potential for recovery of deferred tax assets is evaluated by estimating the future taxable profits expected and considering prudent and feasible tax planning strategies.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The Company had accrued no amounts for interest or penalties related to uncertain tax positions as of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which enhances the segment disclosure requirements for public entities on an annual and interim basis. Under this standard, public entities will be required to disclose significant segment expenses that are regularly provided to the CODM and included within each reported measure of segment profit or loss. Additionally, current annual disclosures about a reportable segment’s profit or loss and assets will be required on an interim basis. Entities will also be required to disclose information about the CODM’s title and position at the Company along with an explanation of how the CODM uses the reported measures of segment profit or loss in their assessment of segment performance and deciding how to allocate resources. Finally, ASU 2023-07 requires all segment disclosures for public entities that have only a single reportable segment. The amendments in ASU 2023-07 are effective for fiscal years beginning after December 15, 2023, and interim periods within fiscal years beginning after December 15, 2024. Early adoption is permitted. The Company adopted ASU 2023-07 in 2024 and additional required disclosures have been included in Note 10.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ASU expands disclosures in an entity’s income tax rate reconciliation table and disclosures regarding taxes paid both in the U.S. and foreign jurisdictions. This update is effective beginning with the Company’s 2025 fiscal year annual reporting period. The Company is currently evaluating the impact of the adoption of this ASU on its consolidated financial statements.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This ASU requires more detailed disclosures, on an annual and interim basis, about specified categories of expenses (including employee compensation, depreciation, and amortization) included in certain expense captions presented on the face of the income statement. This ASU is effective for fiscal years beginning after December 15, 2026, and interim periods within fiscal years beginning after December 15, 2027. Early adoption is permitted. This ASU may be applied either prospectively or retrospectively. The Company is currently evaluating the impact of the adoption of this ASU on its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3. Reverse Recapitalization and Pre-Closing Financing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described within the Reverse Recapitalization and Pre-Closing Financing section in Note 1, on August 29, 2024, the reverse recapitalization between Pre-Merger Oruka and ARCA was consummated. The Merger was accounted for as a reverse recapitalization in accordance with U.S. GAAP. At the effective time of the Merger, substantially all of the assets of ARCA consisted of cash and cash equivalents and other nominal non-operating assets and liabilities. No goodwill or intangible assets were recognized.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part of the recapitalization, the Company acquired the assets and liabilities listed below (in thousands):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10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August 29,</w:t>
            </w:r>
          </w:p>
        </w:tc>
      </w:tr>
      <w:tr>
        <w:trPr>
          <w:trHeight w:val="245"/>
        </w:trPr>
        <w:tc>
          <w:tcPr>
            <w:tcW w:w="100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r>
      <w:tr>
        <w:trPr>
          <w:trHeight w:val="237"/>
        </w:trPr>
        <w:tc>
          <w:tcPr>
            <w:tcW w:w="1002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assets acquired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1"/>
        </w:trPr>
        <w:tc>
          <w:tcPr>
            <w:tcW w:w="10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the Company’s fair value hierarchy for financial assets measured as of December 31, 2024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6,350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19,660</w:t>
            </w:r>
          </w:p>
        </w:tc>
        <w:tc>
          <w:tcPr>
            <w:tcW w:w="88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19,660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3,988</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3,988</w:t>
            </w: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papers</w:t>
            </w:r>
          </w:p>
        </w:tc>
        <w:tc>
          <w:tcPr>
            <w:tcW w:w="1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22,177</w:t>
            </w:r>
          </w:p>
        </w:tc>
        <w:tc>
          <w:tcPr>
            <w:tcW w:w="880" w:type="dxa"/>
            <w:vAlign w:val="bottom"/>
          </w:tcPr>
          <w:p>
            <w:pPr>
              <w:spacing w:after="0"/>
              <w:rPr>
                <w:sz w:val="20"/>
                <w:szCs w:val="20"/>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22,177</w:t>
            </w:r>
          </w:p>
        </w:tc>
      </w:tr>
      <w:tr>
        <w:trPr>
          <w:trHeight w:val="236"/>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190,792</w:t>
            </w:r>
          </w:p>
        </w:tc>
        <w:tc>
          <w:tcPr>
            <w:tcW w:w="88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190,792</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12,966</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12,966</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papers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34,811</w:t>
            </w:r>
          </w:p>
        </w:tc>
        <w:tc>
          <w:tcPr>
            <w:tcW w:w="88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34,811</w:t>
            </w:r>
          </w:p>
        </w:tc>
      </w:tr>
      <w:tr>
        <w:trPr>
          <w:trHeight w:val="25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75,504</w:t>
            </w:r>
          </w:p>
        </w:tc>
        <w:tc>
          <w:tcPr>
            <w:tcW w:w="8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75,504</w:t>
            </w:r>
          </w:p>
        </w:tc>
      </w:tr>
      <w:tr>
        <w:trPr>
          <w:trHeight w:val="210"/>
        </w:trPr>
        <w:tc>
          <w:tcPr>
            <w:tcW w:w="59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marketable securities, current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314,073</w:t>
            </w:r>
          </w:p>
        </w:tc>
        <w:tc>
          <w:tcPr>
            <w:tcW w:w="22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ind w:left="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314,073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 long-term</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13,607</w:t>
            </w:r>
          </w:p>
        </w:tc>
        <w:tc>
          <w:tcPr>
            <w:tcW w:w="88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13,607</w:t>
            </w:r>
          </w:p>
        </w:tc>
      </w:tr>
      <w:tr>
        <w:trPr>
          <w:trHeight w:val="25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4,462</w:t>
            </w:r>
          </w:p>
        </w:tc>
        <w:tc>
          <w:tcPr>
            <w:tcW w:w="8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4,462</w:t>
            </w:r>
          </w:p>
        </w:tc>
      </w:tr>
      <w:tr>
        <w:trPr>
          <w:trHeight w:val="210"/>
        </w:trPr>
        <w:tc>
          <w:tcPr>
            <w:tcW w:w="59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marketable securities, long-term</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18,069</w:t>
            </w:r>
          </w:p>
        </w:tc>
        <w:tc>
          <w:tcPr>
            <w:tcW w:w="22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ind w:left="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18,069</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6,350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377,967</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384,317</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in or out of Level 3 during the period from February 6, 2024 (inception) to December 31,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5. Cash equivalents and marketable Securities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equivalents and marketable securities, which are classified as available-for-sale, consisted of the following as of December 31, 2024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5"/>
          </w:tcPr>
          <w:p>
            <w:pPr>
              <w:jc w:val="right"/>
              <w:ind w:right="661"/>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200" w:type="dxa"/>
            <w:vAlign w:val="bottom"/>
            <w:gridSpan w:val="2"/>
          </w:tcPr>
          <w:p>
            <w:pPr>
              <w:jc w:val="center"/>
              <w:ind w:right="241"/>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20" w:type="dxa"/>
            <w:vAlign w:val="bottom"/>
          </w:tcPr>
          <w:p>
            <w:pPr>
              <w:spacing w:after="0"/>
              <w:rPr>
                <w:sz w:val="21"/>
                <w:szCs w:val="21"/>
                <w:color w:val="auto"/>
              </w:rPr>
            </w:pPr>
          </w:p>
        </w:tc>
        <w:tc>
          <w:tcPr>
            <w:tcW w:w="12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19,656</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19,660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3,988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3,988</w:t>
            </w: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papers</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22,180</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22,177</w:t>
            </w:r>
          </w:p>
        </w:tc>
      </w:tr>
      <w:tr>
        <w:trPr>
          <w:trHeight w:val="236"/>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cash equivalents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52,174</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190,748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190,792</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12,967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12,966</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papers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34,808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34,811</w:t>
            </w:r>
          </w:p>
        </w:tc>
      </w:tr>
      <w:tr>
        <w:trPr>
          <w:trHeight w:val="24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75,537</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75,504</w:t>
            </w:r>
          </w:p>
        </w:tc>
      </w:tr>
      <w:tr>
        <w:trPr>
          <w:trHeight w:val="210"/>
        </w:trPr>
        <w:tc>
          <w:tcPr>
            <w:tcW w:w="59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marketable securities, current</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314,060</w:t>
            </w:r>
          </w:p>
        </w:tc>
        <w:tc>
          <w:tcPr>
            <w:tcW w:w="2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314,073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 long-term</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13,639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13,607</w:t>
            </w:r>
          </w:p>
        </w:tc>
      </w:tr>
      <w:tr>
        <w:trPr>
          <w:trHeight w:val="24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4,485</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4,462</w:t>
            </w:r>
          </w:p>
        </w:tc>
      </w:tr>
      <w:tr>
        <w:trPr>
          <w:trHeight w:val="210"/>
        </w:trPr>
        <w:tc>
          <w:tcPr>
            <w:tcW w:w="59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marketable securities, long-term</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18,124</w:t>
            </w:r>
          </w:p>
        </w:tc>
        <w:tc>
          <w:tcPr>
            <w:tcW w:w="2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18,069</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384,358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384,317</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available-for-sale securities in an unrealized loss position, aggregated by major security type and length of time in a continuous unrealized loss position, for which an allowance for credit losses was not recorded as of December 31, 2024,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20" w:type="dxa"/>
            <w:vAlign w:val="bottom"/>
          </w:tcPr>
          <w:p>
            <w:pPr>
              <w:spacing w:after="0"/>
              <w:rPr>
                <w:sz w:val="20"/>
                <w:szCs w:val="20"/>
                <w:color w:val="auto"/>
              </w:rPr>
            </w:pPr>
          </w:p>
        </w:tc>
        <w:tc>
          <w:tcPr>
            <w:tcW w:w="24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12 months or longer</w:t>
            </w:r>
          </w:p>
        </w:tc>
        <w:tc>
          <w:tcPr>
            <w:tcW w:w="2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68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16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60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1"/>
                <w:szCs w:val="21"/>
                <w:color w:val="auto"/>
              </w:rPr>
            </w:pPr>
          </w:p>
        </w:tc>
        <w:tc>
          <w:tcPr>
            <w:tcW w:w="124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Pr>
          <w:p>
            <w:pPr>
              <w:spacing w:after="0"/>
              <w:rPr>
                <w:sz w:val="21"/>
                <w:szCs w:val="21"/>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1"/>
                <w:szCs w:val="21"/>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Pr>
          <w:p>
            <w:pPr>
              <w:spacing w:after="0"/>
              <w:rPr>
                <w:sz w:val="21"/>
                <w:szCs w:val="21"/>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1"/>
                <w:szCs w:val="21"/>
                <w:color w:val="auto"/>
              </w:rPr>
            </w:pP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18,199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49,904</w:t>
            </w:r>
          </w:p>
        </w:tc>
        <w:tc>
          <w:tcPr>
            <w:tcW w:w="12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49,904</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4,713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4,713</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39,468</w:t>
            </w:r>
          </w:p>
        </w:tc>
        <w:tc>
          <w:tcPr>
            <w:tcW w:w="12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39,468</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 long-term</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13,607</w:t>
            </w:r>
          </w:p>
        </w:tc>
        <w:tc>
          <w:tcPr>
            <w:tcW w:w="12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13,607</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4,462</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4,462</w:t>
            </w: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3280" w:type="dxa"/>
            <w:vAlign w:val="bottom"/>
            <w:vMerge w:val="continue"/>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130,353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130,353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evaluated its securities for credit losses and considered the decline in market value to be primarily attributable to current economic and market conditions and not to a credit loss or other factors. Additionally, the Company does not intend to sell the securities in an unrealized loss position and it is not more likely than not that the Company will be required to sell the securities before recovery of the unamortized cost basis, which may be at maturity. There were no material realized gains or realized losses on marketable securities for the period presented. Given the Company’s intent and ability to hold such securities until recovery, and the lack of significant change in credit risk of these investments, the Company does not consider these marketable securities to be impaired as of December 31, 2024. As of December 31, 2024, the Company did not record an allowance for credit losses.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6" w:name="page107"/>
    <w:bookmarkEnd w:id="106"/>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the Company’s marketable securities at estimated fair value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0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314,073</w:t>
            </w:r>
          </w:p>
        </w:tc>
        <w:tc>
          <w:tcPr>
            <w:tcW w:w="100" w:type="dxa"/>
            <w:vAlign w:val="bottom"/>
            <w:shd w:val="clear" w:color="auto" w:fill="CCEEFF"/>
          </w:tcPr>
          <w:p>
            <w:pPr>
              <w:spacing w:after="0"/>
              <w:rPr>
                <w:sz w:val="18"/>
                <w:szCs w:val="18"/>
                <w:color w:val="auto"/>
              </w:rPr>
            </w:pP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Due in 1-2 years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18,069</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332,142</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Accrued expenses and other current liabilities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54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employee compensation and benefits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professional and consulting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Accrued research and development</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p>
      <w:pPr>
        <w:ind w:left="375"/>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18" w:lineRule="exact"/>
        <w:rPr>
          <w:sz w:val="20"/>
          <w:szCs w:val="20"/>
          <w:color w:val="auto"/>
        </w:rPr>
      </w:pPr>
    </w:p>
    <w:p>
      <w:pPr>
        <w:ind w:left="695" w:hanging="695"/>
        <w:spacing w:after="0"/>
        <w:tabs>
          <w:tab w:leader="none" w:pos="6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2,041</w:t>
      </w:r>
    </w:p>
    <w:p>
      <w:pPr>
        <w:spacing w:after="0" w:line="27" w:lineRule="exact"/>
        <w:rPr>
          <w:rFonts w:ascii="Times New Roman" w:cs="Times New Roman" w:eastAsia="Times New Roman" w:hAnsi="Times New Roman"/>
          <w:sz w:val="18"/>
          <w:szCs w:val="18"/>
          <w:color w:val="auto"/>
        </w:rPr>
      </w:pPr>
    </w:p>
    <w:p>
      <w:pPr>
        <w:ind w:left="83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221</w:t>
      </w:r>
    </w:p>
    <w:p>
      <w:pPr>
        <w:spacing w:after="0" w:line="9" w:lineRule="exact"/>
        <w:rPr>
          <w:sz w:val="20"/>
          <w:szCs w:val="20"/>
          <w:color w:val="auto"/>
        </w:rPr>
      </w:pPr>
    </w:p>
    <w:p>
      <w:pPr>
        <w:ind w:left="695"/>
        <w:spacing w:after="0"/>
        <w:rPr>
          <w:sz w:val="20"/>
          <w:szCs w:val="20"/>
          <w:color w:val="auto"/>
        </w:rPr>
      </w:pPr>
      <w:r>
        <w:rPr>
          <w:rFonts w:ascii="Times New Roman" w:cs="Times New Roman" w:eastAsia="Times New Roman" w:hAnsi="Times New Roman"/>
          <w:sz w:val="18"/>
          <w:szCs w:val="18"/>
          <w:color w:val="auto"/>
        </w:rPr>
        <w:t>1,084</w:t>
      </w:r>
    </w:p>
    <w:p>
      <w:pPr>
        <w:spacing w:after="0" w:line="58" w:lineRule="exact"/>
        <w:rPr>
          <w:sz w:val="20"/>
          <w:szCs w:val="20"/>
          <w:color w:val="auto"/>
        </w:rPr>
      </w:pPr>
    </w:p>
    <w:p>
      <w:pPr>
        <w:ind w:left="695" w:hanging="695"/>
        <w:spacing w:after="0"/>
        <w:tabs>
          <w:tab w:leader="none" w:pos="6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0294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5" w:space="720"/>
            <w:col w:w="1215"/>
          </w:cols>
          <w:pgMar w:left="320" w:top="877" w:right="33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Note Payable with Related Party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March 2024, Pre-Merger Oruka entered into a Series A Preferred Stock and Convertible Note Purchase Agreement (the “Purchase Agreement”) with Fairmount Healthcare Fund II, L.P. (“Fairmount”), whereby Pre-Merger Oruka issued a convertible note (the “Convertible Note”), with an initial principal amount of $25.0 million that, at the time of issuance, could be converted into Pre-Merger Oruka Series A Preferred Stock (or a series of preferred shares that is identical in respect to the shares of preferred shares issued in its next equity financing) or shares of Pre-Merger Oruka Common Stock in exchange for aggregate proceeds of $25.0 million. The Convertible Note accrued interest at a rate of 12.0% per annum. At issuance, the Convertible Note required all unpaid interest and principal to mature on December 31, 2025 (the “Maturity Date”) and prepayment was not permitted without prior written consent of Fairmount.</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assessed all terms and features of the Convertible Note in order to identify any potential embedded features that would require bifurcation. As part of this analysis, the Company assessed the economic characteristics and risks of the embedded features. The Company determined that the share settled redemption feature was clearly and closely related to the debt host and did not require separate accounting. The Company determined that the conversion options of the Convertible Note were not clearly and closely associated with a debt host. However, these features did not meet the definition of a derivative under ASC 815, Derivatives and Hedging, and as a result, did not require separate accounting as a derivative liability.</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paid debt issuance costs of less than $0.1 million in relation to the Convertible Note. The debt issuance costs were reflected as a reduction of the carrying value of Convertible Note on the consolidated balance sheet and were being amortized as interest expense over the term of the Convertible Note using the effective interest method. For the period from February 6, 2024 (inception) to December 31, 2024, the Company recognized interest expenses related to the Convertible Note of $1.5 million, which includes non-cash interest expense related to the amortization of debt issuance.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07" w:name="page108"/>
    <w:bookmarkEnd w:id="107"/>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Immediately prior to the completion of the Merger (see Note 1), the Convertible Note was converted into shares of Pre-Merger Oruka Common Stock based on the aggregate principal amount of $25.0 million, plus unpaid accrued interest of $1.5 million divided by the conversion price which was determined based upon the Company’s fully-diluted capitalization immediately prior to the Merger. At the effective time of the Merger, the Pre-Merger Oruka Common Stock issued upon the conversion of the Convertible Note (including accrued interest) automatically converted into 2,722,207 shares of Company Common Stock. As of December 31, 2024, the Convertible Note is not outstanding.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Convertible Preferred Stock and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August 2024, pursuant to the Subscription Agreement and immediately prior to the Closing, certain new and current investors purchased pre-funded warrants, which, at the effective time of the Merger, were exercisable for 5,522,207 shares of Company Common Stock at a purchase price of approximately $9.70 per warrant. After the Merger, there are 5,522,207 pre-funded warrants outstanding and are exercisable for 5,522,207 shares of the Company Common Stock at an exercise price of $0.01 per share.</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September 2024, in connection with the PIPE Financing, the Company issued and sold 680,000 pre-funded warrants, at a purchase price of $22.999 per warrant, exercisable for 680,000 shares of Company Common Stock at an exercise price of $0.001 per share.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pre-funded warrants were recorded as a component of stockholders’ equity within additional paid-in-capital and have no expiration date. As of December 31, 2024, none of the pre-funded warrants have been exercised and 6,202,207 pre-funded warrants remain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Warrants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July 2024, Pre-Merger Oruka entered into a Subscription Agreement that provided for, among other things, the issuance of warrants to certain of Pre-Merger Oruka’s employees and directors immediately prior to the closing of the Merger. During the period from February 6, 2024 (inception) to December 31, 2024, 3,054,358 employee warrants were issued at an exercise price of $7.80 per warrant. These warrants vest over a period of four years. Per the terms of the Employee Warrant Agreement, the holders of the Company’s warrants shall not have any of the rights or privileges of a stockholder of the Company in respect of any shares purchasable upon the exercise of the warrant or any portion thereof unless and until a certificate or certificates representing such shares have been issued or a book entry representing such shares has been made and such shares have been deposited with the appropriate registered book-entry custodian. The Company recognizes compensation cost related to warrants on a straight-line basis over the requisite service period, which is the period in which the related services are received. As of December 31, 2024, none of the warrants have been exercised and 3,054,358 warrants remain outstanding.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March 2024, Pre-Merger Oruka issued and sold an aggregate of 20,000,000 shares of Pre-Merger Oruka Series A Preferred Stock to Fairmount (see Note 15), at a purchase price of approximately $0.15 per share, for aggregate gross proceeds of $3.0 million. Pre-Merger Oruka incurred less than $0.1 million of issuance costs in connection with this transaction. Upon the issuance of the Pre-Merger Oruka Series A Preferred Stock, the Company assessed the embedded conversion and liquidation features of the securities as described below and determined that such features did not require the Company to separately account for these features.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August 2024, upon the closing of the Merger, the Company converted the Pre-Merger Oruka Series A Preferred Stock to 137,138 shares of Company Series B Preferred Stock.</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September 2024, in connection with the PIPE Financing, the Company issued and sold an aggregate of 2,439 shares of the Company Series A Preferred Stock at a purchase price of $23,000.00 per share. In November 2024, the 2,439 shares of the Company Series A Preferred Stock were converted to 2,439,000 shares of Company Common Stock. As of December 31, 2024, there are no outstanding shares of Company Series A Preferred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8" w:name="page109"/>
    <w:bookmarkEnd w:id="108"/>
    <w:p>
      <w:pPr>
        <w:ind w:left="340"/>
        <w:spacing w:after="0"/>
        <w:rPr>
          <w:sz w:val="20"/>
          <w:szCs w:val="20"/>
          <w:color w:val="auto"/>
        </w:rPr>
      </w:pPr>
      <w:r>
        <w:rPr>
          <w:rFonts w:ascii="Times New Roman" w:cs="Times New Roman" w:eastAsia="Times New Roman" w:hAnsi="Times New Roman"/>
          <w:sz w:val="18"/>
          <w:szCs w:val="18"/>
          <w:color w:val="auto"/>
        </w:rPr>
        <w:t>As of December 31, 2024, convertible preferred stock consisted of the following (in thousands, except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Preferred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Stock Issued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Issuable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Upon</w:t>
            </w:r>
          </w:p>
        </w:tc>
      </w:tr>
      <w:tr>
        <w:trPr>
          <w:trHeight w:val="245"/>
        </w:trPr>
        <w:tc>
          <w:tcPr>
            <w:tcW w:w="59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Conversion</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251,504</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137,138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11,428,149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Pursuant to the Certificate of Designation of Preferences, Rights and Limitations of the Series A Non-Voting Convertible Preferred Stock (the “Series A Certificate of Designation”) filed in connection with the PIPE Financing, holders of Company Series A Preferred Stock were entitled to receive dividends on shares of Company Series A Preferred Stock equal to, on an as-if-converted-to-Company Common Stock basis, and in the same form as, dividends actually paid on shares of Company Common Stock. Except as provided in the Series A Certificate of Designation or as otherwise required by law, the Company Series A Preferred Stock did not have voting rights. The Company Series A Preferred Stock shall rank on parity with the Company Common Stock and Company Series B Preferred Stock upon any liquidation, dissolution or winding-up of the Company. Subject to the terms and limitations contained in the Series A Certificate of Designation, the Company Series A Preferred Stock issued in the PIPE Financing will not become convertible until the Company’s stockholders approve the conversion of the Company Series A Preferred Stock into shares of Company Common Stock in accordance with the listing rules of the Nasdaq Stock Market (the “Stockholder Approval”), which, on issuance, resulted in the Company Series A Preferred Stock being classified outside of stockholders’ equity on the Company’s consolidated balance sheet. Following the Stockholder Approval in November 2024, each share of Company Series A Preferred Stock was automatically converted into 1,000 shares of Company Common Stock.</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Certificate of Designation of Preferences, Rights and Limitations of the Series B Non-Voting Convertible Preferred Stock (the “Series B Certificate of Designation”) filed in connection with the Merger, holders of Company Series B Preferred Stock are entitled to receive dividends on shares of Company Series B Preferred Stock equal to, on an as-if-converted-to-Company Common Stock basis, and in the same form as, dividends actually paid on shares of Company Common Stock. Except as provided in the Series B Certificate of Designation or as otherwise required by law, the Company Series B Preferred Stock does not have voting rights. The Company Series B Preferred Stock shall rank on parity with the Company Common Stock as to the distribution of assets upon any liquidation, dissolution, or winding-up of the Company. Each share of Company Series B Preferred Stock is convertible at the option of the holder, at any time, and without the payment of additional consideration by the holder. As of December 31, 2024, each outstanding share of Company Series B Preferred Stock was convertible into common stock at a ratio of approximately 83.3332:1.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Paruka Warrant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31, 2024, the Company settled its 2024 obligations under the Paruka Warrant Obligation (defined below) by issuing Paruka a warrant to purchase 596,930 shares of Company Common Stock at an exercise price of $19.39 per share. The warrant has a term of 10 years, is fully vested, and is exercisable in part or full at any time during the term of the warrant. As of December 31, 2024, the warrant issued under the Paruka Warrant Obligation is outstanding and unexercised. See Note 9 for additional information on the Paruka Warrant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the Certificate of Incorporation provides for 545,000,000 authorized shares of Company Common Stock. As of December 31, 2024, 37,440,510 shares of Company Common Stock were issued and outstanding, including 2,207,553 shares of RSAs issued and outstanding.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4"/>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December 31, 2024, the Company had common stock reserved for future issuance as follows: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10020" w:type="dxa"/>
            <w:vAlign w:val="bottom"/>
          </w:tcPr>
          <w:p>
            <w:pPr>
              <w:spacing w:after="0"/>
              <w:rPr>
                <w:sz w:val="24"/>
                <w:szCs w:val="24"/>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0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on conversion of Company Series B Preferred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11,428,149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upon exercise of pre-funded warrants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6,202,207</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exercise of warrant under the Paruka Warrant Obligation</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596,930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and issued stock options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1,567,760</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issued employee warrants</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3,054,358</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grant under 2024 Stock Incentive Plan</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4,246,324</w:t>
            </w:r>
          </w:p>
        </w:tc>
        <w:tc>
          <w:tcPr>
            <w:tcW w:w="80" w:type="dxa"/>
            <w:vAlign w:val="bottom"/>
          </w:tcPr>
          <w:p>
            <w:pPr>
              <w:spacing w:after="0"/>
              <w:rPr>
                <w:sz w:val="18"/>
                <w:szCs w:val="18"/>
                <w:color w:val="auto"/>
              </w:rPr>
            </w:pPr>
          </w:p>
        </w:tc>
      </w:tr>
      <w:tr>
        <w:trPr>
          <w:trHeight w:val="249"/>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grant under 2024 Employee Stock Purchase Plan</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460,529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27,556,257</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2024 Equity Incentive Plan (“2024 Plan”) was adopted by the board of directors of Pre-Merger Oruka on February 6, 2024. The 2024 Plan provided for Pre-Merger Oruka to grant stock options, restricted stock awards, restricted stock units, and other stock-based awards to employees, officers, directors, consultants, and advisors. Equity Incentive Stock options granted under the 2024 Plan generally vest over four years, subject to the participant’s continued service, and expire after ten years, although two non-employee stock options were granted with vesting terms less than four years. As of December 31, 2024, there are no shares of common stock available for issuance.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Stock Incentive Plan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22, 2024, the 2024 Stock Incentive Plan (“2024 Stock Plan”) was approved by the Company’s stockholders and on August 29, 2024, the board of directors of the Company (the “Board”) ratified the 2024 Stock Plan. The 2024 Stock Plan allows for the grant of stock options, stock appreciation rights, restricted stock awards, restricted stock units, other stockholder-based awards and incentive bonuses. The 2024 Stock Plan is administered by the Compensation Committee of the Board (the “Compensation Committee”) or another committee designated by the Board to administer the Plan. The initial share pool under the 2024 Stock Plan is 4,634,891 shares of Company Common Stock. During the period from February 6, 2024 (inception) to December 31, 2024, 388,567 shares were subject to outstanding stock options, and as of December 31, 2024, there were 4,246,324 shares available in the pool. The shares that may be issued under the 2024 Stock Plan will be automatically increased on January 1 of each year beginning in 2025 and ending with a final increase on January 1, 2034 in an amount equal to 5% of the diluted stock (including Company Common Stock, preferred stock and unexercised pre-funded warrants) on the preceding December 31, unless a lower, or no, increase is determined by the Compensation Committee. Current or prospective employees, officers, non-employee directors, and other independent service providers of the Company and its subsidiaries are eligible to participate in the 2024 Stock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Employee Stock Purchase Plan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2024 Employee Stock Purchase Plan (the “ESPP”) became effective on August 29, 2024, at which time 463,489 shares of Company Common Stock were reserved for issuance. Eligible employees may purchase shares of Company Common Stock under the ESPP at 85% of the lower of the fair market value of the Company Common Stock as of the first or the last day of each offering period. Employees are limited to contributing 15% of the employee’s eligible compensation and may not purchase more than $25,000 of stock during any calendar year. The ESPP will terminate ten years from the first purchase date under the plan, unless terminated earlier by the board of directors.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shares that may be issued under the ESPP will be automatically increased on January 1 of each year beginning in 2025 and ending with a final increase on January 1, 2034 in an amount equal to 1% of the diluted stock (including Company Common Stock, preferred stock and unexercised pre-funded warrants) on the preceding December 31, unless a lower, or no increase is determined by the Compensation Committee. During the period from February 6, 2024 (inception) to December 31, 2024, 2,960 shares of Company Common Stock were issued out of the ESPP and as of December 31, 2024, there were 460,529 shares of Company Common Stock available in the pool.</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period February 6, 2024 (inception) to December 31, 2024, stock-based compensation expense related to the ESPP was less than $0.1 million.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weighted-average assumptions used in calculating the fair value of the awards for the period from February 6, 2024 (inception) to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Period from</w:t>
            </w:r>
          </w:p>
        </w:tc>
      </w:tr>
      <w:tr>
        <w:trPr>
          <w:trHeight w:val="216"/>
        </w:trPr>
        <w:tc>
          <w:tcPr>
            <w:tcW w:w="99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February 6,</w:t>
            </w:r>
          </w:p>
        </w:tc>
      </w:tr>
      <w:tr>
        <w:trPr>
          <w:trHeight w:val="216"/>
        </w:trPr>
        <w:tc>
          <w:tcPr>
            <w:tcW w:w="99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Pr>
          <w:p>
            <w:pPr>
              <w:spacing w:after="0"/>
              <w:rPr>
                <w:sz w:val="18"/>
                <w:szCs w:val="18"/>
                <w:color w:val="auto"/>
              </w:rPr>
            </w:pPr>
          </w:p>
        </w:tc>
      </w:tr>
      <w:tr>
        <w:trPr>
          <w:trHeight w:val="216"/>
        </w:trPr>
        <w:tc>
          <w:tcPr>
            <w:tcW w:w="99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(Inception) to</w:t>
            </w:r>
          </w:p>
        </w:tc>
      </w:tr>
      <w:tr>
        <w:trPr>
          <w:trHeight w:val="216"/>
        </w:trPr>
        <w:tc>
          <w:tcPr>
            <w:tcW w:w="998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99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100.21%</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4.26%</w:t>
            </w:r>
          </w:p>
        </w:tc>
      </w:t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activities under the 2024 Plan and 2024 Stock Plan for the period of February 6, 2024 (inception)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Price Per</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February 6, 2024 (inception)</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1,567,760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11.39</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11.39</w:t>
            </w:r>
          </w:p>
        </w:tc>
        <w:tc>
          <w:tcPr>
            <w:tcW w:w="12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15,470</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1,567,760</w:t>
            </w:r>
          </w:p>
        </w:tc>
        <w:tc>
          <w:tcPr>
            <w:tcW w:w="260" w:type="dxa"/>
            <w:vAlign w:val="bottom"/>
            <w:gridSpan w:val="2"/>
            <w:vMerge w:val="continue"/>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1220" w:type="dxa"/>
            <w:vAlign w:val="bottom"/>
            <w:gridSpan w:val="2"/>
            <w:vMerge w:val="continue"/>
            <w:shd w:val="clear" w:color="auto" w:fill="CCEEFF"/>
          </w:tcPr>
          <w:p>
            <w:pPr>
              <w:spacing w:after="0"/>
              <w:rPr>
                <w:sz w:val="21"/>
                <w:szCs w:val="21"/>
                <w:color w:val="auto"/>
              </w:rPr>
            </w:pPr>
          </w:p>
        </w:tc>
        <w:tc>
          <w:tcPr>
            <w:tcW w:w="240" w:type="dxa"/>
            <w:vAlign w:val="bottom"/>
            <w:gridSpan w:val="2"/>
            <w:vMerge w:val="continue"/>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December 31, 2024</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bottom w:val="single" w:sz="8" w:color="CCEEFF"/>
            </w:tcBorders>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11.39</w:t>
            </w:r>
          </w:p>
        </w:tc>
        <w:tc>
          <w:tcPr>
            <w:tcW w:w="1220" w:type="dxa"/>
            <w:vAlign w:val="bottom"/>
            <w:tcBorders>
              <w:top w:val="single" w:sz="8" w:color="CCEEFF"/>
              <w:bottom w:val="single" w:sz="8" w:color="CCEEFF"/>
            </w:tcBorders>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Borders>
              <w:top w:val="single" w:sz="8" w:color="CCEEFF"/>
              <w:bottom w:val="single" w:sz="8" w:color="CCEEFF"/>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15,470</w:t>
            </w: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vMerge w:val="continue"/>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1,567,760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gridSpan w:val="2"/>
            <w:vMerge w:val="continue"/>
          </w:tcPr>
          <w:p>
            <w:pPr>
              <w:spacing w:after="0"/>
              <w:rPr>
                <w:sz w:val="22"/>
                <w:szCs w:val="22"/>
                <w:color w:val="auto"/>
              </w:rPr>
            </w:pPr>
          </w:p>
        </w:tc>
        <w:tc>
          <w:tcPr>
            <w:tcW w:w="1180" w:type="dxa"/>
            <w:vAlign w:val="bottom"/>
            <w:tcBorders>
              <w:bottom w:val="single" w:sz="8" w:color="CCEEFF"/>
            </w:tcBorders>
            <w:gridSpan w:val="2"/>
            <w:vMerge w:val="continue"/>
          </w:tcPr>
          <w:p>
            <w:pPr>
              <w:spacing w:after="0"/>
              <w:rPr>
                <w:sz w:val="22"/>
                <w:szCs w:val="22"/>
                <w:color w:val="auto"/>
              </w:rPr>
            </w:pPr>
          </w:p>
        </w:tc>
        <w:tc>
          <w:tcPr>
            <w:tcW w:w="1220" w:type="dxa"/>
            <w:vAlign w:val="bottom"/>
            <w:tcBorders>
              <w:bottom w:val="single" w:sz="8" w:color="CCEEFF"/>
            </w:tcBorders>
            <w:gridSpan w:val="2"/>
            <w:vMerge w:val="continue"/>
          </w:tcPr>
          <w:p>
            <w:pPr>
              <w:spacing w:after="0"/>
              <w:rPr>
                <w:sz w:val="22"/>
                <w:szCs w:val="22"/>
                <w:color w:val="auto"/>
              </w:rPr>
            </w:pPr>
          </w:p>
        </w:tc>
        <w:tc>
          <w:tcPr>
            <w:tcW w:w="240" w:type="dxa"/>
            <w:vAlign w:val="bottom"/>
            <w:tcBorders>
              <w:bottom w:val="single" w:sz="8" w:color="CCEEFF"/>
            </w:tcBorders>
            <w:gridSpan w:val="2"/>
            <w:vMerge w:val="continue"/>
          </w:tcPr>
          <w:p>
            <w:pPr>
              <w:spacing w:after="0"/>
              <w:rPr>
                <w:sz w:val="22"/>
                <w:szCs w:val="22"/>
                <w:color w:val="auto"/>
              </w:rPr>
            </w:pPr>
          </w:p>
        </w:tc>
        <w:tc>
          <w:tcPr>
            <w:tcW w:w="112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Exercisable, December 31, 2024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weighted average grant-date fair value per share of stock options granted during the period from February 6, 2024 (inception) to December 31, 2024 was $9.12 per share. Aggregate intrinsic value represents the difference between the estimated fair value of the underlying Company Common Stock and the exercise price of outstanding, in-the-money employee stock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February 2024 and March 2024, the Company issued 2,207,553 shares of RSAs to certain employees, directors, and consultants at a price of $0.0001 per share, the then par value of Pre-Merger Oruka Common Stock. Such RSAs have service-based vesting conditions only and vest over a four-year period, during which time all unvested shares are subject to forfeiture in the event the holder’s service with the Company voluntarily or involuntarily terminates. As of December 31, 2024, none of the RSAs had vested. For the period February 6, 2024 (inception) to December 31, 2024, stock-based compensation expense related to RSAs was less than $0.1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1" w:name="page112"/>
    <w:bookmarkEnd w:id="111"/>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RSA activity for the period from February 6, 2024 (inception) through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RSAs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balance as of February 6, 2024 (inception)</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2,207,553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balance as of December 31, 2024</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2,207,553</w:t>
            </w:r>
          </w:p>
        </w:tc>
        <w:tc>
          <w:tcPr>
            <w:tcW w:w="100" w:type="dxa"/>
            <w:vAlign w:val="bottom"/>
            <w:vMerge w:val="continue"/>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Option Agreements and the Paruka Warrant Obligation</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part of the Option Agreements, on December 31, 2024 the Company granted and on December 31, 2025, will grant Paruka a warrant to purchase a number of shares equal to 1.00% of outstanding shares as of the date of the grant on a fully-diluted basis, with an exercise price equal to the fair market value of the underlying shares on the grant date (the “Paruka Warrant Obligation”).</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grant dates for the issuance of warrants were expected to be December 31, 2024 and December 31, 2025 as all terms of the award, including number of shares and exercise price, will be known by all parties. The Company determined that the 2024 and 2025 grants are two separate grants, as there would be no obligation for the 2025 grant had the Company exercised or terminated all of the options under the Option Agreements prior to December 31, 2024. The service inception period for the grant precedes the grant date, with the full award being vested as of the grant date with no post-grant date service requirement. Accordingly, the warrant expected to be granted to Paruka was accounted for as a liability on the balance sheet on the service inception date and, after the initial recognition, the liability is adjusted to fair value at the end of each reporting period, with changes in fair value recorded in the consolidated statement of operations and comprehensive loss as stock-based compensation expenses under research and development expenses. Accordingly, the Company measured the grant date fair value of the warrant granted on December 31, 2024 at $10.4 million. For the period from February 6, 2024 (inception) to December 31, 2024, $10.4 million was recognized as stock-based compensation expense related to the Paruka Warrant Obligation in the consolidated statement of operations and comprehensive loss. As of December 31, 2024, there was no unamortized expense related to the December 31, 2024 Paruka Warrant Obligation. On issuance of the warrant to Paruka, the fair value of the warrant was reclassified from liability to equity on the consolidated balance sheet as of December 31,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Warrants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stated above, on July 3, 2024, the Subscription Agreement was amended and restated, among other things, for employee warrants to be issued to certain Pre-Merger Oruka employees and directors immediately prior to the closing of the Merger. Pursuant to this amendment, during the period from February 6, 2024 (inception) to December 31, 2024, the Company issued 3,054,358 warrants at an exercise price of $7.80 per warrant, which are accounted as equity in the consolidated financial statements. The employee warrants were subject to performance and service based vesting requirements and upon completion of the Merger the performance-based requirements had been achieved.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warrant activity for the period from February 6, 2024 (inception) through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Price Per</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February 6, 2024 (inception)</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3,054,358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7.80</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7.80</w:t>
            </w:r>
          </w:p>
        </w:tc>
        <w:tc>
          <w:tcPr>
            <w:tcW w:w="12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35,400</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3,054,358</w:t>
            </w:r>
          </w:p>
        </w:tc>
        <w:tc>
          <w:tcPr>
            <w:tcW w:w="260" w:type="dxa"/>
            <w:vAlign w:val="bottom"/>
            <w:gridSpan w:val="2"/>
            <w:vMerge w:val="continue"/>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1220" w:type="dxa"/>
            <w:vAlign w:val="bottom"/>
            <w:gridSpan w:val="2"/>
            <w:vMerge w:val="continue"/>
            <w:shd w:val="clear" w:color="auto" w:fill="CCEEFF"/>
          </w:tcPr>
          <w:p>
            <w:pPr>
              <w:spacing w:after="0"/>
              <w:rPr>
                <w:sz w:val="21"/>
                <w:szCs w:val="21"/>
                <w:color w:val="auto"/>
              </w:rPr>
            </w:pPr>
          </w:p>
        </w:tc>
        <w:tc>
          <w:tcPr>
            <w:tcW w:w="240" w:type="dxa"/>
            <w:vAlign w:val="bottom"/>
            <w:gridSpan w:val="2"/>
            <w:vMerge w:val="continue"/>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December 31, 2024</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bottom w:val="single" w:sz="8" w:color="CCEEFF"/>
            </w:tcBorders>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7.80</w:t>
            </w:r>
          </w:p>
        </w:tc>
        <w:tc>
          <w:tcPr>
            <w:tcW w:w="1220" w:type="dxa"/>
            <w:vAlign w:val="bottom"/>
            <w:tcBorders>
              <w:top w:val="single" w:sz="8" w:color="CCEEFF"/>
              <w:bottom w:val="single" w:sz="8" w:color="CCEEFF"/>
            </w:tcBorders>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Borders>
              <w:top w:val="single" w:sz="8" w:color="CCEEFF"/>
              <w:bottom w:val="single" w:sz="8" w:color="CCEEFF"/>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35,400</w:t>
            </w: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vMerge w:val="continue"/>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3,054,358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gridSpan w:val="2"/>
            <w:vMerge w:val="continue"/>
          </w:tcPr>
          <w:p>
            <w:pPr>
              <w:spacing w:after="0"/>
              <w:rPr>
                <w:sz w:val="22"/>
                <w:szCs w:val="22"/>
                <w:color w:val="auto"/>
              </w:rPr>
            </w:pPr>
          </w:p>
        </w:tc>
        <w:tc>
          <w:tcPr>
            <w:tcW w:w="1180" w:type="dxa"/>
            <w:vAlign w:val="bottom"/>
            <w:tcBorders>
              <w:bottom w:val="single" w:sz="8" w:color="CCEEFF"/>
            </w:tcBorders>
            <w:gridSpan w:val="2"/>
            <w:vMerge w:val="continue"/>
          </w:tcPr>
          <w:p>
            <w:pPr>
              <w:spacing w:after="0"/>
              <w:rPr>
                <w:sz w:val="22"/>
                <w:szCs w:val="22"/>
                <w:color w:val="auto"/>
              </w:rPr>
            </w:pPr>
          </w:p>
        </w:tc>
        <w:tc>
          <w:tcPr>
            <w:tcW w:w="1220" w:type="dxa"/>
            <w:vAlign w:val="bottom"/>
            <w:tcBorders>
              <w:bottom w:val="single" w:sz="8" w:color="CCEEFF"/>
            </w:tcBorders>
            <w:gridSpan w:val="2"/>
            <w:vMerge w:val="continue"/>
          </w:tcPr>
          <w:p>
            <w:pPr>
              <w:spacing w:after="0"/>
              <w:rPr>
                <w:sz w:val="22"/>
                <w:szCs w:val="22"/>
                <w:color w:val="auto"/>
              </w:rPr>
            </w:pPr>
          </w:p>
        </w:tc>
        <w:tc>
          <w:tcPr>
            <w:tcW w:w="240" w:type="dxa"/>
            <w:vAlign w:val="bottom"/>
            <w:tcBorders>
              <w:bottom w:val="single" w:sz="8" w:color="CCEEFF"/>
            </w:tcBorders>
            <w:gridSpan w:val="2"/>
            <w:vMerge w:val="continue"/>
          </w:tcPr>
          <w:p>
            <w:pPr>
              <w:spacing w:after="0"/>
              <w:rPr>
                <w:sz w:val="22"/>
                <w:szCs w:val="22"/>
                <w:color w:val="auto"/>
              </w:rPr>
            </w:pPr>
          </w:p>
        </w:tc>
        <w:tc>
          <w:tcPr>
            <w:tcW w:w="112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Exercisable, December 31, 2024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weighted average grant-date fair value per share of warrants granted during the period from February 6, 2024 (inception) to December 31, 2024 was $6.27 per share. Aggregate intrinsic value represents the difference between the estimated fair value of the underlying Company Common Stock and the exercise price of outstanding, in-the-money warrants.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2" w:name="page113"/>
    <w:bookmarkEnd w:id="112"/>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weighted-average assumptions used in calculating the fair value of the warrants for the period from February 6, 2024 (inception) to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Period from</w:t>
            </w:r>
          </w:p>
        </w:tc>
      </w:tr>
      <w:tr>
        <w:trPr>
          <w:trHeight w:val="216"/>
        </w:trPr>
        <w:tc>
          <w:tcPr>
            <w:tcW w:w="99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February 6,</w:t>
            </w:r>
          </w:p>
        </w:tc>
      </w:tr>
      <w:tr>
        <w:trPr>
          <w:trHeight w:val="216"/>
        </w:trPr>
        <w:tc>
          <w:tcPr>
            <w:tcW w:w="99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Pr>
          <w:p>
            <w:pPr>
              <w:spacing w:after="0"/>
              <w:rPr>
                <w:sz w:val="18"/>
                <w:szCs w:val="18"/>
                <w:color w:val="auto"/>
              </w:rPr>
            </w:pPr>
          </w:p>
        </w:tc>
      </w:tr>
      <w:tr>
        <w:trPr>
          <w:trHeight w:val="216"/>
        </w:trPr>
        <w:tc>
          <w:tcPr>
            <w:tcW w:w="99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(Inception) to</w:t>
            </w:r>
          </w:p>
        </w:tc>
      </w:tr>
      <w:tr>
        <w:trPr>
          <w:trHeight w:val="216"/>
        </w:trPr>
        <w:tc>
          <w:tcPr>
            <w:tcW w:w="99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99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99.02%</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4.15%</w:t>
            </w:r>
          </w:p>
        </w:tc>
      </w:t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classification of the Company’s stock-based compensation expense in the consolidated statement of operations and comprehensive loss (in thousands):</w:t>
      </w:r>
    </w:p>
    <w:p>
      <w:pPr>
        <w:spacing w:after="0" w:line="158"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Period from</w:t>
      </w:r>
    </w:p>
    <w:p>
      <w:pPr>
        <w:spacing w:after="0" w:line="31"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February 6,</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(Inception) to</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11,992</w:t>
            </w:r>
          </w:p>
        </w:tc>
        <w:tc>
          <w:tcPr>
            <w:tcW w:w="100" w:type="dxa"/>
            <w:vAlign w:val="bottom"/>
            <w:tcBorders>
              <w:top w:val="single" w:sz="8" w:color="CCEEFF"/>
            </w:tcBorders>
            <w:shd w:val="clear" w:color="auto" w:fill="CCEEFF"/>
          </w:tcPr>
          <w:p>
            <w:pPr>
              <w:spacing w:after="0"/>
              <w:rPr>
                <w:sz w:val="19"/>
                <w:szCs w:val="19"/>
                <w:color w:val="auto"/>
              </w:rPr>
            </w:pP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14,919</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2024, total unrecognized compensation cost related to the unvested stock options was $12.7 million, which is expected to be recognized over a weighted average period of approximately 3.2 years. As of December 31, 2024, total unrecognized compensation cost related to the unvested RSAs was less than $0.1 million, which is expected to be recognized over a weighted average period of 3.1 years. As of December 31, 2024, the unrecognized compensation cost related to the employee warrants was $16.3 million, which is expected to be recognized over a weighted average period of 3.3 years.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award types of the Company’s stock-based compensation expense in the consolidated statement of operations and comprehensive loss (in thousands):</w:t>
      </w:r>
    </w:p>
    <w:p>
      <w:pPr>
        <w:spacing w:after="0" w:line="158"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Period from</w:t>
      </w:r>
    </w:p>
    <w:p>
      <w:pPr>
        <w:spacing w:after="0" w:line="31"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February 6,</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9" w:lineRule="exact"/>
        <w:rPr>
          <w:sz w:val="20"/>
          <w:szCs w:val="20"/>
          <w:color w:val="auto"/>
        </w:rPr>
      </w:pPr>
    </w:p>
    <w:p>
      <w:pPr>
        <w:jc w:val="center"/>
        <w:ind w:left="9860"/>
        <w:spacing w:after="0"/>
        <w:rPr>
          <w:sz w:val="20"/>
          <w:szCs w:val="20"/>
          <w:color w:val="auto"/>
        </w:rPr>
      </w:pPr>
      <w:r>
        <w:rPr>
          <w:rFonts w:ascii="Times New Roman" w:cs="Times New Roman" w:eastAsia="Times New Roman" w:hAnsi="Times New Roman"/>
          <w:sz w:val="18"/>
          <w:szCs w:val="18"/>
          <w:b w:val="1"/>
          <w:bCs w:val="1"/>
          <w:color w:val="auto"/>
        </w:rPr>
        <w:t>(Inception) to</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Paruka Warrant Obligation</w:t>
            </w:r>
          </w:p>
        </w:tc>
        <w:tc>
          <w:tcPr>
            <w:tcW w:w="62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10,357</w:t>
            </w: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Employee warrants</w:t>
            </w:r>
          </w:p>
        </w:tc>
        <w:tc>
          <w:tcPr>
            <w:tcW w:w="6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2,899</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6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1,626</w:t>
            </w:r>
          </w:p>
        </w:tc>
      </w:tr>
      <w:tr>
        <w:trPr>
          <w:trHeight w:val="236"/>
        </w:trPr>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62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20"/>
                <w:szCs w:val="20"/>
                <w:color w:val="auto"/>
              </w:rPr>
            </w:pPr>
          </w:p>
        </w:tc>
      </w:tr>
      <w:tr>
        <w:trPr>
          <w:trHeight w:val="250"/>
        </w:trPr>
        <w:tc>
          <w:tcPr>
            <w:tcW w:w="3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6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38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8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gridSpan w:val="2"/>
          </w:tcPr>
          <w:p>
            <w:pPr>
              <w:jc w:val="right"/>
              <w:ind w:right="4490"/>
              <w:spacing w:after="0"/>
              <w:rPr>
                <w:sz w:val="20"/>
                <w:szCs w:val="20"/>
                <w:color w:val="auto"/>
              </w:rPr>
            </w:pPr>
            <w:r>
              <w:rPr>
                <w:rFonts w:ascii="Times New Roman" w:cs="Times New Roman" w:eastAsia="Times New Roman" w:hAnsi="Times New Roman"/>
                <w:sz w:val="18"/>
                <w:szCs w:val="18"/>
                <w:color w:val="auto"/>
              </w:rPr>
              <w:t>F-24</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10. Segment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operates and manages its business activities on a consolidated basis and operates in one reportable segment.</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reportable and operating segment. Its Chief Executive Officer, serving as the Chief Operating Decision Maker (“CODM”), oversees operations on an aggregated basis to allocate resources effectively. In assessing the Company’s financial performance, the CODM regularly reviews total operating expenses and consolidated net loss.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the balance sheet as total consolidated assets. The Company’s long-lived assets consist primarily of property and equipment, net. As of December 31, 2024 all of long-lived assets were in the U.S.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table below is a summary of the segment loss from operations, including significant segment expenses (in thousands):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0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February 6,</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(Inception) to</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100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personnel-related (excluding stock-based compensation)</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personnel-related (excluding stock-based compensation)</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5,054</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stock-based compensation</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11,992</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stock-based compensation</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2,927</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57,680</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1,429</w:t>
            </w:r>
          </w:p>
        </w:tc>
        <w:tc>
          <w:tcPr>
            <w:tcW w:w="0" w:type="dxa"/>
            <w:vAlign w:val="bottom"/>
          </w:tcPr>
          <w:p>
            <w:pPr>
              <w:spacing w:after="0"/>
              <w:rPr>
                <w:sz w:val="1"/>
                <w:szCs w:val="1"/>
                <w:color w:val="auto"/>
              </w:rPr>
            </w:pP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excluding personnel-related and stock-based compensation</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5,082</w:t>
            </w:r>
          </w:p>
        </w:tc>
        <w:tc>
          <w:tcPr>
            <w:tcW w:w="0" w:type="dxa"/>
            <w:vAlign w:val="bottom"/>
          </w:tcPr>
          <w:p>
            <w:pPr>
              <w:spacing w:after="0"/>
              <w:rPr>
                <w:sz w:val="1"/>
                <w:szCs w:val="1"/>
                <w:color w:val="auto"/>
              </w:rPr>
            </w:pPr>
          </w:p>
        </w:tc>
      </w:tr>
      <w:tr>
        <w:trPr>
          <w:trHeight w:val="210"/>
        </w:trPr>
        <w:tc>
          <w:tcPr>
            <w:tcW w:w="1002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88,123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(88,123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Income Taxes</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 provision for income taxes was recorded for the period from February 6, 2024 (inception) to December 31, 2024.</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loss before income tax expense by jurisdiction for the periods indicated: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February 6,</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(Inception) to</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100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10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period from February 6, 2024 (inception) to December 31, 2024, the Company recognized no provision or benefit from income taxes. The difference between the Company’s provision for income taxes and the amounts computed by applying the statutory federal income tax rate to income before income taxes is as follows:</w:t>
      </w:r>
    </w:p>
    <w:p>
      <w:pPr>
        <w:sectPr>
          <w:pgSz w:w="11900" w:h="16838" w:orient="portrait"/>
          <w:cols w:equalWidth="0" w:num="1">
            <w:col w:w="11240"/>
          </w:cols>
          <w:pgMar w:left="320" w:top="873" w:right="339" w:bottom="10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860"/>
        <w:spacing w:after="0" w:line="261" w:lineRule="auto"/>
        <w:rPr>
          <w:sz w:val="20"/>
          <w:szCs w:val="20"/>
          <w:color w:val="auto"/>
        </w:rPr>
      </w:pPr>
      <w:r>
        <w:rPr>
          <w:rFonts w:ascii="Times New Roman" w:cs="Times New Roman" w:eastAsia="Times New Roman" w:hAnsi="Times New Roman"/>
          <w:sz w:val="18"/>
          <w:szCs w:val="18"/>
          <w:color w:val="auto"/>
        </w:rPr>
        <w:t>Tax benefit derived by applying the federal statutory rate to income before income taxes Permanent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Research and development credits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Change in the valuation allowance</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Income tax (benefit) expense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Period from</w:t>
      </w:r>
    </w:p>
    <w:p>
      <w:pPr>
        <w:spacing w:after="0" w:line="3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February 6,</w:t>
      </w:r>
    </w:p>
    <w:p>
      <w:pPr>
        <w:spacing w:after="0" w:line="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(Inception) to</w:t>
      </w:r>
    </w:p>
    <w:p>
      <w:pPr>
        <w:spacing w:after="0" w:line="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(21.00)%</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(0.18)</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(3.41)</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(0.87)</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25.46</w:t>
      </w:r>
    </w:p>
    <w:p>
      <w:pPr>
        <w:spacing w:after="0" w:line="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26035</wp:posOffset>
            </wp:positionV>
            <wp:extent cx="70294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51435</wp:posOffset>
            </wp:positionV>
            <wp:extent cx="70294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20" w:space="720"/>
            <w:col w:w="1300"/>
          </w:cols>
          <w:pgMar w:left="320" w:top="873" w:right="339" w:bottom="1080" w:gutter="0" w:footer="0" w:header="0"/>
          <w:type w:val="continuous"/>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080"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234"/>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components of the deferred tax assets and liabilities consist of the following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0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0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2,260</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3,080</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3,063</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Accruals and other</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1,477</w:t>
            </w:r>
          </w:p>
        </w:tc>
      </w:tr>
      <w:tr>
        <w:trPr>
          <w:trHeight w:val="250"/>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R&amp;D expenses</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10,994</w:t>
            </w:r>
          </w:p>
        </w:tc>
      </w:tr>
      <w:tr>
        <w:trPr>
          <w:trHeight w:val="203"/>
        </w:trPr>
        <w:tc>
          <w:tcPr>
            <w:tcW w:w="1002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21,501</w:t>
            </w:r>
          </w:p>
        </w:tc>
        <w:tc>
          <w:tcPr>
            <w:tcW w:w="100" w:type="dxa"/>
            <w:vAlign w:val="bottom"/>
            <w:tcBorders>
              <w:top w:val="single" w:sz="8" w:color="CCEEFF"/>
            </w:tcBorders>
          </w:tcPr>
          <w:p>
            <w:pPr>
              <w:spacing w:after="0"/>
              <w:rPr>
                <w:sz w:val="17"/>
                <w:szCs w:val="17"/>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100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(21,317)</w:t>
            </w: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10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has established a full federal and state valuation allowance equal to the net deferred tax assets due to uncertainties regarding the realization of the deferred tax asset based on the Company’s lack of earnings history. The valuation allowance increased by $21.3 million primarily due to continuing loss from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0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as of February 6, 2024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21,317</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Ending balance as of December 31, 2024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21,317</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U.S. net operating loss carryforwards (“NOL”) of $10.8 million. The federal NOL carryforwards do not expire and can be utilized to offset up to 80% of the taxable income in any tax year. For the period from February 6, 2024 (inception) to December 31, 2024 the Company had federal tax credit carryforwards and state tax credit carryforwards of $3.8 million and $0.4 million, respectively. The federal credits will expire starting in 2044 if not utilized, and the state research credit can be carried forward indefinitely.</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Tax Reform Act of 1986 limits the use of net operating loss carryforwards in certain situations where changes occur in the stock ownership of a company. The annual limitation may result in the expiration of net operating losses and credits before utilization. The Company has not performed a Section 382 analysis through December 31, 2024. To the extent that an assessment is completed in the future, the Company’s ability to utilize tax attributes could be restricted on a year-by-year basis and certain attributes could expire before they are utilized. The Company will examine the impact of any potential ownership changes in the future.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gross unrecognized tax benefits is as follows (in thousands):</w:t>
      </w:r>
    </w:p>
    <w:p>
      <w:pPr>
        <w:spacing w:after="0" w:line="221"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Period from</w:t>
      </w:r>
    </w:p>
    <w:p>
      <w:pPr>
        <w:spacing w:after="0" w:line="31"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February 6,</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(Inception) to</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as of February 6, 2024</w:t>
            </w:r>
          </w:p>
        </w:tc>
        <w:tc>
          <w:tcPr>
            <w:tcW w:w="52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r>
      <w:tr>
        <w:trPr>
          <w:trHeight w:val="236"/>
        </w:trPr>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Changes related to tax positions taken in the current year</w:t>
            </w:r>
          </w:p>
        </w:tc>
        <w:tc>
          <w:tcPr>
            <w:tcW w:w="52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Borders>
              <w:bottom w:val="single" w:sz="8" w:color="CCEEFF"/>
            </w:tcBorders>
          </w:tcPr>
          <w:p>
            <w:pPr>
              <w:spacing w:after="0"/>
              <w:rPr>
                <w:sz w:val="20"/>
                <w:szCs w:val="20"/>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Ending balance as of December 31, 2024</w:t>
            </w:r>
          </w:p>
        </w:tc>
        <w:tc>
          <w:tcPr>
            <w:tcW w:w="5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47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78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gridSpan w:val="2"/>
          </w:tcPr>
          <w:p>
            <w:pPr>
              <w:jc w:val="right"/>
              <w:ind w:right="4530"/>
              <w:spacing w:after="0"/>
              <w:rPr>
                <w:sz w:val="20"/>
                <w:szCs w:val="20"/>
                <w:color w:val="auto"/>
              </w:rPr>
            </w:pPr>
            <w:r>
              <w:rPr>
                <w:rFonts w:ascii="Times New Roman" w:cs="Times New Roman" w:eastAsia="Times New Roman" w:hAnsi="Times New Roman"/>
                <w:sz w:val="18"/>
                <w:szCs w:val="18"/>
                <w:color w:val="auto"/>
              </w:rPr>
              <w:t>F-26</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15" w:name="page116"/>
    <w:bookmarkEnd w:id="115"/>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includes penalties and interest expense related to income taxes as a component of income tax expense, as necessary. As of December 31, 2024, the Company had no accrued interest or penalties related to uncertain tax positions.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will be filing initial year income tax returns in the United States federal jurisdiction and state jurisdictions. Due to net operating loss carryforwards, the statute of limitations will remain open for income tax examination.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Option Agreements and License Agreements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March 2024, the Company entered into two antibody discovery and option agreements (“Option Agreements”) with Paragon and Paruka. Under the terms of each agreement, Paragon identifies, evaluates, and develops antibodies directed against certain mutually agreed therapeutic targets of interest to the Company. From time to time, the Company can choose to add additional targets to the collaboration upon agreement with Paragon and Paruka. Under the Option Agreements, the Company has the exclusive option to, on a research program-by-research program basis, be granted an exclusive, worldwide license to all of Paragon’s right, title, and interest in and to the intellectual property resulting from the applicable research program to develop, manufacture, and commercialize the antibodies and products directed to the selected target(s) (each, an “Option”). The Company has initiated certain research programs with Paragon that generally focus on discovering, generating, identifying and/or characterizing antibodies directed to a particular target (each, a “Research Program”), including for IL-23 and IL-17A/F for ORKA-001 and ORKA-002, respectively. The exclusive option with respect to each Research Program is exercisable at the Company’s sole discretion at such time as specified in the Option Agreements (the “Option Period”). There is no payment due upon exercise of an Option pursuant to the Option Agreements. For each of these agreements, once the Company enters into the corresponding license agreements, it will be required to make non-refundable milestone payments to Paragon of up to $12.0 million under each respective agreement upon the achievement of certain clinical development milestones, up to $10.0 million under each respective agreement upon the achievement of certain regulatory milestones, as well as a low single-digit percentage royalty for antibody products beginning on the first commercial sale in each program.</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may terminate any Option Agreement or any Research Program at any time for any or no reason upon 30 days’ prior written notice to Paragon, provided that it must pay certain unpaid fees due to Paragon upon such termination, as well as any non-cancellable obligations reasonably incurred by Paragon in connection with its activities under any terminated Research Program. Paragon may terminate any Option Agreement or a Research Program immediately upon written notice to the Company if, as a result of any action or failure to act by the Company or its affiliates, such Research Program or all material activities under the applicable Research Plan are suspended, discontinued or otherwise delayed for a certain consecutive number of months. Each party has the right to terminate the Option Agreements or any Research Program upon material breach that remains uncured or the other party’s bankruptcy.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Paragon Therapeutics – License Agreements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September 2024, the Company exercised the Option to acquire certain rights to ORKA-001, and in December 2024, it entered into the corresponding license agreement with Paragon (the “ORKA-001 License Agreement”), pursuant to which Paragon granted the Company a royalty-bearing, world-wide, exclusive license to develop, manufacture, commercialize or otherwise exploit certain antibodies and products targeting IL-23 in all fields other than the field of inflammatory bowel disease (“ORKA-001 Field”). In December 2024, the Company exercised the Option with respect to ORKA-002 for the IL-17A/F program, and in February 2025, it entered into the corresponding license agreement with Paragon (the “ORKA-002 License Agreement” and together with the ORKA-001 License Agreement, the “License Agreements”), pursuant to which Paragon granted the Company a royalty-bearing, world-wide, exclusive license to develop, manufacture, commercialize or otherwise exploit certain antibodies and products targeting IL-17A/F in all fields (“ORKA-002 Field” and together with the ORKA-001 Field, the “Fields”).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License Agreements provide the Company with exclusive licenses in the Fields to Paragon’s patent applications covering the related antibodies, their method of use and their method of manufacture and Paragon has agreed not to conduct any new campaigns that generate anti-IL-23 monospecific antibodies or anti-IL-17A/F monospecific antibodies for the ORKA-001 Field or the ORKA-002 Field, respectively, for at least five years. Each of the ORKA-001 and ORKA-002 License Agreements may be terminated on 60 days’ notice to Paragon, on material breach without cure, and on a party’s insolvency or bankruptcy to the extent permitted by law.</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terms of each of the ORKA-001 and ORKA-002 License Agreements, the Company is obligated to pay Paragon non-refundable milestone payments of up to $12.0 million under each respective agreement upon the achievement of certain clinical development milestones and up to $10.0 million under each respective agreement upon the achievement of certain regulatory milestones, including a $1.5 million fee for nomination of a development candidate (or initiation of an IND-enabling toxicology study) and a further milestone payment of $2.5 million upon the first dosing of a human patient in a Phase 1 trial for each of ORKA-001 and ORKA-002. In addition, the Company is obligated to pay Paragon a low single-digit percentage royalty for antibody products for each of ORKA-001 and ORKA-002. For each of the License Agreements, the royalty term ends on the later of (i) the last-to-expire licensed patent or our patent directed to the manufacture, use or sale of a licensed antibody in the country at issue or (ii) 12 years from the date of first sale of a Company product. There is also a royalty step-down if there is no Paragon patent in effect during the royalty term for each program.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6" w:name="page117"/>
    <w:bookmarkEnd w:id="116"/>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as part of the Option Agreements, on December 31, 2024 the Company granted and on December 31, 2025, will grant Paruka a warrant to purchase a number of shares equal to 1.00% of outstanding shares as of the date of the grant on a fully-diluted basis, with an exercise price equal to the fair market value of the underlying shares on the grant date.</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Pursuant to the Option Agreements, on a research program-by-research program basis following the finalization of the research plan for each respective research program, the Company was required to pay Paragon a one-time, nonrefundable research initiation fee of $0.8 million related to the ORKA-001 program. This amount was recognized as a research and development expense during the period from February 6, 2024 (inception) to December 31, 2024. In June 2024, pursuant to the Option Agreements with Paragon, the Company completed the selection process of its development candidate for IL-23 antibody for ORKA-001 program. The Company was responsible for 50% of the development costs incurred through the completion of the IL-23 selection process. The Company received the rights to at least one selected IL-23 antibody in June 2024. During the period from February 6, 2024 (inception) to December 31, 2024, the Company exercised its option for ORKA-001 and recorded a $1.5 million milestone payment related to the achievement of development candidate as research and development expense in the Company’s consolidated statement of operations and comprehensive loss. In addition, during the period from February 6, 2024 (inception) to December 31, 2024, the Company recorded a $2.5 million milestone payment related to the first dosing of a human subject in a Phase 1 trial of ORKA-001 in December 2024 as research and development expense in its consolidated statement of operations and comprehensive loss. The Company’s share of development costs incurred for the period from February 6, 2024 (inception) to December 31, 2024 was $13.5 million (excluding research initiation fee and milestones), which were recorded as research and development expenses. An amount of $2.8 million related to ORKA-001 is included in related party accounts payable and other current liabilities as of December 31, 2024.</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was also required to reimburse Paragon $3.3 million for development costs related to ORKA-002 incurred by Paragon through December 31, 2023 and certain other development costs incurred by Paragon between January 1, 2024 and March 6, 2024 as stipulated by the Option Agreements. This amount was recognized as a research and development expense during the period from February 6, 2024 (inception) to December 31, 2024. The Company is also responsible for the development costs incurred by Paragon from January 1, 2024 through the completion of the IL-17 selection process. The Company recognized an amount of $0.8 million payable to Paragon for the research initiation fee related to ORKA-002 following the finalization of the ORKA-002 research plan. This was recognized as research and development expenses in the period from February 6, 2024 (inception) to December 31, 2024. During the period from February 6, 2024 (inception) to December 31, 2024, the Company exercised its option for ORKA-002 and recorded a $1.5 million milestone payment related to the achievement of development candidate as research and development expense in its consolidated statement of operations and comprehensive loss. The Company accounted for development costs of $7.8 million (excluding research initiation fee, milestone, and reimbursements of development costs through December 31, 2023) for the period from February 6, 2024 (inception) to December 31, 2024 as research and development expenses. An amount of $2.7 million related to ORKA-002 is included in related party accounts payable and other current liabilities as of December 31, 2024.</w:t>
      </w:r>
    </w:p>
    <w:p>
      <w:pPr>
        <w:spacing w:after="0" w:line="19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expenses the service fees as the associated costs are incurred when the underlying services are rendered. Such amounts are classified within research and development expenses in the accompanying consolidated statement of operations and comprehensive loss.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concluded that the rights obtained under the Option Agreements represent an asset acquisition whereby the underlying assets comprise in-process research and development assets with no alternative future use. The Option Agreements did not qualify as a business combination because substantially all of the fair value of the assets acquired was concentrated in the exclusive license options, which represent a group of similar identifiable assets. The research initiation fee represents a one-time cost on a research program-by-research program basis for accessing research services or resources with benefits that are expected to be consumed in the near term, therefore the amounts paid are expensed as part of research and development costs immediately. Amounts paid as reimbursements of ongoing development cost, monthly development cost fee and additional development expenses incurred by Paragon due to work completed for selected targets prior to the effective date of the Option Agreements that is associated with services being rendered under the related Research Programs are recognized as research and development expense when incurred.</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period from February 6, 2024 (inception) to December 31, 2024, the Company recognized $42.0 million of expenses in connection with services provided by Paragon and Paruka under the Option Agreements.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13. Commitment and Contingencies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April 2024, the Company entered into an operating lease agreement for the Company’s headquarters in Menlo Park, California, which commenced on June 15, 2024 with an initial term of 39.5 months. The Company leases office space under this noncancelable operating lease agreement. Lease liabilities are based on the net present value of the remaining lease payments over the remaining lease term. In determining the present value of lease payments, the Company used its incremental borrowing rate when measuring operating lease liabilities as discount rates were not implicit or readily determinable.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$0.9 million of operating lease right-of-use assets, operating lease liability, current of $0.2 million, and operating lease liability, noncurrent of $0.8 million on its consolidated balance sheet. As of December 31, 2024, the operating lease arrangement had a remaining lease term of 33 months and a discount rate of 17.95%. For the period from February 6, 2024 (inception) to December 31, 2024, the Company recorded operating and variable lease expense of $0.3 million in general and administrative expenses in its consolidated statement of operations and comprehensive loss.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Company’s supplemental cash flow information related to leases (in thousands):</w:t>
      </w:r>
    </w:p>
    <w:p>
      <w:pPr>
        <w:spacing w:after="0" w:line="221"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Period from</w:t>
      </w:r>
    </w:p>
    <w:p>
      <w:pPr>
        <w:spacing w:after="0" w:line="31"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February 6,</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(Inception) to</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tabs>
          <w:tab w:leader="none" w:pos="10000" w:val="left"/>
          <w:tab w:leader="none" w:pos="10840" w:val="left"/>
        </w:tabs>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116</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a maturity analysis of the Company’s operating lease liabilities showing the aggregate lease payments as of December 31, 2024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60" w:type="dxa"/>
            <w:vAlign w:val="bottom"/>
          </w:tcPr>
          <w:p>
            <w:pPr>
              <w:spacing w:after="0"/>
              <w:rPr>
                <w:sz w:val="21"/>
                <w:szCs w:val="21"/>
                <w:color w:val="auto"/>
              </w:rPr>
            </w:pP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tcPr>
          <w:p>
            <w:pPr>
              <w:spacing w:after="0"/>
              <w:rPr>
                <w:sz w:val="18"/>
                <w:szCs w:val="18"/>
                <w:color w:val="auto"/>
              </w:rPr>
            </w:pPr>
          </w:p>
        </w:tc>
      </w:tr>
      <w:tr>
        <w:trPr>
          <w:trHeight w:val="250"/>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shd w:val="clear" w:color="auto" w:fill="CCEEFF"/>
          </w:tcPr>
          <w:p>
            <w:pPr>
              <w:spacing w:after="0"/>
              <w:rPr>
                <w:sz w:val="21"/>
                <w:szCs w:val="21"/>
                <w:color w:val="auto"/>
              </w:rPr>
            </w:pPr>
          </w:p>
        </w:tc>
      </w:tr>
      <w:tr>
        <w:trPr>
          <w:trHeight w:val="203"/>
        </w:trPr>
        <w:tc>
          <w:tcPr>
            <w:tcW w:w="1002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undiscounted lease payments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10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w:t>
            </w:r>
          </w:p>
        </w:tc>
      </w:tr>
      <w:tr>
        <w:trPr>
          <w:trHeight w:val="203"/>
        </w:trPr>
        <w:tc>
          <w:tcPr>
            <w:tcW w:w="1002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discounted lease payments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968</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10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current portion of lease liability</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r>
      <w:tr>
        <w:trPr>
          <w:trHeight w:val="237"/>
        </w:trPr>
        <w:tc>
          <w:tcPr>
            <w:tcW w:w="10020" w:type="dxa"/>
            <w:vAlign w:val="bottom"/>
            <w:tcBorders>
              <w:top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Non-current portion of lease liability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Cell Line License Agreement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March 2024, the Company entered into the Cell Line License Agreement (the “Cell Line License Agreement”) with WuXi Biologics Ireland Limited (“WuXi Biologics”). Under the Cell Line License Agreement, the Company received a non-exclusive, worldwide, sublicensable license to certain of WuXi Biologics’ know-how, cell line, biological materials (the “WuXi Biologics Licensed Technology”) and media and feeds to make, have made, use, sell and import certain therapeutic products produced through the use of the cell line licensed by WuXi Biologics under the Cell Line License Agreement (the “WuXi Biologics Licensed Products”). Specifically, the WuXi Biologics Licensed Technology is used in certain manufacturing activities in support of the ORKA-001 and ORKA-002 programs.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consideration for the license, the Company agreed to pay WuXi Biologics a non-refundable license fee of $150,000, which was recognized as a research and development expense during the period from February 6, 2024 (inception) to December 31, 2024. Additionally, to the extent that the Company manufactures its commercial supplies of bulk drug product with a manufacturer other than WuXi Biologics or its affiliates, the Company is required to make royalty payments to WuXi Biologics at a rate of less than one percent of net sales of WuXi Biologics Licensed Products manufactured by the third-party manufacturer. Pursuant to an amendment to the Cell Line License Agreement effective in November 2024, a provision was added that permits the royalties owed under the agreement to be bought out on a product-by-product basis for a lump-sum payment.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Cell Line License Agreement will continue indefinitely unless terminated (i) by the Company upon six months’ prior written notice and its payment of all undisputed amounts due to WuXi Biologics through the effective date of termination, (ii) by WuXi Biologics for a material breach by the Company that remains uncured for 60 days after written notice, (iii) by WuXi Biologics if the Company fails to make a payment and such failure continues for 30 days after receiving notice of such failure, or (iv) by either party upon the other party’s bankruptcy.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Basic and diluted net loss per share attributable to stockholders were calculated as follows (in thousands, except share and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80" w:type="dxa"/>
            <w:vAlign w:val="bottom"/>
            <w:gridSpan w:val="9"/>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Period from February 6, 2024</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(Inception) to</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6"/>
                <w:szCs w:val="16"/>
                <w:color w:val="auto"/>
              </w:rPr>
            </w:pPr>
          </w:p>
        </w:tc>
        <w:tc>
          <w:tcPr>
            <w:tcW w:w="98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Loss Per</w:t>
            </w:r>
          </w:p>
        </w:tc>
        <w:tc>
          <w:tcPr>
            <w:tcW w:w="100" w:type="dxa"/>
            <w:vAlign w:val="bottom"/>
          </w:tcPr>
          <w:p>
            <w:pPr>
              <w:spacing w:after="0"/>
              <w:rPr>
                <w:sz w:val="16"/>
                <w:szCs w:val="16"/>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Share,</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Basic and</w:t>
            </w:r>
          </w:p>
        </w:tc>
      </w:tr>
      <w:tr>
        <w:trPr>
          <w:trHeight w:val="245"/>
        </w:trPr>
        <w:tc>
          <w:tcPr>
            <w:tcW w:w="73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Allocation</w:t>
            </w:r>
          </w:p>
        </w:tc>
        <w:tc>
          <w:tcPr>
            <w:tcW w:w="140" w:type="dxa"/>
            <w:vAlign w:val="bottom"/>
            <w:tcBorders>
              <w:bottom w:val="single" w:sz="8" w:color="CCEEFF"/>
            </w:tcBorders>
            <w:gridSpan w:val="2"/>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Diluted</w:t>
            </w:r>
          </w:p>
        </w:tc>
        <w:tc>
          <w:tcPr>
            <w:tcW w:w="100" w:type="dxa"/>
            <w:vAlign w:val="bottom"/>
            <w:tcBorders>
              <w:bottom w:val="single" w:sz="8" w:color="CCEEFF"/>
            </w:tcBorders>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(65,037)</w:t>
            </w:r>
          </w:p>
        </w:tc>
        <w:tc>
          <w:tcPr>
            <w:tcW w:w="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16,789,362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(3.87)</w:t>
            </w:r>
          </w:p>
        </w:tc>
      </w:tr>
      <w:tr>
        <w:trPr>
          <w:trHeight w:val="257"/>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Company Series A Preferred Stock </w:t>
            </w:r>
            <w:r>
              <w:rPr>
                <w:rFonts w:ascii="Times New Roman" w:cs="Times New Roman" w:eastAsia="Times New Roman" w:hAnsi="Times New Roman"/>
                <w:sz w:val="29"/>
                <w:szCs w:val="29"/>
                <w:color w:val="auto"/>
                <w:vertAlign w:val="superscript"/>
              </w:rPr>
              <w:t>(1)</w:t>
            </w:r>
          </w:p>
        </w:tc>
        <w:tc>
          <w:tcPr>
            <w:tcW w:w="140" w:type="dxa"/>
            <w:vAlign w:val="bottom"/>
          </w:tcPr>
          <w:p>
            <w:pPr>
              <w:spacing w:after="0"/>
              <w:rPr>
                <w:sz w:val="22"/>
                <w:szCs w:val="22"/>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495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(3,873.25)</w:t>
            </w:r>
          </w:p>
        </w:tc>
      </w:tr>
      <w:tr>
        <w:trPr>
          <w:trHeight w:val="290"/>
        </w:trPr>
        <w:tc>
          <w:tcPr>
            <w:tcW w:w="732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Company Series B Preferred Stock </w:t>
            </w:r>
            <w:r>
              <w:rPr>
                <w:rFonts w:ascii="Times New Roman" w:cs="Times New Roman" w:eastAsia="Times New Roman" w:hAnsi="Times New Roman"/>
                <w:sz w:val="29"/>
                <w:szCs w:val="29"/>
                <w:color w:val="auto"/>
                <w:vertAlign w:val="superscript"/>
              </w:rPr>
              <w:t>(2)</w:t>
            </w:r>
          </w:p>
        </w:tc>
        <w:tc>
          <w:tcPr>
            <w:tcW w:w="14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(16,769)</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(322.81)</w:t>
            </w:r>
          </w:p>
        </w:tc>
      </w:tr>
      <w:tr>
        <w:trPr>
          <w:trHeight w:val="237"/>
        </w:trPr>
        <w:tc>
          <w:tcPr>
            <w:tcW w:w="73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(83,724</w:t>
            </w:r>
          </w:p>
        </w:tc>
        <w:tc>
          <w:tcPr>
            <w:tcW w:w="1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tcPr>
          <w:p>
            <w:pPr>
              <w:spacing w:after="0"/>
              <w:rPr>
                <w:sz w:val="20"/>
                <w:szCs w:val="20"/>
                <w:color w:val="auto"/>
              </w:rPr>
            </w:pPr>
          </w:p>
        </w:tc>
        <w:tc>
          <w:tcPr>
            <w:tcW w:w="110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9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1"/>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right="20" w:hanging="332"/>
        <w:spacing w:after="0" w:line="261"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number of shares of as-converted Company Series A Preferred Stock used in the loss allocation was 495,191 for the period from February 6, 2024 (inception) to December 31, 2024.</w:t>
      </w:r>
    </w:p>
    <w:p>
      <w:pPr>
        <w:ind w:left="340" w:right="20" w:hanging="332"/>
        <w:spacing w:after="0" w:line="260"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number of shares of as-converted Company Series B Preferred Stock used in the loss allocation was 4,328,844 for the period from February 6, 2024 (inception) to December 31, 2024.</w:t>
      </w:r>
    </w:p>
    <w:p>
      <w:pPr>
        <w:spacing w:after="0" w:line="1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computation of basic net loss per share attributable to stockholders, the amount of weighted-average shares outstanding excludes all shares of unvested restricted common stock as such shares are not considered outstanding for accounting purposes until vested. The amount of weighted-average shares outstanding includes the pre-funded warrants as the exercise price is negligible and these warrants are fully vested and exercisable.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loss per share attributable to stockholders for the periods presented because including them would have had an anti-dilutive effect were as follows:</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employee 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unvested restricted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Outstanding and issued common stock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and issued warrant to Paruka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1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3,054,358</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2,207,553</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1,567,760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596,930</w:t>
      </w:r>
    </w:p>
    <w:p>
      <w:pPr>
        <w:spacing w:after="0" w:line="5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7,426,601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43180</wp:posOffset>
            </wp:positionV>
            <wp:extent cx="70294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695" w:lineRule="exact"/>
        <w:rPr>
          <w:sz w:val="20"/>
          <w:szCs w:val="20"/>
          <w:color w:val="auto"/>
        </w:rPr>
      </w:pPr>
    </w:p>
    <w:p>
      <w:pPr>
        <w:sectPr>
          <w:pgSz w:w="11900" w:h="16838" w:orient="portrait"/>
          <w:cols w:equalWidth="0" w:num="2">
            <w:col w:w="9320" w:space="720"/>
            <w:col w:w="1200"/>
          </w:cols>
          <w:pgMar w:left="320" w:top="873" w:right="339" w:bottom="1440" w:gutter="0" w:footer="0" w:header="0"/>
          <w:type w:val="continuous"/>
        </w:sectPr>
      </w:pPr>
    </w:p>
    <w:p>
      <w:pPr>
        <w:spacing w:after="0" w:line="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Paragon and Paruka each beneficially own less than 5% of the Company’s capital stock through their respective holdings of Company Common Stock.</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Fairmount beneficially owns more than 5% of the Company’s capital, currently has one representative appointed to the Board, and beneficially owns more than 5% of Paragon. Fairmount appointed Paragon’s board of directors and has the contractual right to approve the appointment of any executive officers of Paragon.</w:t>
      </w:r>
    </w:p>
    <w:p>
      <w:pPr>
        <w:sectPr>
          <w:pgSz w:w="11900" w:h="16838" w:orient="portrait"/>
          <w:cols w:equalWidth="0" w:num="1">
            <w:col w:w="11240"/>
          </w:cols>
          <w:pgMar w:left="320" w:top="873" w:right="339" w:bottom="1440" w:gutter="0" w:footer="0" w:header="0"/>
          <w:type w:val="continuous"/>
        </w:sectPr>
      </w:pP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is a summary of related party accounts payable and other current liabilities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Paragon reimbursable Option Agreements’ fees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Paragon milestone payments for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Paragon reimbursable other research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Paragon reimbursable patent expenses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p>
      <w:pPr>
        <w:ind w:left="375"/>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18" w:lineRule="exact"/>
        <w:rPr>
          <w:sz w:val="20"/>
          <w:szCs w:val="20"/>
          <w:color w:val="auto"/>
        </w:rPr>
      </w:pPr>
    </w:p>
    <w:p>
      <w:pPr>
        <w:ind w:left="695" w:hanging="695"/>
        <w:spacing w:after="0"/>
        <w:tabs>
          <w:tab w:leader="none" w:pos="6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1,482</w:t>
      </w:r>
    </w:p>
    <w:p>
      <w:pPr>
        <w:spacing w:after="0" w:line="27" w:lineRule="exact"/>
        <w:rPr>
          <w:rFonts w:ascii="Times New Roman" w:cs="Times New Roman" w:eastAsia="Times New Roman" w:hAnsi="Times New Roman"/>
          <w:sz w:val="18"/>
          <w:szCs w:val="18"/>
          <w:color w:val="auto"/>
        </w:rPr>
      </w:pPr>
    </w:p>
    <w:p>
      <w:pPr>
        <w:ind w:left="69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w:t>
      </w:r>
    </w:p>
    <w:p>
      <w:pPr>
        <w:spacing w:after="0" w:line="9" w:lineRule="exact"/>
        <w:rPr>
          <w:rFonts w:ascii="Times New Roman" w:cs="Times New Roman" w:eastAsia="Times New Roman" w:hAnsi="Times New Roman"/>
          <w:sz w:val="18"/>
          <w:szCs w:val="18"/>
          <w:color w:val="auto"/>
        </w:rPr>
      </w:pPr>
    </w:p>
    <w:p>
      <w:pPr>
        <w:ind w:left="83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515</w:t>
      </w:r>
    </w:p>
    <w:p>
      <w:pPr>
        <w:spacing w:after="0" w:line="9" w:lineRule="exact"/>
        <w:rPr>
          <w:rFonts w:ascii="Times New Roman" w:cs="Times New Roman" w:eastAsia="Times New Roman" w:hAnsi="Times New Roman"/>
          <w:sz w:val="18"/>
          <w:szCs w:val="18"/>
          <w:color w:val="auto"/>
        </w:rPr>
      </w:pPr>
    </w:p>
    <w:p>
      <w:pPr>
        <w:ind w:left="93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w:t>
      </w:r>
    </w:p>
    <w:p>
      <w:pPr>
        <w:spacing w:after="0" w:line="58" w:lineRule="exact"/>
        <w:rPr>
          <w:sz w:val="20"/>
          <w:szCs w:val="20"/>
          <w:color w:val="auto"/>
        </w:rPr>
      </w:pPr>
    </w:p>
    <w:p>
      <w:pPr>
        <w:ind w:left="695" w:hanging="695"/>
        <w:spacing w:after="0"/>
        <w:tabs>
          <w:tab w:leader="none" w:pos="6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695" w:lineRule="exact"/>
        <w:rPr>
          <w:sz w:val="20"/>
          <w:szCs w:val="20"/>
          <w:color w:val="auto"/>
        </w:rPr>
      </w:pPr>
    </w:p>
    <w:p>
      <w:pPr>
        <w:sectPr>
          <w:pgSz w:w="11900" w:h="16838" w:orient="portrait"/>
          <w:cols w:equalWidth="0" w:num="2">
            <w:col w:w="9305" w:space="720"/>
            <w:col w:w="1215"/>
          </w:cols>
          <w:pgMar w:left="320" w:top="873" w:right="339" w:bottom="1440" w:gutter="0" w:footer="0" w:header="0"/>
          <w:type w:val="continuous"/>
        </w:sectPr>
      </w:pPr>
    </w:p>
    <w:p>
      <w:pPr>
        <w:spacing w:after="0" w:line="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February 2025, the Company entered into a lease agreement for an office space located in Waltham, Massachusetts. The lease is for an initial period of 54 months. The Company expects to pay approximately $1.6 million over the lease term.</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Evaluation of Disclosure Controls and Procedures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evaluated the effectiveness of our disclosure controls and procedures as of December 31, 2024. Based on the foregoing evaluation, our Principal Executive Officer and Principal Financial Officer concluded that our disclosure controls and procedures were effective at a reasonable assurance level as of December 31,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or persons performing similar functions, as appropriate to allow timely decisions regarding required disclosure.</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U.S. GAAP. Our internal control over financial reporting includes those policies and procedures that:</w:t>
      </w:r>
    </w:p>
    <w:p>
      <w:pPr>
        <w:spacing w:after="0" w:line="183"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our transactions and dispositions of our assets;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U.S. GAAP, and that our receipts and expenditures are being made only in accordance with authorizations of our management and directors;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assessed the effectiveness of our internal control over financial reporting as of December 31, 2024. In making this assessment, management used the criteria set forth by the Committee of Sponsoring Organizations of the Treadway Commission (COSO) in its 2013 Internal Control – Integrated Framework. Based on our assessment, our management has concluded that, as of December 31, 2024, our internal control over financial reporting was effective based on those criteria.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0" w:name="page121"/>
    <w:bookmarkEnd w:id="120"/>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regarding internal control over financial reporting. For as long as we remain a “smaller reporting company” as defined by Rule 12b-2 of the Exchange Act and report less than $100 million of annual revenues in our most recent fiscal year, we intend to take advantage of the exemption permitting us not to comply with the requirement that our independent registered public accounting firm provide an attestation on the effectiveness of our internal control over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December 31, 2024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2024, no director or Section 16 officer (as defined in Section 16 of the Securities Exchange Act of 1934, as amended) adopted or terminated any Rule 10b5-1 trading arrangements or non-Rule 10b5-1 trading arrangements (in each case, as defined in Item 408(a)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and Directors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names, ages as of March 6, 2025, and positions of the individuals who currently serve as executive officers and directors of the Company.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2"/>
                <w:szCs w:val="22"/>
                <w:color w:val="auto"/>
              </w:rPr>
            </w:pPr>
          </w:p>
        </w:tc>
        <w:tc>
          <w:tcPr>
            <w:tcW w:w="6260" w:type="dxa"/>
            <w:vAlign w:val="bottom"/>
          </w:tcPr>
          <w:p>
            <w:pPr>
              <w:ind w:left="28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9"/>
        </w:trPr>
        <w:tc>
          <w:tcPr>
            <w:tcW w:w="3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Executive Officers and Employee Director</w:t>
            </w:r>
          </w:p>
        </w:tc>
        <w:tc>
          <w:tcPr>
            <w:tcW w:w="2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60" w:type="dxa"/>
            <w:vAlign w:val="bottom"/>
            <w:tcBorders>
              <w:top w:val="single" w:sz="8" w:color="auto"/>
            </w:tcBorders>
          </w:tcPr>
          <w:p>
            <w:pPr>
              <w:spacing w:after="0"/>
              <w:rPr>
                <w:sz w:val="19"/>
                <w:szCs w:val="19"/>
                <w:color w:val="auto"/>
              </w:rPr>
            </w:pPr>
          </w:p>
        </w:tc>
      </w:tr>
      <w:tr>
        <w:trPr>
          <w:trHeight w:val="229"/>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Lawrence Klein, Ph.D.</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6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0"/>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Arjun Agarwal</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Senior Vice President, Finance and Treasurer</w:t>
            </w:r>
          </w:p>
        </w:tc>
      </w:tr>
      <w:tr>
        <w:trPr>
          <w:trHeight w:val="229"/>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Joana Goncalves, MBChB</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6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30"/>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Quinlan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229"/>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60" w:type="dxa"/>
            <w:vAlign w:val="bottom"/>
            <w:shd w:val="clear" w:color="auto" w:fill="CCEEFF"/>
          </w:tcPr>
          <w:p>
            <w:pPr>
              <w:spacing w:after="0"/>
              <w:rPr>
                <w:sz w:val="19"/>
                <w:szCs w:val="19"/>
                <w:color w:val="auto"/>
              </w:rPr>
            </w:pPr>
          </w:p>
        </w:tc>
      </w:tr>
      <w:tr>
        <w:trPr>
          <w:trHeight w:val="270"/>
        </w:trPr>
        <w:tc>
          <w:tcPr>
            <w:tcW w:w="410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Samarth Kulkarni, Ph.D.</w:t>
            </w:r>
            <w:r>
              <w:rPr>
                <w:rFonts w:ascii="Times New Roman" w:cs="Times New Roman" w:eastAsia="Times New Roman" w:hAnsi="Times New Roman"/>
                <w:sz w:val="29"/>
                <w:szCs w:val="29"/>
                <w:color w:val="auto"/>
                <w:vertAlign w:val="superscript"/>
              </w:rPr>
              <w:t>(2)(3)</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Chair and Director</w:t>
            </w:r>
          </w:p>
        </w:tc>
      </w:tr>
      <w:tr>
        <w:trPr>
          <w:trHeight w:val="270"/>
        </w:trPr>
        <w:tc>
          <w:tcPr>
            <w:tcW w:w="410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Kristine Ball</w:t>
            </w:r>
            <w:r>
              <w:rPr>
                <w:rFonts w:ascii="Times New Roman" w:cs="Times New Roman" w:eastAsia="Times New Roman" w:hAnsi="Times New Roman"/>
                <w:sz w:val="29"/>
                <w:szCs w:val="29"/>
                <w:color w:val="auto"/>
                <w:vertAlign w:val="superscript"/>
              </w:rPr>
              <w:t>(1)(3)</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6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410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Carl Dambkowski, M.D.</w:t>
            </w:r>
            <w:r>
              <w:rPr>
                <w:rFonts w:ascii="Times New Roman" w:cs="Times New Roman" w:eastAsia="Times New Roman" w:hAnsi="Times New Roman"/>
                <w:sz w:val="29"/>
                <w:szCs w:val="29"/>
                <w:color w:val="auto"/>
                <w:vertAlign w:val="superscript"/>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410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Peter Harwin</w:t>
            </w:r>
            <w:r>
              <w:rPr>
                <w:rFonts w:ascii="Times New Roman" w:cs="Times New Roman" w:eastAsia="Times New Roman" w:hAnsi="Times New Roman"/>
                <w:sz w:val="29"/>
                <w:szCs w:val="29"/>
                <w:color w:val="auto"/>
                <w:vertAlign w:val="superscript"/>
              </w:rPr>
              <w:t>(2)(3)</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6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394"/>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Cameron Turtle, D.Phil.</w:t>
            </w:r>
            <w:r>
              <w:rPr>
                <w:rFonts w:ascii="Times New Roman" w:cs="Times New Roman" w:eastAsia="Times New Roman" w:hAnsi="Times New Roman"/>
                <w:sz w:val="29"/>
                <w:szCs w:val="29"/>
                <w:color w:val="auto"/>
                <w:vertAlign w:val="superscript"/>
              </w:rPr>
              <w:t>(1)(2)</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178308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94" w:lineRule="exact"/>
        <w:rPr>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Governance Committee (the “Governance Committee”).</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affairs are managed under the direction of our Board, which currently consists of six members. Our Board is divided into three classes, with members of each class holding office for staggered three-year terms. There are currently two Class I directors, who are up for election at the 2025 Annual Meeting of Stockholders for a term expiring at the 2028 Annual Meeting of Stockholders; two Class II directors, whose terms expire at the 2026 Annual Meeting of Stockholders; and two Class III directors, whose terms expire at the 2027 Annual Meeting of Stockholders. Each executive officer serves at the discretion of the of the Board and holds office until their successor is duly appointed and qualified or until their earlier resignation or removal.</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Biographical and other information regarding our executive officers and directors is set forth below. There are no family relationships among any of our executive officers or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and Employee Director</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Lawrence Klein, Ph.D. </w:t>
      </w:r>
      <w:r>
        <w:rPr>
          <w:rFonts w:ascii="Times New Roman" w:cs="Times New Roman" w:eastAsia="Times New Roman" w:hAnsi="Times New Roman"/>
          <w:sz w:val="18"/>
          <w:szCs w:val="18"/>
          <w:color w:val="auto"/>
        </w:rPr>
        <w:t>Dr. Klein has served as Chief Executive Officer and as a member of the board of directors of the Company since the 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Closing and of Pre-Merger Oruka from February 2024 through the Merger Closing. Prior to joining Pre-Merger Oruka, Dr. Klein was a Partner at Versant Venture Management, LLC, a healthcare and biotechnology venture capital firm, from January 2023 to February 2024, where he invested in and helped to grow early-stage biotechnology companies. Prior to Versant, Dr. Klein served in various positions at CRISPR Therapeutics AG (Nasdaq: CRSP), a biopharmaceutical company, including Chief Operating Officer from January 2020 to October 2022, Chief Business Officer from January 2019 to January 2020, Senior Vice President, Business Development and Strategy from November 2017 to December 2018 and as Vice President, Strategy from February 2016 to November 2017, where he helped to initiate and execute on several transformative partnerships, establish the strategic direction of the company, oversee important pipeline programs and led several functions, including program and portfolio management. Before joining CRISPR, Dr. Klein was an Associate Partner at McKinsey &amp; Company, a global management consulting firm, from October 2014 to February 2016. Dr. Klein served as a member of the board of directors of Dyne Therapeutics, Inc. (Nasdaq: DYN) from September 2019 to May 2023 and of Jasper Therapeutics, Inc. (Nasdaq: JSPR) from September 2021 to June 2023. Dr. Klein received his B.S. in biochemistry and physics from the University of Wisconsin-Madison and his Ph.D. in biophysics from Stanford University.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2" w:name="page123"/>
    <w:bookmarkEnd w:id="122"/>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Dr. Klein is qualified to serve as a member of the Board because of his business development, operational and senior management experience in the biotechnology industry and his academic expertise and accomplishments.</w:t>
      </w:r>
    </w:p>
    <w:p>
      <w:pPr>
        <w:spacing w:after="0" w:line="15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Joana Goncalves, MBChB. </w:t>
      </w:r>
      <w:r>
        <w:rPr>
          <w:rFonts w:ascii="Times New Roman" w:cs="Times New Roman" w:eastAsia="Times New Roman" w:hAnsi="Times New Roman"/>
          <w:sz w:val="18"/>
          <w:szCs w:val="18"/>
          <w:color w:val="auto"/>
        </w:rPr>
        <w:t>Dr. Goncalves has served as the Chief Medical Officer of the Company since the Merger Closing and of Pre-Merger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Oruka from April 2024 through the Merger Closing. Prior to joining Pre-Merger Oruka, Dr. Goncalves served as Chief Medical Officer of Cara Therapeutics, Inc. (Nasdaq: CARA), a biopharmaceutical company, from October 2018 to April 2024, where she was responsible for representing Cara Therapeutics in interactions with regulatory agencies, the investor and scientific communities and the board of directors, building multifunctional terms and developing the clinical development strategy in dermatological conditions. Prior to Cara, Dr. Goncalves held various positions at Celgene Corporation, a pharmaceutical company, which was later acquired by Bristol-Myers Squibb Company, from April 2014 to October 2018, where she most recently served as Vice President, Medical Affairs for Dermatology and Neurology and was instrumental in planning and executing medical support activities for a number of programs, including OTEZLA® for psoriasis. Prior to Celgene, Dr. Goncalves served as Vice President, Medical Strategy and Scientific Affairs at LEO Pharma Inc., the U.S. subsidiary of LEO Pharma A/S, a global healthcare company specializing in dermatology and critical care, from February 2012 to April 2014. She began her pharmaceutical career at Novartis Pharmaceuticals, working on a range of products across various therapeutic areas from 2001 to 2012. Dr. Goncalves received her MBChB from the University of Cape Town, South Africa.</w:t>
      </w:r>
    </w:p>
    <w:p>
      <w:pPr>
        <w:spacing w:after="0" w:line="1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Paul Quinlan. </w:t>
      </w:r>
      <w:r>
        <w:rPr>
          <w:rFonts w:ascii="Times New Roman" w:cs="Times New Roman" w:eastAsia="Times New Roman" w:hAnsi="Times New Roman"/>
          <w:sz w:val="18"/>
          <w:szCs w:val="18"/>
          <w:color w:val="auto"/>
        </w:rPr>
        <w:t>Mr. Quinlan has served as General Counsel and Corporate Secretary of the Company since the Merger Closing and of Pre-Merger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Oruka since April 2024 through the Merger Closing. Prior to joining Pre-Merger Oruka, Mr. Quinlan served as General Counsel, Chief Compliance Officer and Corporate Secretary of CymaBay Therapeutics, Inc., a biopharmaceutical company, from October 2020 to March 2024, where he was responsible for the general supervision of the company’s legal affairs. From December 2017 to February 2020, he served as General Counsel and Corporate Secretary of CymaBay, where he was responsible for the general supervision of the company’s legal affairs. Prior to CymaBay, Mr. Quinlan served as General Counsel and Secretary, from 2010 to January 2018, and Chief Legal Officer from 2016 to January 2018, of TerraVia Holdings, Inc., a biotechnology company, where he was responsible for the general supervision of the company’s legal affairs. Prior to joining TerraVia, Mr. Quinlan served as General Counsel of Metabolex, Inc., a biopharmaceutical company, from 2005 to 2010. Prior to joining Metabolex, Mr. Quinlan held various positions at Maxygen, Inc., a biopharmaceutical company, from 2000 to 2005. Prior to Maxygen, Mr. Quinlan practiced law at Cooley LLP and Cravath, Swaine, &amp; Moore LLP. Mr. Quinlan received a law degree from Columbia Law School and an M.Sc. in Medical Biophysics from the University of Toronto.</w:t>
      </w:r>
    </w:p>
    <w:p>
      <w:pPr>
        <w:spacing w:after="0" w:line="18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Arjun Agarwal. </w:t>
      </w:r>
      <w:r>
        <w:rPr>
          <w:rFonts w:ascii="Times New Roman" w:cs="Times New Roman" w:eastAsia="Times New Roman" w:hAnsi="Times New Roman"/>
          <w:sz w:val="18"/>
          <w:szCs w:val="18"/>
          <w:color w:val="auto"/>
        </w:rPr>
        <w:t>Mr. Agarwal has served as the Senior Vice President of Finance of the Company since the Merger Closing and of Pre-Merger Oruka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March 2024 through the Merger Closing, where he is responsible for overseeing the company’s finance and accounting functions. Prior to joining Pre-Merger Oruka, Mr. Agarwal served as VP of Finance at Jasper Therapeutics, Inc. (Nasdaq: JSPR), a biotechnology company, from June 2021 to March 2024, including through multiple financings and the company’s successful transition to become a publicly traded entity. Before joining Jasper, Mr. Agarwal served as Vice President, Corporate Controller at Protagonist Therapeutics, Inc. (Nasdaq: PTGX), a biotechnology company, from August 2019 to June 2021, where he was responsible for overseeing the company’s finance and accounting functions. Prior to joining Protagonist, Mr. Agarwal served in various roles of increasing responsibility at McKesson Corporation (NYSE: MCK), an international healthcare services company, from 2009 to 2019. Prior to McKesson, Mr. Agarwal worked at PricewaterhouseCoopers LLP, where he managed a portfolio of audit clients. He is a graduate of Sydenham College of Commerce and Economics at Mumbai University, India. He is a Certified Public Accountant (CPA) and a Chartered Accountant accredited by the Institute of Chartered Accountants of India.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Samarth Kulkarni, Ph.D. </w:t>
      </w:r>
      <w:r>
        <w:rPr>
          <w:rFonts w:ascii="Times New Roman" w:cs="Times New Roman" w:eastAsia="Times New Roman" w:hAnsi="Times New Roman"/>
          <w:sz w:val="18"/>
          <w:szCs w:val="18"/>
          <w:color w:val="auto"/>
        </w:rPr>
        <w:t>Dr. Kulkarni has served as Chair and a member of the board of directors of the Company since the Merger Closing and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of the board of directors of Pre-Merger Oruka from February 2024 through the Merger Closing. Dr. Kulkarni has served as the Chief Executive Officer of CRISPR Therapeutics AG (Nasdaq: CRSP), a biopharmaceutical company, since December 2017, where he has also served as a member and chair of the board of directors since June 2018 and September 2023, respectively. Previously, Dr. Kulkarni served as CRISPR’s President and Chief Business Officer from May 2017 to November 2017 and as Chief Business Officer from August 2015. Prior to joining CRISPR, Dr. Kulkarni was at McKinsey &amp; Company, a global management consulting firm, from 2006 to 2015, with various titles, his most recent being Partner within the Pharmaceuticals and Biotechnology practice. Dr. Kulkarni has also served as a member of the boards of directors of Black Diamond Therapeutics, Inc. (Nasdaq: BDTX), Repare Therapeutics Inc. (Nasdaq: RPTX), and Centessa Pharmaceuticals plc (Nasdaq: CNTA). Dr. Kulkarni received a Ph.D. in Bioengineering and Nanotechnology from the University of Washington and a B. Tech. from the Indian Institute of Technology. Dr. Kulkarni has authored several publications in leading scientific and business journals.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Dr. Kulkarni is qualified to serve as a member of the Board because of his experience as a consultant and an executive in the biopharmaceutical industry and his academic expertise and accomplishments.</w:t>
      </w:r>
    </w:p>
    <w:p>
      <w:pPr>
        <w:spacing w:after="0" w:line="15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Kristine Ball. </w:t>
      </w:r>
      <w:r>
        <w:rPr>
          <w:rFonts w:ascii="Times New Roman" w:cs="Times New Roman" w:eastAsia="Times New Roman" w:hAnsi="Times New Roman"/>
          <w:sz w:val="18"/>
          <w:szCs w:val="18"/>
          <w:color w:val="auto"/>
        </w:rPr>
        <w:t>Ms. Ball has served as a member of the board of directors of the Company since the Merger Closing and of Pre-Merger Oruka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2024 through the Merger Closing. Ms. Ball has served as President and Chief Executive Officer of Antiva Biosciences, Inc., a private biopharmaceutical company, since April 2023. Prior to Antiva, Ms. Ball served as Chief Executive Officer of Soteria Biotherapeutics, Inc., a private biotechnology company, from September 2020 to August 2022. Prior to joining Soteria, Ms. Ball served as Senior Vice President, Corporate Strategy and Chief Financial Officer of Menlo Therapeutics, Inc., a Nasdaq-listed biopharmaceutical company, which later became VYNE Therapeutics Inc. (Nasdaq: VYNE), from September 2017 to March 2020, where she was responsible for leading all non-R&amp;D functions, including strategic planning, corporate development, commercial, human resources, legal, finance and information technology. Prior to joining Menlo, Ms. Ball served as Chief Financial Officer and Senior Vice President of Relypsa, Inc., a Nasdaq-listed pharmaceutical company, which was later acquired by Galenica Group, from November 2012 to October 2016. Prior to Relypsa, Ms. Ball held various other finance roles in the life sciences industry, including Senior Vice President of Finance &amp; Administration and Chief Financial Officer of KAI Pharmaceuticals, Inc., a biopharmaceutical company, and Vice President of Finance at Exelixis, Inc. (Nasdaq: EXEL), a biotechnology company. Prior to that, Ms. Ball served as a senior manager in the life sciences audit practice of Ernst &amp; Young LLP. Ms. Ball has previously served on the boards of directors of Atreca, Inc. (Nasdaq: BCEL), a biopharmaceutical company, from 2020 to 2024, Soteria from 2020 to 2022 and Forty Seven, Inc. (Nasdaq: FTSV), a Nasdaq-listed biotechnology company, which was acquired by Gilead Sciences, Inc., from 2018 to 2020. Ms. Ball received a B.S. from Babson College.</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Ms. Ball is qualified to serve as a member of the Board because of her experience as an executive officer and director of life sciences companies and her background in finance, corporate development and strategic planning.</w:t>
      </w:r>
    </w:p>
    <w:p>
      <w:pPr>
        <w:spacing w:after="0" w:line="15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Carl Dambkowski, M.D. </w:t>
      </w:r>
      <w:r>
        <w:rPr>
          <w:rFonts w:ascii="Times New Roman" w:cs="Times New Roman" w:eastAsia="Times New Roman" w:hAnsi="Times New Roman"/>
          <w:sz w:val="18"/>
          <w:szCs w:val="18"/>
          <w:color w:val="auto"/>
        </w:rPr>
        <w:t>Dr. Dambkowski has served as a member of the board of directors of the Company since the Merger Closing and of Pre-Merger Oruka from February 2024 through the Merger Closing. Dr. Dambkowski has served as the Chief Medical Officer of Apogee Therapeutics, Inc. (Nasdaq: APGE), a biotechnology company, since September 2022. Prior to joining Apogee, Dr. Dambkowski served as a strategic and clinical leader for a variety of companies, including as Chief Medical Officer of QED Therapeutics, Inc., a private biotechnology company, from July 2021 to September 2022; Chief Strategy Officer and EVP of Operations of Origin Biosciences, Inc., a private bioecology company, from March 2018 to June 2021; and Chief Medical Officer of Navire Pharma, Inc., a private biotechnology company, from January 2020 to September 2022, where he served as the clinical lead starting prior to IND for BBP-398 through the out licensing of the compound to Bristol-Myers Squibb based on initial clinical data and for low-dose infigratinib in achondroplasia through initial proof-of-concept data. He was part of the core team that brought TRUSELTIQ® (infigratinib) and NULIBRY® (fosdenopterin) through regulatory review and FDA approval at QED Therapeutics and Origin Biosciences, respectively. From July 2016 to March 2018, Dr. Dambkowski was an associate at McKinsey &amp; Company, a global management consulting firm, where he advised biotech and pharmaceutical companies across the world on a range of research and development activities. Dr. Dambkowski co-founded Novonate, Inc., a private medical device company focused on building life-saving devices for neonates, in January 2015. Dr. Dambkowski has coauthored numerous peer-reviewed publications and scientific abstracts and is a named inventor on multiple published and granted patents. Dr. Dambkowski was trained as a physician at Stanford University, where he also received his M.D. with a concentration in bioengineering. He also received a B.A. (with honors) from Stanford University and an M.A. from Columbia University.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4" w:name="page125"/>
    <w:bookmarkEnd w:id="124"/>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Dr. Dambkowski is qualified to serve as a member of the Board because of his significant experience and innovations in the biotechnology industry and his academic expertise and accomplishments.</w:t>
      </w:r>
    </w:p>
    <w:p>
      <w:pPr>
        <w:spacing w:after="0" w:line="15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Peter Harwin. </w:t>
      </w:r>
      <w:r>
        <w:rPr>
          <w:rFonts w:ascii="Times New Roman" w:cs="Times New Roman" w:eastAsia="Times New Roman" w:hAnsi="Times New Roman"/>
          <w:sz w:val="18"/>
          <w:szCs w:val="18"/>
          <w:color w:val="auto"/>
        </w:rPr>
        <w:t>Mr. Harwin has served as a member of the board of directors of the Company since the Merger Closing and of Pre-Merger Oruka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2024 through the Merger Closing. Mr. Harwin is a Managing Member at Fairmount Funds Management, a healthcare investment firm he co-founded in April 2016. Prior to Fairmount Funds Management, Mr. Harwin was a member of the investment team at Boxer Capital, LLC, an investment fund that was part of the Tavistock Group, based in San Diego. Mr. Harwin also serves as chairman of the board of directors of Cogent Biosciences, Inc. (Nasdaq: COGT) and is a member of the board of directors of Apogee Therapeutics, Inc. (Nasdaq: APGE), Viridian Therapeutics, Inc. (Nasdaq: VRDN) and Spyre Therapeutics, Inc. (formerly Aeglea BioTherapeutics, Inc.) (Nasdaq: SYRE). Mr. Harwin received a B.B.A. from Emory University.</w:t>
      </w:r>
    </w:p>
    <w:p>
      <w:pPr>
        <w:spacing w:after="0" w:line="18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Mr. Harwin is qualified to serve as a member of the Board because of his experience serving as a director of biotechnology companies and as a manager of funds specializing in the area of life sciences.</w:t>
      </w:r>
    </w:p>
    <w:p>
      <w:pPr>
        <w:spacing w:after="0" w:line="15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Cameron Turtle, D.Phil. </w:t>
      </w:r>
      <w:r>
        <w:rPr>
          <w:rFonts w:ascii="Times New Roman" w:cs="Times New Roman" w:eastAsia="Times New Roman" w:hAnsi="Times New Roman"/>
          <w:sz w:val="18"/>
          <w:szCs w:val="18"/>
          <w:color w:val="auto"/>
        </w:rPr>
        <w:t>Dr. Turtle has served as a member of the board of directors of the Company since the Merger Closing and of Pre-Merger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Oruka from February 2024 through the Merger Closing. Dr. Turtle has served as Chief Executive Officer and a member of the board of directors of Spyre Therapeutics, Inc. (formerly Aeglea BioTherapeutics, Inc.) (Nasdaq: SYRE), a biotechnology company, since November 2023 and, before that, as Chief Operating Officer from June 2023 to November 2023. Prior to joining Spyre, Dr. Turtle was an advisor to Spyre Therapeutics, Inc., a private biotechnology company, from May 2023 to June 2023. Previously, he served as Venture Partner at Foresite Labs, a life sciences investment firm, from July 2022 to May 2023; Chief Strategy Officer of BridgeBio Pharma (Nasdaq: BBIO), a biotechnology company, from January 2021 to April 2022; and Chief Business Officer of Eidos Therapeutics (Nasdaq: EIDX), a biopharmaceutical company, from November 2018 to January 2021, where he led business development, investor relations, and multiple operational functions as the company advanced an investigational medicine for a form of heart failure. Prior to joining BridgeBio and Eidos, he was a consultant at McKinsey &amp; Company, a global management consulting firm, where he worked with pharmaceutical and medical device companies on topics including M&amp;A, growth strategy, clinical trial strategy, and sales force optimization. Dr. Turtle received his B.S. with honors in Bioengineering from the University of Washington and his D.Phil. in Cardiovascular Medicine from the University of Oxford, St. John’s College. He is the recipient of several awards, including a Rhodes Scholarship, Goldwater Scholarship, Forbes 30 Under 30, San Francisco Business Times 40 Under 40, and the Biocom Life Sciences Catalyst Award.</w:t>
      </w:r>
    </w:p>
    <w:p>
      <w:pPr>
        <w:spacing w:after="0" w:line="19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Dr. Turtle is qualified to serve as a member of the Board because of his experience as a leader in building, financing, and shaping biopharmaceutical organizations from preclinical development to late-stage clinical trials and commercialization.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establishes the standards of ethical conduct applicable to all our directors, officers and employees, including our principal executive officer, principal financial officer and principal accounting officer, or persons performing similar functions. It addresses, among other matters, compliance with laws and policies, conflicts of interest, corporate opportunities, regulatory reporting, external communications, confidentiality requirements, insider trading, proper use of assets and how to report compliance concerns. A copy of the code is available on our website located at https://ir.oruka.com/corporate-governance under “Governance Documents.” We intend to disclose any amendments to the code, or any waivers of its requirements, on our website to the extent required by applicable rules. The Audit Committee is responsible for applying and interpreting the code in situations where questions are presented to it. Information contained on, or that can be accessed through, the Company’s website is not incorporated by reference into this report, and you should not consider information on the Company’s website to be part of this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transactions in Company securities by our directors, officers and employees, and other covered persons, as well as the Company itself, that we believe are reasonably designed to promote compliance with insider trading laws, rules and regulations, and Nasdaq Stock Market (“Nasdaq”) listing rules, as applicable.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5" w:name="page126"/>
    <w:bookmarkEnd w:id="12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part of these policies and procedures, we prohibit any employee, director or other covered person from engaging in short sales, transactions involving publicly traded options or other derivative securities based on the Company’s securities, hedging transactions, margin accounts, pledges, or other inherently speculative transactions with respect to the Company’s securities at any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and Audit Committee Financial Expert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 separately designated standing Audit Committee. The members of our Audit Committee are Ms. Ball, Dr. Dambkowski, and Dr. Turtle, each of whom qualifies as an “independent” director for audit committee purposes as defined under Nasdaq listing rules and the rules and regulations established by the SEC. Ms. Ball chairs the Audit Committee and qualifies as an “audit committee financial expert” as that term is defined under the rules and regulations established by the SEC, and all members of the Audit Committee are financially literate under Nasdaq listing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directors, officers and persons who beneficially own more than 10% of a registered class of our equity securities to file with the SEC initial reports of ownership and reports of changes in ownership of our common stock and other equity securities. To our knowledge, based solely on our review of Forms 3, 4 and 5 filed with the SEC or written representations that no Form 5 was required, during the year ended December 31, 2024, we believe that all of our directors, officers and persons who beneficially own more than 10% of a registered class of our equity securities timely filed all reports required under Section 16(a) of the Exchange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and Director Nominations for 2025 Annual Meeting of Stockholders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hold our 2025 Annual Meeting of Stockholders (the “Annual Meeting”) on Monday, June 2, 2025.</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Rule 14a-8 of the Exchange Act, stockholders who wish to submit proposals for inclusion in the proxy statement for the Annual Meeting must send such proposals to our Corporate Secretary at the address 855 Oak Grove Avenue, Suite 100, Menlo Park, CA 94025. Such proposals must be received by us a reasonable time before we begin to print and mail our proxy materials and must comply with Rule 14a-8 of the Exchange Act. The submission of a stockholder proposal does not guarantee that it will be included in the proxy statement.</w:t>
      </w:r>
    </w:p>
    <w:p>
      <w:pPr>
        <w:spacing w:after="0" w:line="180"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7"/>
          <w:szCs w:val="17"/>
          <w:color w:val="auto"/>
        </w:rPr>
        <w:t>On August 29, 2024, in connection with the Merger Closing, the Board adopted an amendment and restatement of our Bylaws, effective as of such date, as described in our Current Report on Form 8-K filed on September 5, 2024. As set forth in our Bylaws, if a stockholder intends to make a nomination for director election or present a proposal for other business (other than pursuant to Rule 14a-8 of the Exchange Act) at the Annual Meeting, the stockholder’s notice must be received by our Corporate Secretary at the address 855 Oak Grove Avenue, Suite 100, Menlo Park, CA 94025 no earlier than the 120th day and no later than the close of business on the 90th day before the anniversary of the last annual meeting; provided, however, that if the date of the annual meeting is more than 30 days before or more than 60 days after such anniversary date, the stockholder’s notice must be delivered not earlier than the close of business on the 120th day prior to such annual meeting and not later than the close of business on the later of the 90th day prior to such annual meeting or the 10th day following the date on which the first public announcement of the date of such annual meeting is made by the Company. Therefore, notice of proposed nominations or proposals (other than pursuant to Rule 14a-8 of the Exchange Act) must be received by our Corporate Secretary no later than the close of business on March 16, 2025. Any such director nomination or stockholder proposal must be a proper matter for stockholder action and must comply with the terms and conditions set forth in our Bylaws (which includes the timing and information required under Rule 14a-19 of the Exchange Act). If a stockholder fails to meet these deadlines or fails to satisfy the requirements of Rule 14a-4 of the Exchange Act, we may exercise discretionary voting authority under proxies we solicit to vote on any such proposal as we determine appropriate. We reserve the right to reject, rule out of order or take other appropriate action with respect to any nomination or proposal that does not comply with these and other applicable requirements.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section provides information regarding the compensation of our principal executive officer (Dr. Klein), and our two other highest paid executive officers who were serving as executive officers on December 31, 2024 (Dr. Goncalves and Mr. Quinlan). This section also includes compensation information for certain former executives of the Company (then known as ARCA). The individuals listed below are collectively referred to herein as the “NEOs” or “Named Executive Officers.”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50"/>
        </w:trPr>
        <w:tc>
          <w:tcPr>
            <w:tcW w:w="39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Lawrence Klein, Ph.D.</w:t>
            </w:r>
          </w:p>
        </w:tc>
        <w:tc>
          <w:tcPr>
            <w:tcW w:w="220" w:type="dxa"/>
            <w:vAlign w:val="bottom"/>
            <w:tcBorders>
              <w:top w:val="single" w:sz="8" w:color="CFF0FC"/>
            </w:tcBorders>
            <w:shd w:val="clear" w:color="auto" w:fill="CFF0FC"/>
          </w:tcPr>
          <w:p>
            <w:pPr>
              <w:spacing w:after="0"/>
              <w:rPr>
                <w:sz w:val="21"/>
                <w:szCs w:val="21"/>
                <w:color w:val="auto"/>
              </w:rPr>
            </w:pPr>
          </w:p>
        </w:tc>
        <w:tc>
          <w:tcPr>
            <w:tcW w:w="7080" w:type="dxa"/>
            <w:vAlign w:val="bottom"/>
            <w:tcBorders>
              <w:top w:val="single" w:sz="8" w:color="auto"/>
            </w:tcBorders>
            <w:shd w:val="clear" w:color="auto" w:fill="CFF0FC"/>
          </w:tcPr>
          <w:p>
            <w:pPr>
              <w:spacing w:after="0" w:line="250" w:lineRule="exact"/>
              <w:rPr>
                <w:sz w:val="20"/>
                <w:szCs w:val="20"/>
                <w:color w:val="auto"/>
              </w:rPr>
            </w:pPr>
            <w:r>
              <w:rPr>
                <w:rFonts w:ascii="Times New Roman" w:cs="Times New Roman" w:eastAsia="Times New Roman" w:hAnsi="Times New Roman"/>
                <w:sz w:val="17"/>
                <w:szCs w:val="17"/>
                <w:color w:val="auto"/>
              </w:rPr>
              <w:t>Chief Executive Officer</w:t>
            </w:r>
            <w:r>
              <w:rPr>
                <w:rFonts w:ascii="Times New Roman" w:cs="Times New Roman" w:eastAsia="Times New Roman" w:hAnsi="Times New Roman"/>
                <w:sz w:val="28"/>
                <w:szCs w:val="28"/>
                <w:color w:val="auto"/>
                <w:vertAlign w:val="superscript"/>
              </w:rPr>
              <w:t>(1)</w:t>
            </w:r>
          </w:p>
        </w:tc>
      </w:tr>
      <w:tr>
        <w:trPr>
          <w:trHeight w:val="257"/>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Joana Goncalves, MBChB</w:t>
            </w:r>
          </w:p>
        </w:tc>
        <w:tc>
          <w:tcPr>
            <w:tcW w:w="70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Chief Medical Officer</w:t>
            </w:r>
            <w:r>
              <w:rPr>
                <w:rFonts w:ascii="Times New Roman" w:cs="Times New Roman" w:eastAsia="Times New Roman" w:hAnsi="Times New Roman"/>
                <w:sz w:val="29"/>
                <w:szCs w:val="29"/>
                <w:color w:val="auto"/>
                <w:vertAlign w:val="superscript"/>
              </w:rPr>
              <w:t>(1)</w:t>
            </w:r>
          </w:p>
        </w:tc>
      </w:tr>
      <w:tr>
        <w:trPr>
          <w:trHeight w:val="257"/>
        </w:trPr>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Paul Quinlan</w:t>
            </w:r>
          </w:p>
        </w:tc>
        <w:tc>
          <w:tcPr>
            <w:tcW w:w="7080" w:type="dxa"/>
            <w:vAlign w:val="bottom"/>
            <w:shd w:val="clear" w:color="auto" w:fill="CFF0FC"/>
          </w:tcPr>
          <w:p>
            <w:pPr>
              <w:spacing w:after="0" w:line="256" w:lineRule="exact"/>
              <w:rPr>
                <w:sz w:val="20"/>
                <w:szCs w:val="20"/>
                <w:color w:val="auto"/>
              </w:rPr>
            </w:pPr>
            <w:r>
              <w:rPr>
                <w:rFonts w:ascii="Times New Roman" w:cs="Times New Roman" w:eastAsia="Times New Roman" w:hAnsi="Times New Roman"/>
                <w:sz w:val="18"/>
                <w:szCs w:val="18"/>
                <w:color w:val="auto"/>
              </w:rPr>
              <w:t>General Counsel and Corporate Secretary</w:t>
            </w:r>
            <w:r>
              <w:rPr>
                <w:rFonts w:ascii="Times New Roman" w:cs="Times New Roman" w:eastAsia="Times New Roman" w:hAnsi="Times New Roman"/>
                <w:sz w:val="29"/>
                <w:szCs w:val="29"/>
                <w:color w:val="auto"/>
                <w:vertAlign w:val="superscript"/>
              </w:rPr>
              <w:t>(1)</w:t>
            </w:r>
          </w:p>
        </w:tc>
      </w:tr>
      <w:tr>
        <w:trPr>
          <w:trHeight w:val="25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Bristow, M.D.</w:t>
            </w:r>
          </w:p>
        </w:tc>
        <w:tc>
          <w:tcPr>
            <w:tcW w:w="70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Former President and Chief Executive Officer</w:t>
            </w:r>
            <w:r>
              <w:rPr>
                <w:rFonts w:ascii="Times New Roman" w:cs="Times New Roman" w:eastAsia="Times New Roman" w:hAnsi="Times New Roman"/>
                <w:sz w:val="29"/>
                <w:szCs w:val="29"/>
                <w:color w:val="auto"/>
                <w:vertAlign w:val="superscript"/>
              </w:rPr>
              <w:t>(2)</w:t>
            </w:r>
          </w:p>
        </w:tc>
      </w:tr>
      <w:tr>
        <w:trPr>
          <w:trHeight w:val="257"/>
        </w:trPr>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Thomas A. Keuer</w:t>
            </w:r>
          </w:p>
        </w:tc>
        <w:tc>
          <w:tcPr>
            <w:tcW w:w="7080" w:type="dxa"/>
            <w:vAlign w:val="bottom"/>
            <w:shd w:val="clear" w:color="auto" w:fill="CFF0FC"/>
          </w:tcPr>
          <w:p>
            <w:pPr>
              <w:spacing w:after="0" w:line="256" w:lineRule="exact"/>
              <w:rPr>
                <w:sz w:val="20"/>
                <w:szCs w:val="20"/>
                <w:color w:val="auto"/>
              </w:rPr>
            </w:pPr>
            <w:r>
              <w:rPr>
                <w:rFonts w:ascii="Times New Roman" w:cs="Times New Roman" w:eastAsia="Times New Roman" w:hAnsi="Times New Roman"/>
                <w:sz w:val="18"/>
                <w:szCs w:val="18"/>
                <w:color w:val="auto"/>
              </w:rPr>
              <w:t>Former President and Chief Operating Officer</w:t>
            </w:r>
            <w:r>
              <w:rPr>
                <w:rFonts w:ascii="Times New Roman" w:cs="Times New Roman" w:eastAsia="Times New Roman" w:hAnsi="Times New Roman"/>
                <w:sz w:val="29"/>
                <w:szCs w:val="29"/>
                <w:color w:val="auto"/>
                <w:vertAlign w:val="superscript"/>
              </w:rPr>
              <w:t>(3)</w:t>
            </w:r>
          </w:p>
        </w:tc>
      </w:tr>
      <w:tr>
        <w:trPr>
          <w:trHeight w:val="394"/>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Jeffrey Dekker</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Former Chief Financial Officer</w:t>
            </w:r>
            <w:r>
              <w:rPr>
                <w:rFonts w:ascii="Times New Roman" w:cs="Times New Roman" w:eastAsia="Times New Roman" w:hAnsi="Times New Roman"/>
                <w:sz w:val="29"/>
                <w:szCs w:val="29"/>
                <w:color w:val="auto"/>
                <w:vertAlign w:val="superscript"/>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1" w:lineRule="exact"/>
        <w:rPr>
          <w:sz w:val="20"/>
          <w:szCs w:val="20"/>
          <w:color w:val="auto"/>
        </w:rPr>
      </w:pPr>
    </w:p>
    <w:p>
      <w:pPr>
        <w:ind w:left="340" w:right="20" w:hanging="332"/>
        <w:spacing w:after="0" w:line="261"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Drs. Klein and Goncalves and Mr. Quinlan were appointed to these positions in connection with the consummation of the Merger. Prior to the Merger, they each served in these positions at Pre-Merger Oruka.</w:t>
      </w:r>
    </w:p>
    <w:p>
      <w:pPr>
        <w:ind w:left="340" w:hanging="332"/>
        <w:spacing w:after="0" w:line="250"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Bristow’s employment with the Company terminated on April 3, 2024. Following his termination, Dr. Bristow provided transition services as a consultant.</w:t>
      </w:r>
    </w:p>
    <w:p>
      <w:pPr>
        <w:ind w:left="340" w:hanging="332"/>
        <w:spacing w:after="0" w:line="260"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Keuer’s and Mr. Dekker’s employment with the Company terminated in connection with the Merger. Following the Merger, Mr. Dekker provided transition services as a consultant.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Year of Transition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2024 was a year of transition for the Company as we completed the Merger, shifted our drug candidate pipeline to focus on novel biologics designed to set a new standard for the treatment of chronic skin diseases and transformed our management team. Our mission is to offer patients suffering from chronic skin diseases like plaque psoriasis the greatest possible freedom from their condition by achieving high rates of complete disease clearance with dosing as infrequently as once or twice per year. The compensation described below reflects both compensatory decisions necessary to engage a new leadership team that is critical to lead the advancement of the Company’s pipeline of novel biologics and improve the standard of care for the treatment of chronic skin diseases and compensatory decisions made by ARCA prior to the consummation of the Merger with respect to the former executive officers.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2024 Summary Compensation Table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earned by the NEOs during the fiscal years ending December 31, 2024 and 2023, by our named executive officers.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 w:type="dxa"/>
            <w:vAlign w:val="bottom"/>
          </w:tcPr>
          <w:p>
            <w:pPr>
              <w:spacing w:after="0"/>
              <w:rPr>
                <w:sz w:val="19"/>
                <w:szCs w:val="19"/>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0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7"/>
              </w:rPr>
              <w:t>Name and Principal Position</w:t>
            </w:r>
            <w:r>
              <w:rPr>
                <w:rFonts w:ascii="Times New Roman" w:cs="Times New Roman" w:eastAsia="Times New Roman" w:hAnsi="Times New Roman"/>
                <w:sz w:val="29"/>
                <w:szCs w:val="29"/>
                <w:b w:val="1"/>
                <w:bCs w:val="1"/>
                <w:color w:val="auto"/>
                <w:w w:val="97"/>
                <w:vertAlign w:val="superscript"/>
              </w:rPr>
              <w:t>(1)</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5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7"/>
        </w:trPr>
        <w:tc>
          <w:tcPr>
            <w:tcW w:w="2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980" w:type="dxa"/>
            <w:vAlign w:val="bottom"/>
          </w:tcPr>
          <w:p>
            <w:pPr>
              <w:jc w:val="center"/>
              <w:ind w:right="213"/>
              <w:spacing w:after="0" w:line="270"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(2)</w:t>
            </w:r>
          </w:p>
        </w:tc>
        <w:tc>
          <w:tcPr>
            <w:tcW w:w="220" w:type="dxa"/>
            <w:vAlign w:val="bottom"/>
          </w:tcPr>
          <w:p>
            <w:pPr>
              <w:spacing w:after="0"/>
              <w:rPr>
                <w:sz w:val="24"/>
                <w:szCs w:val="24"/>
                <w:color w:val="auto"/>
              </w:rPr>
            </w:pPr>
          </w:p>
        </w:tc>
        <w:tc>
          <w:tcPr>
            <w:tcW w:w="1000" w:type="dxa"/>
            <w:vAlign w:val="bottom"/>
          </w:tcPr>
          <w:p>
            <w:pPr>
              <w:jc w:val="right"/>
              <w:ind w:right="233"/>
              <w:spacing w:after="0" w:line="270"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(3)</w:t>
            </w:r>
          </w:p>
        </w:tc>
        <w:tc>
          <w:tcPr>
            <w:tcW w:w="220" w:type="dxa"/>
            <w:vAlign w:val="bottom"/>
          </w:tcPr>
          <w:p>
            <w:pPr>
              <w:spacing w:after="0"/>
              <w:rPr>
                <w:sz w:val="24"/>
                <w:szCs w:val="24"/>
                <w:color w:val="auto"/>
              </w:rPr>
            </w:pPr>
          </w:p>
        </w:tc>
        <w:tc>
          <w:tcPr>
            <w:tcW w:w="98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(4)</w:t>
            </w:r>
          </w:p>
        </w:tc>
        <w:tc>
          <w:tcPr>
            <w:tcW w:w="120" w:type="dxa"/>
            <w:vAlign w:val="bottom"/>
          </w:tcPr>
          <w:p>
            <w:pPr>
              <w:spacing w:after="0"/>
              <w:rPr>
                <w:sz w:val="24"/>
                <w:szCs w:val="24"/>
                <w:color w:val="auto"/>
              </w:rPr>
            </w:pPr>
          </w:p>
        </w:tc>
        <w:tc>
          <w:tcPr>
            <w:tcW w:w="1200" w:type="dxa"/>
            <w:vAlign w:val="bottom"/>
            <w:gridSpan w:val="2"/>
          </w:tcPr>
          <w:p>
            <w:pPr>
              <w:jc w:val="center"/>
              <w:ind w:left="10"/>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(5)</w:t>
            </w:r>
          </w:p>
        </w:tc>
        <w:tc>
          <w:tcPr>
            <w:tcW w:w="120" w:type="dxa"/>
            <w:vAlign w:val="bottom"/>
          </w:tcPr>
          <w:p>
            <w:pPr>
              <w:spacing w:after="0"/>
              <w:rPr>
                <w:sz w:val="24"/>
                <w:szCs w:val="24"/>
                <w:color w:val="auto"/>
              </w:rPr>
            </w:pPr>
          </w:p>
        </w:tc>
        <w:tc>
          <w:tcPr>
            <w:tcW w:w="1200" w:type="dxa"/>
            <w:vAlign w:val="bottom"/>
            <w:gridSpan w:val="2"/>
          </w:tcPr>
          <w:p>
            <w:pPr>
              <w:jc w:val="center"/>
              <w:ind w:left="57"/>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00" w:type="dxa"/>
            <w:vAlign w:val="bottom"/>
          </w:tcPr>
          <w:p>
            <w:pPr>
              <w:spacing w:after="0"/>
              <w:rPr>
                <w:sz w:val="24"/>
                <w:szCs w:val="24"/>
                <w:color w:val="auto"/>
              </w:rPr>
            </w:pPr>
          </w:p>
        </w:tc>
        <w:tc>
          <w:tcPr>
            <w:tcW w:w="1000" w:type="dxa"/>
            <w:vAlign w:val="bottom"/>
          </w:tcPr>
          <w:p>
            <w:pPr>
              <w:jc w:val="right"/>
              <w:ind w:right="333"/>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Lawrence Klein, Ph.D.</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203,288</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317,623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Joana Goncalves, MBChB</w:t>
            </w:r>
          </w:p>
        </w:tc>
        <w:tc>
          <w:tcPr>
            <w:tcW w:w="1300" w:type="dxa"/>
            <w:vAlign w:val="bottom"/>
            <w:gridSpan w:val="2"/>
          </w:tcPr>
          <w:p>
            <w:pPr>
              <w:ind w:left="520"/>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7"/>
                <w:szCs w:val="17"/>
                <w:color w:val="auto"/>
              </w:rPr>
            </w:pPr>
          </w:p>
        </w:tc>
        <w:tc>
          <w:tcPr>
            <w:tcW w:w="120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155,854</w:t>
            </w:r>
          </w:p>
        </w:tc>
        <w:tc>
          <w:tcPr>
            <w:tcW w:w="12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20"/>
              <w:spacing w:after="0" w:line="195" w:lineRule="exact"/>
              <w:rPr>
                <w:sz w:val="20"/>
                <w:szCs w:val="20"/>
                <w:color w:val="auto"/>
              </w:rPr>
            </w:pPr>
            <w:r>
              <w:rPr>
                <w:rFonts w:ascii="Times New Roman" w:cs="Times New Roman" w:eastAsia="Times New Roman" w:hAnsi="Times New Roman"/>
                <w:sz w:val="18"/>
                <w:szCs w:val="18"/>
                <w:color w:val="auto"/>
              </w:rPr>
              <w:t>162,132</w:t>
            </w:r>
          </w:p>
        </w:tc>
        <w:tc>
          <w:tcPr>
            <w:tcW w:w="100" w:type="dxa"/>
            <w:vAlign w:val="bottom"/>
          </w:tcPr>
          <w:p>
            <w:pPr>
              <w:spacing w:after="0"/>
              <w:rPr>
                <w:sz w:val="17"/>
                <w:szCs w:val="17"/>
                <w:color w:val="auto"/>
              </w:rPr>
            </w:pPr>
          </w:p>
        </w:tc>
        <w:tc>
          <w:tcPr>
            <w:tcW w:w="1400" w:type="dxa"/>
            <w:vAlign w:val="bottom"/>
            <w:gridSpan w:val="2"/>
          </w:tcPr>
          <w:p>
            <w:pPr>
              <w:jc w:val="right"/>
              <w:ind w:right="3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317,986</w:t>
            </w:r>
          </w:p>
        </w:tc>
        <w:tc>
          <w:tcPr>
            <w:tcW w:w="0" w:type="dxa"/>
            <w:vAlign w:val="bottom"/>
          </w:tcPr>
          <w:p>
            <w:pPr>
              <w:spacing w:after="0"/>
              <w:rPr>
                <w:sz w:val="1"/>
                <w:szCs w:val="1"/>
                <w:color w:val="auto"/>
              </w:rPr>
            </w:pPr>
          </w:p>
        </w:tc>
      </w:tr>
      <w:tr>
        <w:trPr>
          <w:trHeight w:val="236"/>
        </w:trPr>
        <w:tc>
          <w:tcPr>
            <w:tcW w:w="2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Quinlan</w:t>
            </w:r>
          </w:p>
        </w:tc>
        <w:tc>
          <w:tcPr>
            <w:tcW w:w="13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155,854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154,591</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310,445</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General Counsel</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
        </w:trPr>
        <w:tc>
          <w:tcPr>
            <w:tcW w:w="2400" w:type="dxa"/>
            <w:vAlign w:val="bottom"/>
          </w:tcPr>
          <w:p>
            <w:pPr>
              <w:spacing w:after="0"/>
              <w:rPr>
                <w:sz w:val="20"/>
                <w:szCs w:val="20"/>
                <w:color w:val="auto"/>
              </w:rPr>
            </w:pPr>
            <w:r>
              <w:rPr>
                <w:rFonts w:ascii="Times New Roman" w:cs="Times New Roman" w:eastAsia="Times New Roman" w:hAnsi="Times New Roman"/>
                <w:sz w:val="1"/>
                <w:szCs w:val="1"/>
                <w:color w:val="auto"/>
              </w:rPr>
              <w:t>Michael Bristow, M.D.</w:t>
            </w:r>
          </w:p>
        </w:tc>
        <w:tc>
          <w:tcPr>
            <w:tcW w:w="1300" w:type="dxa"/>
            <w:vAlign w:val="bottom"/>
            <w:gridSpan w:val="2"/>
          </w:tcPr>
          <w:p>
            <w:pPr>
              <w:ind w:left="520"/>
              <w:spacing w:after="0"/>
              <w:rPr>
                <w:sz w:val="20"/>
                <w:szCs w:val="20"/>
                <w:color w:val="auto"/>
              </w:rPr>
            </w:pPr>
            <w:r>
              <w:rPr>
                <w:rFonts w:ascii="Times New Roman" w:cs="Times New Roman" w:eastAsia="Times New Roman" w:hAnsi="Times New Roman"/>
                <w:sz w:val="1"/>
                <w:szCs w:val="1"/>
                <w:color w:val="auto"/>
              </w:rPr>
              <w:t>2024</w:t>
            </w:r>
          </w:p>
        </w:tc>
        <w:tc>
          <w:tcPr>
            <w:tcW w:w="100" w:type="dxa"/>
            <w:vAlign w:val="bottom"/>
          </w:tcPr>
          <w:p>
            <w:pPr>
              <w:spacing w:after="0" w:line="20" w:lineRule="exact"/>
              <w:rPr>
                <w:sz w:val="1"/>
                <w:szCs w:val="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
                <w:szCs w:val="1"/>
                <w:color w:val="auto"/>
              </w:rPr>
              <w:t>96,865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
                <w:szCs w:val="1"/>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
                <w:szCs w:val="1"/>
                <w:color w:val="auto"/>
              </w:rPr>
              <w:t>39,676</w:t>
            </w:r>
          </w:p>
        </w:tc>
        <w:tc>
          <w:tcPr>
            <w:tcW w:w="100" w:type="dxa"/>
            <w:vAlign w:val="bottom"/>
          </w:tcPr>
          <w:p>
            <w:pPr>
              <w:spacing w:after="0" w:line="20" w:lineRule="exact"/>
              <w:rPr>
                <w:sz w:val="1"/>
                <w:szCs w:val="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
                <w:szCs w:val="1"/>
                <w:color w:val="auto"/>
              </w:rPr>
              <w:t>—</w:t>
            </w:r>
          </w:p>
        </w:tc>
        <w:tc>
          <w:tcPr>
            <w:tcW w:w="1500" w:type="dxa"/>
            <w:vAlign w:val="bottom"/>
            <w:gridSpan w:val="3"/>
          </w:tcPr>
          <w:p>
            <w:pPr>
              <w:jc w:val="right"/>
              <w:ind w:right="300"/>
              <w:spacing w:after="0"/>
              <w:rPr>
                <w:sz w:val="20"/>
                <w:szCs w:val="20"/>
                <w:color w:val="auto"/>
              </w:rPr>
            </w:pPr>
            <w:r>
              <w:rPr>
                <w:rFonts w:ascii="Times New Roman" w:cs="Times New Roman" w:eastAsia="Times New Roman" w:hAnsi="Times New Roman"/>
                <w:sz w:val="1"/>
                <w:szCs w:val="1"/>
                <w:color w:val="auto"/>
              </w:rPr>
              <w:t>373,875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
                <w:szCs w:val="1"/>
                <w:color w:val="auto"/>
              </w:rPr>
              <w:t>510,416</w:t>
            </w:r>
          </w:p>
        </w:tc>
        <w:tc>
          <w:tcPr>
            <w:tcW w:w="0" w:type="dxa"/>
            <w:vAlign w:val="bottom"/>
          </w:tcPr>
          <w:p>
            <w:pPr>
              <w:spacing w:after="0" w:line="20" w:lineRule="exact"/>
              <w:rPr>
                <w:sz w:val="1"/>
                <w:szCs w:val="1"/>
                <w:color w:val="auto"/>
              </w:rPr>
            </w:pPr>
          </w:p>
        </w:tc>
      </w:tr>
      <w:tr>
        <w:trPr>
          <w:trHeight w:val="181"/>
        </w:trPr>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(6)</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Former President and Chief</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13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345,000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13,800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358,800</w:t>
            </w:r>
          </w:p>
        </w:tc>
        <w:tc>
          <w:tcPr>
            <w:tcW w:w="0" w:type="dxa"/>
            <w:vAlign w:val="bottom"/>
          </w:tcPr>
          <w:p>
            <w:pPr>
              <w:spacing w:after="0"/>
              <w:rPr>
                <w:sz w:val="1"/>
                <w:szCs w:val="1"/>
                <w:color w:val="auto"/>
              </w:rPr>
            </w:pPr>
          </w:p>
        </w:tc>
      </w:tr>
      <w:tr>
        <w:trPr>
          <w:trHeight w:val="15"/>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rPr>
              <w:t>Thomas A. Keuer</w:t>
            </w:r>
          </w:p>
        </w:tc>
        <w:tc>
          <w:tcPr>
            <w:tcW w:w="13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
                <w:szCs w:val="1"/>
                <w:color w:val="auto"/>
              </w:rPr>
              <w:t>2024</w:t>
            </w:r>
          </w:p>
        </w:tc>
        <w:tc>
          <w:tcPr>
            <w:tcW w:w="100" w:type="dxa"/>
            <w:vAlign w:val="bottom"/>
            <w:shd w:val="clear" w:color="auto" w:fill="CCEEFF"/>
          </w:tcPr>
          <w:p>
            <w:pPr>
              <w:spacing w:after="0" w:line="20" w:lineRule="exact"/>
              <w:rPr>
                <w:sz w:val="1"/>
                <w:szCs w:val="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
                <w:szCs w:val="1"/>
                <w:color w:val="auto"/>
              </w:rPr>
              <w:t>235,385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
                <w:szCs w:val="1"/>
                <w:color w:val="auto"/>
              </w:rPr>
              <w:t>165,000</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
                <w:szCs w:val="1"/>
                <w:color w:val="auto"/>
              </w:rPr>
              <w:t>22,484</w:t>
            </w:r>
          </w:p>
        </w:tc>
        <w:tc>
          <w:tcPr>
            <w:tcW w:w="100" w:type="dxa"/>
            <w:vAlign w:val="bottom"/>
            <w:shd w:val="clear" w:color="auto" w:fill="CCEEFF"/>
          </w:tcPr>
          <w:p>
            <w:pPr>
              <w:spacing w:after="0" w:line="20" w:lineRule="exact"/>
              <w:rPr>
                <w:sz w:val="1"/>
                <w:szCs w:val="1"/>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
                <w:szCs w:val="1"/>
                <w:color w:val="auto"/>
              </w:rPr>
              <w:t>—</w:t>
            </w:r>
          </w:p>
        </w:tc>
        <w:tc>
          <w:tcPr>
            <w:tcW w:w="15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
                <w:szCs w:val="1"/>
                <w:color w:val="auto"/>
              </w:rPr>
              <w:t>430,651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
                <w:szCs w:val="1"/>
                <w:color w:val="auto"/>
              </w:rPr>
              <w:t>853,520</w:t>
            </w:r>
          </w:p>
        </w:tc>
        <w:tc>
          <w:tcPr>
            <w:tcW w:w="0" w:type="dxa"/>
            <w:vAlign w:val="bottom"/>
          </w:tcPr>
          <w:p>
            <w:pPr>
              <w:spacing w:after="0" w:line="20" w:lineRule="exact"/>
              <w:rPr>
                <w:sz w:val="1"/>
                <w:szCs w:val="1"/>
                <w:color w:val="auto"/>
              </w:rPr>
            </w:pPr>
          </w:p>
        </w:tc>
      </w:tr>
      <w:tr>
        <w:trPr>
          <w:trHeight w:val="194"/>
        </w:trPr>
        <w:tc>
          <w:tcPr>
            <w:tcW w:w="2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(7)</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i w:val="1"/>
                <w:iCs w:val="1"/>
                <w:color w:val="auto"/>
              </w:rPr>
              <w:t>Former President and Chief</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Operating Officer</w:t>
            </w:r>
          </w:p>
        </w:tc>
        <w:tc>
          <w:tcPr>
            <w:tcW w:w="13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340,000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60,802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400,802</w:t>
            </w:r>
          </w:p>
        </w:tc>
        <w:tc>
          <w:tcPr>
            <w:tcW w:w="0" w:type="dxa"/>
            <w:vAlign w:val="bottom"/>
          </w:tcPr>
          <w:p>
            <w:pPr>
              <w:spacing w:after="0"/>
              <w:rPr>
                <w:sz w:val="1"/>
                <w:szCs w:val="1"/>
                <w:color w:val="auto"/>
              </w:rPr>
            </w:pPr>
          </w:p>
        </w:tc>
      </w:tr>
      <w:tr>
        <w:trPr>
          <w:trHeight w:val="15"/>
        </w:trPr>
        <w:tc>
          <w:tcPr>
            <w:tcW w:w="2400" w:type="dxa"/>
            <w:vAlign w:val="bottom"/>
          </w:tcPr>
          <w:p>
            <w:pPr>
              <w:spacing w:after="0"/>
              <w:rPr>
                <w:sz w:val="20"/>
                <w:szCs w:val="20"/>
                <w:color w:val="auto"/>
              </w:rPr>
            </w:pPr>
            <w:r>
              <w:rPr>
                <w:rFonts w:ascii="Times New Roman" w:cs="Times New Roman" w:eastAsia="Times New Roman" w:hAnsi="Times New Roman"/>
                <w:sz w:val="1"/>
                <w:szCs w:val="1"/>
                <w:color w:val="auto"/>
              </w:rPr>
              <w:t>C. Jeffrey Dekker</w:t>
            </w:r>
          </w:p>
        </w:tc>
        <w:tc>
          <w:tcPr>
            <w:tcW w:w="1300" w:type="dxa"/>
            <w:vAlign w:val="bottom"/>
            <w:gridSpan w:val="2"/>
          </w:tcPr>
          <w:p>
            <w:pPr>
              <w:ind w:left="520"/>
              <w:spacing w:after="0"/>
              <w:rPr>
                <w:sz w:val="20"/>
                <w:szCs w:val="20"/>
                <w:color w:val="auto"/>
              </w:rPr>
            </w:pPr>
            <w:r>
              <w:rPr>
                <w:rFonts w:ascii="Times New Roman" w:cs="Times New Roman" w:eastAsia="Times New Roman" w:hAnsi="Times New Roman"/>
                <w:sz w:val="1"/>
                <w:szCs w:val="1"/>
                <w:color w:val="auto"/>
              </w:rPr>
              <w:t>2024</w:t>
            </w:r>
          </w:p>
        </w:tc>
        <w:tc>
          <w:tcPr>
            <w:tcW w:w="100" w:type="dxa"/>
            <w:vAlign w:val="bottom"/>
          </w:tcPr>
          <w:p>
            <w:pPr>
              <w:spacing w:after="0" w:line="20" w:lineRule="exact"/>
              <w:rPr>
                <w:sz w:val="1"/>
                <w:szCs w:val="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
                <w:szCs w:val="1"/>
                <w:color w:val="auto"/>
              </w:rPr>
              <w:t>206,923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
                <w:szCs w:val="1"/>
                <w:color w:val="auto"/>
              </w:rPr>
              <w:t>165,000</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
                <w:szCs w:val="1"/>
                <w:color w:val="auto"/>
              </w:rPr>
              <w:t>24,947</w:t>
            </w:r>
          </w:p>
        </w:tc>
        <w:tc>
          <w:tcPr>
            <w:tcW w:w="100" w:type="dxa"/>
            <w:vAlign w:val="bottom"/>
          </w:tcPr>
          <w:p>
            <w:pPr>
              <w:spacing w:after="0" w:line="20" w:lineRule="exact"/>
              <w:rPr>
                <w:sz w:val="1"/>
                <w:szCs w:val="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
                <w:szCs w:val="1"/>
                <w:color w:val="auto"/>
              </w:rPr>
              <w:t>—</w:t>
            </w:r>
          </w:p>
        </w:tc>
        <w:tc>
          <w:tcPr>
            <w:tcW w:w="1500" w:type="dxa"/>
            <w:vAlign w:val="bottom"/>
            <w:gridSpan w:val="3"/>
          </w:tcPr>
          <w:p>
            <w:pPr>
              <w:jc w:val="right"/>
              <w:ind w:right="300"/>
              <w:spacing w:after="0"/>
              <w:rPr>
                <w:sz w:val="20"/>
                <w:szCs w:val="20"/>
                <w:color w:val="auto"/>
              </w:rPr>
            </w:pPr>
            <w:r>
              <w:rPr>
                <w:rFonts w:ascii="Times New Roman" w:cs="Times New Roman" w:eastAsia="Times New Roman" w:hAnsi="Times New Roman"/>
                <w:sz w:val="1"/>
                <w:szCs w:val="1"/>
                <w:color w:val="auto"/>
              </w:rPr>
              <w:t>359,734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
                <w:szCs w:val="1"/>
                <w:color w:val="auto"/>
              </w:rPr>
              <w:t>756,604</w:t>
            </w:r>
          </w:p>
        </w:tc>
        <w:tc>
          <w:tcPr>
            <w:tcW w:w="0" w:type="dxa"/>
            <w:vAlign w:val="bottom"/>
          </w:tcPr>
          <w:p>
            <w:pPr>
              <w:spacing w:after="0" w:line="20" w:lineRule="exact"/>
              <w:rPr>
                <w:sz w:val="1"/>
                <w:szCs w:val="1"/>
                <w:color w:val="auto"/>
              </w:rPr>
            </w:pPr>
          </w:p>
        </w:tc>
      </w:tr>
      <w:tr>
        <w:trPr>
          <w:trHeight w:val="181"/>
        </w:trPr>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(8)</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Former Chief Financial Officer</w:t>
            </w:r>
          </w:p>
        </w:tc>
        <w:tc>
          <w:tcPr>
            <w:tcW w:w="13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270,000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53,072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323,072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61"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reflected herein for Drs. Klein and Goncalves and Mr. Quinlan do not include any compensation they received from Pre-Merger Oruka prior to the Merger.</w:t>
      </w:r>
    </w:p>
    <w:p>
      <w:pPr>
        <w:ind w:left="340" w:hanging="332"/>
        <w:spacing w:after="0" w:line="250"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$157,595 of consulting fees for Dr. Bristow and $20,000 of consulting fees for Mr. Keuer, in each case, pursuant to their respective consulting agreements as described in more detail under “</w:t>
      </w:r>
      <w:r>
        <w:rPr>
          <w:rFonts w:ascii="Times New Roman" w:cs="Times New Roman" w:eastAsia="Times New Roman" w:hAnsi="Times New Roman"/>
          <w:sz w:val="18"/>
          <w:szCs w:val="18"/>
          <w:i w:val="1"/>
          <w:iCs w:val="1"/>
          <w:color w:val="auto"/>
        </w:rPr>
        <w:t>Narrative Disclosure to Summary Compensation Table—ARCA Arrangements</w:t>
      </w:r>
      <w:r>
        <w:rPr>
          <w:rFonts w:ascii="Times New Roman" w:cs="Times New Roman" w:eastAsia="Times New Roman" w:hAnsi="Times New Roman"/>
          <w:sz w:val="18"/>
          <w:szCs w:val="18"/>
          <w:color w:val="auto"/>
        </w:rPr>
        <w:t>” below.</w:t>
      </w:r>
    </w:p>
    <w:p>
      <w:pPr>
        <w:ind w:left="340" w:hanging="332"/>
        <w:spacing w:after="0" w:line="250"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represent retention bonuses, as described in more detail under “</w:t>
      </w:r>
      <w:r>
        <w:rPr>
          <w:rFonts w:ascii="Times New Roman" w:cs="Times New Roman" w:eastAsia="Times New Roman" w:hAnsi="Times New Roman"/>
          <w:sz w:val="18"/>
          <w:szCs w:val="18"/>
          <w:i w:val="1"/>
          <w:iCs w:val="1"/>
          <w:color w:val="auto"/>
        </w:rPr>
        <w:t>Narrative Disclosure to Summary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Table—ARCA Arrangements</w:t>
      </w:r>
      <w:r>
        <w:rPr>
          <w:rFonts w:ascii="Times New Roman" w:cs="Times New Roman" w:eastAsia="Times New Roman" w:hAnsi="Times New Roman"/>
          <w:sz w:val="18"/>
          <w:szCs w:val="18"/>
          <w:color w:val="auto"/>
        </w:rPr>
        <w:t>” below.</w:t>
      </w:r>
    </w:p>
    <w:p>
      <w:pPr>
        <w:jc w:val="both"/>
        <w:ind w:left="340" w:hanging="332"/>
        <w:spacing w:after="0" w:line="250"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represent the incremental fair value under Accounting Standards Codification Topic 718 (“ASC 718”) resulting from the acceleration of the Named Executive Officer’s stock options in the Merger, as described in more detail under “Narrative to Summary Compensation Table—ARCA Arrangements” below.</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represent the annual bonuses earned under the 2024 annual bonus program, as described in more detail under “</w:t>
      </w:r>
      <w:r>
        <w:rPr>
          <w:rFonts w:ascii="Times New Roman" w:cs="Times New Roman" w:eastAsia="Times New Roman" w:hAnsi="Times New Roman"/>
          <w:sz w:val="18"/>
          <w:szCs w:val="18"/>
          <w:i w:val="1"/>
          <w:iCs w:val="1"/>
          <w:color w:val="auto"/>
        </w:rPr>
        <w:t>Narrative to Summary Compensation Table—Elements of Compensation—Annual Bonus Program</w:t>
      </w:r>
      <w:r>
        <w:rPr>
          <w:rFonts w:ascii="Times New Roman" w:cs="Times New Roman" w:eastAsia="Times New Roman" w:hAnsi="Times New Roman"/>
          <w:sz w:val="18"/>
          <w:szCs w:val="18"/>
          <w:color w:val="auto"/>
        </w:rPr>
        <w:t>” below.</w:t>
      </w:r>
    </w:p>
    <w:p>
      <w:pPr>
        <w:ind w:left="340" w:hanging="332"/>
        <w:spacing w:after="0" w:line="250"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$3,875 of Company contributions under the ARCA 401(k) plan and $370,000 of severance payments and benefits, as described in more detail under “</w:t>
      </w:r>
      <w:r>
        <w:rPr>
          <w:rFonts w:ascii="Times New Roman" w:cs="Times New Roman" w:eastAsia="Times New Roman" w:hAnsi="Times New Roman"/>
          <w:sz w:val="18"/>
          <w:szCs w:val="18"/>
          <w:i w:val="1"/>
          <w:iCs w:val="1"/>
          <w:color w:val="auto"/>
        </w:rPr>
        <w:t>Narrative Disclosure to Summary Compensation Table—ARCA Arrangements</w:t>
      </w:r>
      <w:r>
        <w:rPr>
          <w:rFonts w:ascii="Times New Roman" w:cs="Times New Roman" w:eastAsia="Times New Roman" w:hAnsi="Times New Roman"/>
          <w:sz w:val="18"/>
          <w:szCs w:val="18"/>
          <w:color w:val="auto"/>
        </w:rPr>
        <w:t>” below.</w:t>
      </w:r>
    </w:p>
    <w:p>
      <w:pPr>
        <w:jc w:val="both"/>
        <w:ind w:left="340" w:hanging="332"/>
        <w:spacing w:after="0" w:line="250"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$16,800 of Company contributions under the ARCA 401(k) plan, $340,000 of severance payments and $69,715 in COBRA continuation premiums, as described in more detail under “</w:t>
      </w:r>
      <w:r>
        <w:rPr>
          <w:rFonts w:ascii="Times New Roman" w:cs="Times New Roman" w:eastAsia="Times New Roman" w:hAnsi="Times New Roman"/>
          <w:sz w:val="18"/>
          <w:szCs w:val="18"/>
          <w:i w:val="1"/>
          <w:iCs w:val="1"/>
          <w:color w:val="auto"/>
        </w:rPr>
        <w:t>Narrative Disclosure to Summary Compensation Table—ARCA Arrangements</w:t>
      </w:r>
      <w:r>
        <w:rPr>
          <w:rFonts w:ascii="Times New Roman" w:cs="Times New Roman" w:eastAsia="Times New Roman" w:hAnsi="Times New Roman"/>
          <w:sz w:val="18"/>
          <w:szCs w:val="18"/>
          <w:color w:val="auto"/>
        </w:rPr>
        <w:t>” below, and $4,136 for group term life insurance premiums.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$14,687 of Company contributions under the ARCA 401(k) plan, $270,000 of severance payments and $69,715 in COBRA continuation premiums, as described in more detail under “</w:t>
      </w:r>
      <w:r>
        <w:rPr>
          <w:rFonts w:ascii="Times New Roman" w:cs="Times New Roman" w:eastAsia="Times New Roman" w:hAnsi="Times New Roman"/>
          <w:sz w:val="18"/>
          <w:szCs w:val="18"/>
          <w:i w:val="1"/>
          <w:iCs w:val="1"/>
          <w:color w:val="auto"/>
        </w:rPr>
        <w:t>Narrative Disclosure to Summary Compensation Table—ARCA Arrangements</w:t>
      </w:r>
      <w:r>
        <w:rPr>
          <w:rFonts w:ascii="Times New Roman" w:cs="Times New Roman" w:eastAsia="Times New Roman" w:hAnsi="Times New Roman"/>
          <w:sz w:val="18"/>
          <w:szCs w:val="18"/>
          <w:color w:val="auto"/>
        </w:rPr>
        <w:t>” below, $2,692 for group term life insurance premiums and $2,640 for healthcare reimbursements.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2024, our Compensation Committee adopted a compensation philosophy to frame future compensation decisions for the Company. Under this philosophy, compensation positioning is used to attract and retain key employees for the Company’s continued success and growth. While market data is helpful to the Compensation Committee in setting compensation framework and guiding decisions, other factors such as Company strategy, stockholder feedback, tenure, performance and criticality are also considered. The compensation philosophy serves as the foundation to reinforce the Company’s business strategy and desired culture, while balancing internal and external alignment.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Peer Group</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July 2024, Pre-Merger Oruka, in consultation with Alpine, the Compensation Committee’s independent compensation consultant, established a peer group that focuses on U.S.-based, pre-clinical or early clinical biopharma companies (with priority placed on companies with a similar therapeutic focus) with a market capitalization ranging from $250 million to $2 billion and less than 100 employees. The peer group, which was used in making compensation decisions in connection with establishing post-Merger executive compensation for 2024, includes the following companies (the “Peer Group”):</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Apogee Therapeutics</w:t>
            </w:r>
          </w:p>
        </w:tc>
        <w:tc>
          <w:tcPr>
            <w:tcW w:w="38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Astria Therapeutics</w:t>
            </w:r>
          </w:p>
        </w:tc>
        <w:tc>
          <w:tcPr>
            <w:tcW w:w="46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Cabaletta Bio</w:t>
            </w:r>
          </w:p>
        </w:tc>
      </w:tr>
      <w:tr>
        <w:trPr>
          <w:trHeight w:val="229"/>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CARGO Therapeutics</w:t>
            </w:r>
          </w:p>
        </w:tc>
        <w:tc>
          <w:tcPr>
            <w:tcW w:w="38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Celldex Therapeutics</w:t>
            </w:r>
          </w:p>
        </w:tc>
        <w:tc>
          <w:tcPr>
            <w:tcW w:w="46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Contineum Therapeutics</w:t>
            </w:r>
          </w:p>
        </w:tc>
      </w:tr>
      <w:tr>
        <w:trPr>
          <w:trHeight w:val="230"/>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Entrada Therapeutics</w:t>
            </w:r>
          </w:p>
        </w:tc>
        <w:tc>
          <w:tcPr>
            <w:tcW w:w="38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Janux Therapeutics</w:t>
            </w:r>
          </w:p>
        </w:tc>
        <w:tc>
          <w:tcPr>
            <w:tcW w:w="46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Kymera Therapeutics</w:t>
            </w:r>
          </w:p>
        </w:tc>
      </w:tr>
      <w:tr>
        <w:trPr>
          <w:trHeight w:val="229"/>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Kyverna Therapeutics</w:t>
            </w:r>
          </w:p>
        </w:tc>
        <w:tc>
          <w:tcPr>
            <w:tcW w:w="38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Lexeo Therapeutics</w:t>
            </w:r>
          </w:p>
        </w:tc>
        <w:tc>
          <w:tcPr>
            <w:tcW w:w="46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Longboard Pharmaceuticals</w:t>
            </w:r>
          </w:p>
        </w:tc>
      </w:tr>
      <w:tr>
        <w:trPr>
          <w:trHeight w:val="229"/>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Lyell Immunopharma</w:t>
            </w:r>
          </w:p>
        </w:tc>
        <w:tc>
          <w:tcPr>
            <w:tcW w:w="38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Pliant Therapeutics</w:t>
            </w:r>
          </w:p>
        </w:tc>
        <w:tc>
          <w:tcPr>
            <w:tcW w:w="46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Prime Medicine</w:t>
            </w:r>
          </w:p>
        </w:tc>
      </w:t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Spyre Therapeutics</w:t>
            </w:r>
          </w:p>
        </w:tc>
        <w:tc>
          <w:tcPr>
            <w:tcW w:w="38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Structure Therapeutics</w:t>
            </w:r>
          </w:p>
        </w:tc>
        <w:tc>
          <w:tcPr>
            <w:tcW w:w="46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Third Harmonic Bio</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Elements of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Salaries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Compensation Committee recognizes the importance of base salary as an element of compensation to provide our executive officers with steady cash flow during the year that is not contingent on short-term variations in our corporate performance. The setting of base salaries also includes an evaluation of each individual’s job duties, responsibilities, performance and experience, as well as internal pay equity among the executive officer team. The Compensation Committee reviews base salaries at least annually and may recommend adjustment from time to time based on the results of that review. The Compensation Committee determines salary increases using a combination of relevant competitive market data, scope of responsibilities and assessment of individual performance.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2024, the annual base salaries of Drs. Klein and Goncalves and Mr. Quinlan were established in connection with the consummation of their employment with Pre-Merger Oruka as a result of negotiations in the context of a competitive recruitment process. The annual base salaries as of December 31, 2024 for each of our continuing NEOs were as follows: $600,000 for Dr. Klein and $460,000 for each of Dr. Goncalves and Mr. Quinlan.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Bonus Program</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an annual cash incentive plan under which cash incentives may be paid to each of our employees, including our executive officers, after the end of each calendar year. The Compensation Committee generally determines target bonuses based on Peer Group practices and each individual’s job duties. For 2024, the target bonuses for each NEO (excluding the former ARCA executive officers), which were established by Pre-Merger Oruka in connection with the consummation of their employment with Pre-Merger Oruka, were as follows: 50% of base salary for Dr. Klein and 40% of base salary for each of Dr. Goncalves and Mr. Quinlan, in each case, pro-rated based on their respective start dates with Pre-Merger Oruka.</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Pre-Merger Oruka established the corporate goals and targets for the 2024 bonus program, which were heavily weighted towards the preclinical development of ORKA-001 and ORKA-002, progress towards the commencement of their respective Phase 1 clinical studies and regulatory progress. In addition, the corporate goals included measures designed to ensure adequate funding for the Company.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Board, upon the recommendation of the Compensation Committee, reviewed our achievement against our 2024 corporate goals and determined the achievement to have been 125% of target, based on the achievement of substantially all the goals, with overperformance on several of the goals.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our corporate performance, the 2024 annual bonuses awarded to our continuing NEOs were as follows: $317,623 for Dr. Klein, $162,132 for Dr. Goncalves and $154,591 for Mr. Quinlan.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i w:val="1"/>
          <w:iCs w:val="1"/>
          <w:color w:val="auto"/>
        </w:rPr>
        <w:t>Long-Term Incentives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intend our equity incentive program to reward longer-term performance and to align the interests of our executive officers with those of our stockholders. We also believe that our equity incentive program, which currently consists predominantly of time-based stock options (or, for certain grants by Pre-Merger Oruka, time-based compensatory warrants), is an important retention tool for our employees, including our NEOs. The Compensation Committee believes that stock options, which require increased stock price performance for value realization, create a key connection between the interests of the NEOs and stockholders. Each of the grants described below are presented after giving effect to the share conversion completed in the Merger and the subsequent 1-for-12 reverse stock split.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his appointment as Chief Executive Officer of Pre-Merger Oruka, Dr. Klein purchased 852,338 shares of restricted stock at fair market value, which vests as to 25% on February 26, 2025 and in equal monthly installments thereafter through February 26, 2028. In accordance with the anti-dilution provisions of his offer letter, as described in more detail below, on July 15, 2024, Dr. Klein received a compensatory warrant to purchase 1,628,513 shares of our common stock, which vests as to 25% on April 3, 2025 and in equal monthly installments thereafter through April 3, 2028.</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her appointment as Chief Medical Officer of Pre-Merger Oruka, Dr. Goncalves was granted stock options to purchase 228,563 shares of our common stock, which vests as to 25% on April 18, 2025 and in equal monthly installments thereafter through April 18, 2028. On July 15, 2024, Dr. Goncalves was granted a compensatory warrant to purchase 199,992 shares of our common stock, which vests on the same schedule as her initial stock option grant.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his appointment as General Counsel of Pre-Merger Oruka, Mr. Quinlan was granted stock options to purchase 228,563 shares of our common stock, which vests as to 25% on April 30, 2025 and in equal monthly installments thereafter through April 30, 2028. On July 15, 2024, Mr. Quinlan was granted a compensatory warrant to purchase 99,996 shares of our common stock, which vests on the same schedule as his initial stock option grant.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 of the former ARCA executive officers received grants of equity incentive awards during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 Letters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their appointments, we entered into offer letters with each of Dr. Klein, Dr. Goncalves and Mr. Quinlan, each of which was amended and restated as of October 3, 2024 (for Dr. Klein) or October 1, 2024 (for Dr. Goncalves and Mr. Quinlan) following the Merger (collectively, the “Offer Letters”). The Offer Letters provided for each NEO’s initial base salary, target annual bonus and initial equity incentive award. The Offer Letter with Dr. Klein also provided for periodic grants of stock options sufficient to maintain Dr. Klein’s ownership at approximately 5% on a fully-diluted basis until Oruka raised an aggregate of $200 million in financing, which obligations were fully satisfied prior to the consummation of the Merger through the warrant issued on July 15, 2024. The Offer Letter with Dr. Goncalves also provided for a sign-on bonus of $100,000, which is subject to repayment in the event of a termination for cause or resignation without good reason prior to April 18, 2025.</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Offer Letters, the NEOs are eligible for certain payments or benefits upon certain terminations of employment, as described under “Additional Narrative Disclosure—Potential Payments Upon Termination or Change in Control” below. Each of Dr. Klein, Dr. Goncalves and Mr. Quinlan is also party to our standard employee invention assignment, confidentiality and non-competition agreement, which, among other things, provides standard protections regarding our ownership of intellectual property, the confidentiality of our proprietary information, non-competition and non-solicitation.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ARCA Arrangements</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Michael Bristow, M.D. </w:t>
      </w:r>
      <w:r>
        <w:rPr>
          <w:rFonts w:ascii="Times New Roman" w:cs="Times New Roman" w:eastAsia="Times New Roman" w:hAnsi="Times New Roman"/>
          <w:sz w:val="18"/>
          <w:szCs w:val="18"/>
          <w:color w:val="auto"/>
        </w:rPr>
        <w:t>Dr. Bristow served as the Company’s President and Chief Executive Officer through April 3, 2024. In connection with 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separation, the Company (then known as ARCA) and Dr. Bristow entered into a separation agreement pursuant to which Dr. Bristow provided a release of claims in favor of the Company and the Company paid Dr. Bristow a lump sum severance payment of $370,000.</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30" w:name="page131"/>
    <w:bookmarkEnd w:id="130"/>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and Dr. Bristow also entered into a consulting agreement, effective April 3, 2024, pursuant to which Dr. Bristow provided certain consulting services to the Company through the Merger. Under the consulting agreement, Dr. Bristow continued to vest in his outstanding equity awards during the consulting term.</w:t>
      </w:r>
    </w:p>
    <w:p>
      <w:pPr>
        <w:spacing w:after="0" w:line="1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Thomas A. Keuer and C. Jeffrey Dekker. </w:t>
      </w:r>
      <w:r>
        <w:rPr>
          <w:rFonts w:ascii="Times New Roman" w:cs="Times New Roman" w:eastAsia="Times New Roman" w:hAnsi="Times New Roman"/>
          <w:sz w:val="18"/>
          <w:szCs w:val="18"/>
          <w:color w:val="auto"/>
        </w:rPr>
        <w:t>Mr. Keuer served as the Company’s President and Chief Operating Officer and Mr. Dekker served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Chief Financial Officer, in each case, through the consummation of the Merger. Pursuant to retention bonus letters approved by the ARCA Compensation Committee prior to the Merger, each of Messrs. Keuer and Dekker were paid a retention bonus upon consummation of the Merger of $165,000.</w:t>
      </w:r>
    </w:p>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result of the Merger and the accompanying termination of their employment, the Company and each of Mr. Keuer and Mr. Dekker entered into a separation agreement, pursuant to which Mr. Keuer and Mr. Dekker each provided a release of claims in favor of the Company and the Company provided the following severance payments and benefits, in accordance with the terms of their employment agreement: (i) a lump sum cash severance payment equal to 12 months of their respective annual base salary ($340,000 and $270,000, respectively) and (ii) a lump sum cash payment of $69,715 in lieu of 12 months of group health plan continuation premiums.</w:t>
      </w:r>
    </w:p>
    <w:p>
      <w:pPr>
        <w:spacing w:after="0" w:line="18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Treatment of ARCA Equity Awards. </w:t>
      </w:r>
      <w:r>
        <w:rPr>
          <w:rFonts w:ascii="Times New Roman" w:cs="Times New Roman" w:eastAsia="Times New Roman" w:hAnsi="Times New Roman"/>
          <w:sz w:val="18"/>
          <w:szCs w:val="18"/>
          <w:color w:val="auto"/>
        </w:rPr>
        <w:t>In connection with the Merger, all outstanding ARCA stock options held by the NEOs were accelerated and cashed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 for an amount equal to the difference between $3.9489 and the applicable per share exercise price; however, any ARCA stock options having an exercise price in excess of $3.9489 were cancelled for no consideration.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regarding outstanding stock options, compensatory warrants and restricted stock held by each NEO as of December 31, 2024. The equity awards reflected below give effect to the share conversion completed in the Merger and the subsequent 1-for-12 reverse stock split. None of the former ARCA executive officers held any outstanding equity awards as of December 31,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20" w:type="dxa"/>
            <w:vAlign w:val="bottom"/>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0" w:type="dxa"/>
            <w:vAlign w:val="bottom"/>
          </w:tcPr>
          <w:p>
            <w:pPr>
              <w:spacing w:after="0"/>
              <w:rPr>
                <w:sz w:val="1"/>
                <w:szCs w:val="1"/>
                <w:color w:val="auto"/>
              </w:rPr>
            </w:pPr>
          </w:p>
        </w:tc>
      </w:tr>
      <w:tr>
        <w:trPr>
          <w:trHeight w:val="202"/>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Market Value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80" w:type="dxa"/>
            <w:vAlign w:val="bottom"/>
            <w:gridSpan w:val="2"/>
          </w:tcPr>
          <w:p>
            <w:pPr>
              <w:jc w:val="center"/>
              <w:ind w:right="205"/>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2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Shares or</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380" w:type="dxa"/>
            <w:vAlign w:val="bottom"/>
            <w:gridSpan w:val="2"/>
          </w:tcPr>
          <w:p>
            <w:pPr>
              <w:jc w:val="center"/>
              <w:ind w:right="205"/>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Units of Stock</w:t>
            </w:r>
          </w:p>
        </w:tc>
        <w:tc>
          <w:tcPr>
            <w:tcW w:w="2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Units of Stock</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380" w:type="dxa"/>
            <w:vAlign w:val="bottom"/>
            <w:gridSpan w:val="2"/>
          </w:tcPr>
          <w:p>
            <w:pPr>
              <w:jc w:val="center"/>
              <w:ind w:right="205"/>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2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That Have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380" w:type="dxa"/>
            <w:vAlign w:val="bottom"/>
            <w:gridSpan w:val="2"/>
          </w:tcPr>
          <w:p>
            <w:pPr>
              <w:jc w:val="center"/>
              <w:ind w:right="205"/>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2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380" w:type="dxa"/>
            <w:vAlign w:val="bottom"/>
            <w:gridSpan w:val="2"/>
          </w:tcPr>
          <w:p>
            <w:pPr>
              <w:jc w:val="center"/>
              <w:ind w:right="205"/>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2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0" w:type="dxa"/>
            <w:vAlign w:val="bottom"/>
          </w:tcPr>
          <w:p>
            <w:pPr>
              <w:spacing w:after="0"/>
              <w:rPr>
                <w:sz w:val="1"/>
                <w:szCs w:val="1"/>
                <w:color w:val="auto"/>
              </w:rPr>
            </w:pPr>
          </w:p>
        </w:tc>
      </w:tr>
      <w:tr>
        <w:trPr>
          <w:trHeight w:val="27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380" w:type="dxa"/>
            <w:vAlign w:val="bottom"/>
            <w:gridSpan w:val="2"/>
          </w:tcPr>
          <w:p>
            <w:pPr>
              <w:jc w:val="center"/>
              <w:ind w:right="205"/>
              <w:spacing w:after="0"/>
              <w:rPr>
                <w:sz w:val="20"/>
                <w:szCs w:val="20"/>
                <w:color w:val="auto"/>
              </w:rPr>
            </w:pPr>
            <w:r>
              <w:rPr>
                <w:rFonts w:ascii="Times New Roman" w:cs="Times New Roman" w:eastAsia="Times New Roman" w:hAnsi="Times New Roman"/>
                <w:sz w:val="18"/>
                <w:szCs w:val="18"/>
                <w:b w:val="1"/>
                <w:bCs w:val="1"/>
                <w:color w:val="auto"/>
                <w:w w:val="98"/>
              </w:rPr>
              <w:t>Unexercisable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4"/>
                <w:szCs w:val="24"/>
                <w:color w:val="auto"/>
              </w:rPr>
            </w:pPr>
          </w:p>
        </w:tc>
        <w:tc>
          <w:tcPr>
            <w:tcW w:w="112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1"/>
              </w:rPr>
              <w:t>($)</w:t>
            </w:r>
            <w:r>
              <w:rPr>
                <w:rFonts w:ascii="Times New Roman" w:cs="Times New Roman" w:eastAsia="Times New Roman" w:hAnsi="Times New Roman"/>
                <w:sz w:val="29"/>
                <w:szCs w:val="29"/>
                <w:b w:val="1"/>
                <w:bCs w:val="1"/>
                <w:color w:val="auto"/>
                <w:w w:val="91"/>
                <w:vertAlign w:val="superscript"/>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Lawrence Klein, Ph.D.</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1,628,513</w:t>
            </w:r>
          </w:p>
        </w:tc>
        <w:tc>
          <w:tcPr>
            <w:tcW w:w="280" w:type="dxa"/>
            <w:vAlign w:val="bottom"/>
            <w:tcBorders>
              <w:top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(2)</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ind w:left="18"/>
              <w:spacing w:after="0"/>
              <w:rPr>
                <w:sz w:val="20"/>
                <w:szCs w:val="20"/>
                <w:color w:val="auto"/>
              </w:rPr>
            </w:pPr>
            <w:r>
              <w:rPr>
                <w:rFonts w:ascii="Times New Roman" w:cs="Times New Roman" w:eastAsia="Times New Roman" w:hAnsi="Times New Roman"/>
                <w:sz w:val="18"/>
                <w:szCs w:val="18"/>
                <w:color w:val="auto"/>
                <w:w w:val="98"/>
              </w:rPr>
              <w:t>7/14/2034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852,338</w:t>
            </w:r>
          </w:p>
        </w:tc>
        <w:tc>
          <w:tcPr>
            <w:tcW w:w="28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w w:val="91"/>
              </w:rPr>
              <w:t>(3)</w:t>
            </w: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7"/>
                <w:szCs w:val="17"/>
                <w:color w:val="auto"/>
              </w:rPr>
              <w:t>16,526,834</w:t>
            </w:r>
          </w:p>
        </w:tc>
        <w:tc>
          <w:tcPr>
            <w:tcW w:w="0" w:type="dxa"/>
            <w:vAlign w:val="bottom"/>
          </w:tcPr>
          <w:p>
            <w:pPr>
              <w:spacing w:after="0"/>
              <w:rPr>
                <w:sz w:val="1"/>
                <w:szCs w:val="1"/>
                <w:color w:val="auto"/>
              </w:rPr>
            </w:pPr>
          </w:p>
        </w:tc>
      </w:tr>
      <w:tr>
        <w:trPr>
          <w:trHeight w:val="45"/>
        </w:trPr>
        <w:tc>
          <w:tcPr>
            <w:tcW w:w="3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Joana Goncalves, MBChB</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228,563</w:t>
            </w:r>
            <w:r>
              <w:rPr>
                <w:rFonts w:ascii="Times New Roman" w:cs="Times New Roman" w:eastAsia="Times New Roman" w:hAnsi="Times New Roman"/>
                <w:sz w:val="14"/>
                <w:szCs w:val="14"/>
                <w:color w:val="auto"/>
              </w:rPr>
              <w:t>(4)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6.84</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10/30/2034</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199,992</w:t>
            </w:r>
            <w:r>
              <w:rPr>
                <w:rFonts w:ascii="Times New Roman" w:cs="Times New Roman" w:eastAsia="Times New Roman" w:hAnsi="Times New Roman"/>
                <w:sz w:val="14"/>
                <w:szCs w:val="14"/>
                <w:color w:val="auto"/>
              </w:rPr>
              <w:t>(4)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7.80</w:t>
            </w:r>
          </w:p>
        </w:tc>
        <w:tc>
          <w:tcPr>
            <w:tcW w:w="1100" w:type="dxa"/>
            <w:vAlign w:val="bottom"/>
          </w:tcPr>
          <w:p>
            <w:pPr>
              <w:jc w:val="center"/>
              <w:ind w:left="18"/>
              <w:spacing w:after="0"/>
              <w:rPr>
                <w:sz w:val="20"/>
                <w:szCs w:val="20"/>
                <w:color w:val="auto"/>
              </w:rPr>
            </w:pPr>
            <w:r>
              <w:rPr>
                <w:rFonts w:ascii="Times New Roman" w:cs="Times New Roman" w:eastAsia="Times New Roman" w:hAnsi="Times New Roman"/>
                <w:sz w:val="18"/>
                <w:szCs w:val="18"/>
                <w:color w:val="auto"/>
                <w:w w:val="98"/>
              </w:rPr>
              <w:t>7/14/2034</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Quinlan</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228,563</w:t>
            </w:r>
            <w:r>
              <w:rPr>
                <w:rFonts w:ascii="Times New Roman" w:cs="Times New Roman" w:eastAsia="Times New Roman" w:hAnsi="Times New Roman"/>
                <w:sz w:val="14"/>
                <w:szCs w:val="14"/>
                <w:color w:val="auto"/>
              </w:rPr>
              <w:t>(5)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6.84</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10/30/2034</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
                <w:szCs w:val="1"/>
                <w:color w:val="auto"/>
              </w:rPr>
              <w:t>—</w:t>
            </w:r>
          </w:p>
        </w:tc>
        <w:tc>
          <w:tcPr>
            <w:tcW w:w="1380" w:type="dxa"/>
            <w:vAlign w:val="bottom"/>
            <w:gridSpan w:val="2"/>
          </w:tcPr>
          <w:p>
            <w:pPr>
              <w:jc w:val="right"/>
              <w:ind w:right="205"/>
              <w:spacing w:after="0"/>
              <w:rPr>
                <w:sz w:val="20"/>
                <w:szCs w:val="20"/>
                <w:color w:val="auto"/>
              </w:rPr>
            </w:pPr>
            <w:r>
              <w:rPr>
                <w:rFonts w:ascii="Times New Roman" w:cs="Times New Roman" w:eastAsia="Times New Roman" w:hAnsi="Times New Roman"/>
                <w:sz w:val="1"/>
                <w:szCs w:val="1"/>
                <w:color w:val="auto"/>
              </w:rPr>
              <w:t>99,996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
                <w:szCs w:val="1"/>
                <w:color w:val="auto"/>
              </w:rPr>
              <w:t>7.80</w:t>
            </w:r>
          </w:p>
        </w:tc>
        <w:tc>
          <w:tcPr>
            <w:tcW w:w="1100" w:type="dxa"/>
            <w:vAlign w:val="bottom"/>
          </w:tcPr>
          <w:p>
            <w:pPr>
              <w:jc w:val="center"/>
              <w:ind w:left="18"/>
              <w:spacing w:after="0"/>
              <w:rPr>
                <w:sz w:val="20"/>
                <w:szCs w:val="20"/>
                <w:color w:val="auto"/>
              </w:rPr>
            </w:pPr>
            <w:r>
              <w:rPr>
                <w:rFonts w:ascii="Times New Roman" w:cs="Times New Roman" w:eastAsia="Times New Roman" w:hAnsi="Times New Roman"/>
                <w:sz w:val="1"/>
                <w:szCs w:val="1"/>
                <w:color w:val="auto"/>
              </w:rPr>
              <w:t>7/14/2034</w:t>
            </w: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(5)</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Bristow, M.D.</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A. Keuer</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 Jeffrey Dekker</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was determined by multiplying the numbers of shares by $19.39, the closing price of our common stock on December 31, 2024.</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compensatory warrants vest as to 25% on April 3, 2025 and in equal monthly installments thereafter through April 3, 2028, subject to Dr. Klein’s continued services to us.</w:t>
      </w:r>
    </w:p>
    <w:p>
      <w:pPr>
        <w:ind w:left="340" w:hanging="332"/>
        <w:spacing w:after="0" w:line="250"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restricted shares vest as to 25% on February 26, 2025 and in equal monthly installments thereafter through February 26, 2028, subject to Dr. Klein’s continued services to us.</w:t>
      </w:r>
    </w:p>
    <w:p>
      <w:pPr>
        <w:ind w:left="340" w:hanging="332"/>
        <w:spacing w:after="0" w:line="250"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stock options and compensatory warrants vest as to 25% on April 18, 2025 and in equal monthly installments thereafter through April 18, 2028, subject to Dr. Goncalves’ continued services to us.</w:t>
      </w:r>
    </w:p>
    <w:p>
      <w:pPr>
        <w:ind w:left="340" w:hanging="332"/>
        <w:spacing w:after="0" w:line="260"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stock options and compensatory warrants vest as to 25% on April 30, 2025 and in equal monthly installments thereafter through April 30, 2028, subject to Mr. Quinlan’s continued services to us.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Additional Narrative Disclosures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 and Perquisites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NEOs are eligible to participate in our employee benefit plans, including our health and welfare plans, term life insurance, disability insurance and a 401(k) plan, in each case on the same basis as all our other employees. During 2024, following the Merger, we did not provide any Company contributions under the 401(k) plan; however, in 2025, the Company will make matching contributions of 100% of the first 3% of eligible compensation deferred by participants, subject to legal maximum contributions.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Following the Merger, we generally do not provide perquisites or personal benefits to our NEOs, except in limited circumstances.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terms of the Offer Letters, in the event each NEO that is a current executive officer is terminated by the Company without “cause” or as a result of a resignation for “good reason” (collectively, an “Involuntary Termination”), such NEO will, subject to the execution of a release in favor of the Company, receive: (i) severance payments equal to 12 months of base salary; (ii) Company-paid continuation coverage under the Company’s group health plans for up to 12 months; and (iii) in the case of Dr. Klein, accelerated vesting of 30% of any outstanding time-based equity. However, if the Involuntary Termination is within three months before or 12 months after a change in control of the Company, the NEO will instead receive: (A) severance payments equal to 1.0 times (or, for Dr. Klein, 1.5x times) the sum of the NEO’s base salary and target bonus; (B) Company-paid continuation coverage under the Company’s group health plans for up to 12 months (or, for Dr. Klein, up to 18 months); and (C) full acceleration of all equity awards. In addition, upon severance due to the death or disability of the named executive officer, the officer’s equity awards shall accelerate in full.</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used in the Offer Letters: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“Cause” generally means the NEO’s (i)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 (ii) conviction or plea of no contest to a felony or misdemeanor involving moral turpitude, deceit, dishonesty or fraud; (iii) failure to perform his or her duties or responsibilities, subject to a 30-day cure period; (iv) gross negligence, willful misconduct that results in or is reasonably anticipated to result in material harm to the Company; or (v) violation of any material provision of any agreement with the Company or any written Company policies.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“Good reason” generally means (i) a material diminution in the named executive officer’s base salary or target bonus (excluding across-the-board reductions of less than 10%); (ii) a material geographic relocation or requirement to change the named executive officer’s remote work location; (iii) a material reduction in the named executive officer’s duties, authority or responsibilities; (iv) the failure of the Company to obtain the assumption of the Offer Letter by a successor; or (v) the material breach of any agreement between the NEO and the Company, in each case, subject to standard notice and cure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maintain a Compensation Recoupment (Clawback) Policy, which is intended to comply with the requirements of Nasdaq Listing Standard 5608 implementing Rule 10D-1 under the Exchange Act. In the event the Company is required to prepare an accounting restatement of the Company’s financial statements due to material non-compliance with any financial reporting requirement under the federal securities laws, the Company will recover, on a reasonably prompt basis, the excess incentive-based compensation received by any covered executive, including the NEOs, during the prior three fiscal years that exceeds the amount that the executive otherwise would have received had the incentive-based compensation been determined based on the restated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i w:val="1"/>
          <w:iCs w:val="1"/>
          <w:color w:val="auto"/>
        </w:rPr>
        <w:t>Equity Grant Practices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Following the Merger, we generally grant annual equity awards, including stock options, in January of each year. We also grant stock options as new hire awards as of their date of employment commencement. Employees, including the NEOs, may enroll to purchase shares under the terms of our 2024 Employee Stock Purchase Plan, as amended (the “ESPP”), with purchase dates generally occurring during open trading windows in June and December of each year using payroll deductions accumulated during the prior six-month period. During 2024, the Compensation Committee did not take material nonpublic information into account when determining the timing and terms of stock options, and the Company did not time the disclosure of material nonpublic information for the purpose of affecting the value of executive compensation.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for the year ended December 31, 2024 regarding all compensation awarded to, earned by or paid to each person who served as a non-employee director for some portion of 2024. Employees who served on our Board during 2024 did not receive additional compensation for such service: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Earned or</w:t>
            </w: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8"/>
              </w:rPr>
              <w:t>Paid in</w:t>
            </w:r>
          </w:p>
        </w:tc>
        <w:tc>
          <w:tcPr>
            <w:tcW w:w="132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35"/>
                <w:szCs w:val="35"/>
                <w:b w:val="1"/>
                <w:bCs w:val="1"/>
                <w:color w:val="auto"/>
                <w:vertAlign w:val="subscript"/>
              </w:rPr>
              <w:t>Name</w:t>
            </w:r>
            <w:r>
              <w:rPr>
                <w:rFonts w:ascii="Times New Roman" w:cs="Times New Roman" w:eastAsia="Times New Roman" w:hAnsi="Times New Roman"/>
                <w:sz w:val="15"/>
                <w:szCs w:val="15"/>
                <w:b w:val="1"/>
                <w:bCs w:val="1"/>
                <w:color w:val="auto"/>
              </w:rPr>
              <w:t>(1)(2)</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7"/>
        </w:trPr>
        <w:tc>
          <w:tcPr>
            <w:tcW w:w="7320" w:type="dxa"/>
            <w:vAlign w:val="bottom"/>
            <w:gridSpan w:val="2"/>
            <w:vMerge w:val="continue"/>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4"/>
                <w:szCs w:val="24"/>
                <w:color w:val="auto"/>
              </w:rPr>
            </w:pPr>
          </w:p>
        </w:tc>
        <w:tc>
          <w:tcPr>
            <w:tcW w:w="110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(3)</w:t>
            </w:r>
          </w:p>
        </w:tc>
        <w:tc>
          <w:tcPr>
            <w:tcW w:w="220" w:type="dxa"/>
            <w:vAlign w:val="bottom"/>
          </w:tcPr>
          <w:p>
            <w:pPr>
              <w:spacing w:after="0"/>
              <w:rPr>
                <w:sz w:val="24"/>
                <w:szCs w:val="24"/>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Kristine Ball</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20,548</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 Dambkowski, M.D.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16,267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16,267</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Harwin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19,178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19,178</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Samarth Kulkarni, Ph.D.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27,740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27,740</w:t>
            </w:r>
          </w:p>
        </w:tc>
        <w:tc>
          <w:tcPr>
            <w:tcW w:w="0" w:type="dxa"/>
            <w:vAlign w:val="bottom"/>
          </w:tcPr>
          <w:p>
            <w:pPr>
              <w:spacing w:after="0"/>
              <w:rPr>
                <w:sz w:val="1"/>
                <w:szCs w:val="1"/>
                <w:color w:val="auto"/>
              </w:rPr>
            </w:pPr>
          </w:p>
        </w:tc>
      </w:tr>
      <w:tr>
        <w:trPr>
          <w:trHeight w:val="257"/>
        </w:trPr>
        <w:tc>
          <w:tcPr>
            <w:tcW w:w="73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Cameron Turtle, D.Phil.</w:t>
            </w:r>
            <w:r>
              <w:rPr>
                <w:rFonts w:ascii="Times New Roman" w:cs="Times New Roman" w:eastAsia="Times New Roman" w:hAnsi="Times New Roman"/>
                <w:sz w:val="29"/>
                <w:szCs w:val="29"/>
                <w:color w:val="auto"/>
                <w:vertAlign w:val="superscript"/>
              </w:rPr>
              <w:t>(4)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20,377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20,377</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 Mitchell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30,810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30,810</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Woosley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27,500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27,500</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Conway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197,916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200,655</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Flynn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71,042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12,620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83,662</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Linda Grais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168,124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170,863</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Anders Hove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159,583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162,322</w:t>
            </w:r>
          </w:p>
        </w:tc>
        <w:tc>
          <w:tcPr>
            <w:tcW w:w="0" w:type="dxa"/>
            <w:vAlign w:val="bottom"/>
          </w:tcPr>
          <w:p>
            <w:pPr>
              <w:spacing w:after="0"/>
              <w:rPr>
                <w:sz w:val="1"/>
                <w:szCs w:val="1"/>
                <w:color w:val="auto"/>
              </w:rPr>
            </w:pP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Jacob Ma-Weaver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119,167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8,215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127,382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ind w:left="340" w:hanging="332"/>
        <w:spacing w:after="0" w:line="261"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reflected herein for directors who served on the Pre-Merger Oruka board of directors do not include any compensation they received from Pre-Merger Oruka prior to the Merger.</w:t>
      </w:r>
    </w:p>
    <w:p>
      <w:pPr>
        <w:jc w:val="both"/>
        <w:ind w:left="340" w:hanging="332"/>
        <w:spacing w:after="0" w:line="250"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Woosley and Mitchell resigned from our Board effective as of February 2, 2024. In connection with the Merger on August 29, 2024, Drs. Hove and Grais as well as Messrs. Conway, Ma-Weaver and Flynn resigned from our Board and Drs. Turtle, Dambkowski and Kulkarni as well as Ms. Ball and Mr. Harwin were appointed to our Board.</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Merger, all outstanding ARCA stock options held by Drs. Hove and Grais and Messrs. Conway, Ma-Weaver and Flynn were accelerated and cashed out for an amount equal to the difference between $3.9489 and the applicable per share exercise price; however, any ARCA stock options having an exercise price in excess of $3.9489 were cancelled for no consideration. Amounts reported in this column represent the incremental fair value under ASC Topic 718 resulting from the acceleration of the stock options in the Merger. As of December 31, 2024, each of Drs. Turtle and Dambkowski and Ms. Ball held outstanding options or compensatory warrants to purchase 94,282 shares of our common stock (which were assumed by the Company in connection with the Merger), Dr. Kulkarni held outstanding options or compensatory warrants to purchase 199,992 shares of our common stock (which were assumed by the Company in connection with the Merger), and no other non-employee directors held any outstanding options or compensatory warrants.</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Merger, Dr. Turtle purchased 85,233 shares (after giving effect to the share conversion completed in the Merger and the subsequent 1-for-12 reverse stock split) of restricted common stock that vest as to 25% on March 1, 2025 and in and in equal monthly installments thereafter through March 1, 2028. All of such restricted shares were outstanding as of December 31, 2024.</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Program</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Non-employee members of the Board are eligible to receive cash and equity compensation in accordance with our non-employee director compensation program. This program provides for the following annual cash retainers: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Pre-Merger</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Post-Merger</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Cash Retainer</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Annual Board Chair Retainer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Retainers: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Non-Chair Member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Retainers: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Chair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Non-Chair Member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Retainers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Non-Chair Member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Company’s annual meeting of stockholders, each member of the Board will receive an annual grant of stock options to purchase 17,500 shares of common stock, which will vest in equal monthly installments over 12 months so long as such director joined the Board prior to January 1 of the year in which such annual meeting occurs. Prior to the Merger, the annual grant of stock options was for 6,000 shares of common stock.</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in connection with a non-employee director’s initial appointment to the Board, they will receive an initial grant of stock options to purchase 35,000 shares of common stock, which will vest in equal monthly installments over 36 months. Prior to the Merger, the initial grant of stock options was for 12,000 shares of common stock.</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members of the Board are also reimbursed for reasonable and documented out-of-pocket travel and lodging expenses incurred in connection with attending meetings and activities of the Board and its committees.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to the extent known by us or ascertainable from public filings, with respect to the beneficial ownership of our Common Stock as of February 15, 2025.</w:t>
      </w:r>
    </w:p>
    <w:p>
      <w:pPr>
        <w:spacing w:after="0" w:line="162"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 the beneficial owner of more than 5% of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4" w:name="page135"/>
    <w:bookmarkEnd w:id="134"/>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column entitled “Percentage of Shares Outstanding Beneficially Owned” is based on a total of 37,440,510 shares of our Common Stock outstanding as of February 15, 2025.</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and includes voting or investment power with respect to the Common Stock. Shares of Common Stock subject to options that are currently exercisable or exercisable within 60 days of the date of this table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the shares of Common Stock beneficially owned by them, subject to community property laws, where applicable. Except as otherwise indicated in the table below, addresses of named beneficial owners are in care of Oruka Therapeutics, Inc., 855 Oak Grove Ave., Suite 100, Menlo Park, CA 94025.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of Shares</w:t>
            </w: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45"/>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Owned</w:t>
            </w:r>
          </w:p>
        </w:tc>
      </w:tr>
      <w:tr>
        <w:trPr>
          <w:trHeight w:val="216"/>
        </w:trPr>
        <w:tc>
          <w:tcPr>
            <w:tcW w:w="8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Entities affiliated with Fairmount Funds Management LLC</w:t>
            </w:r>
            <w:r>
              <w:rPr>
                <w:rFonts w:ascii="Times New Roman" w:cs="Times New Roman" w:eastAsia="Times New Roman" w:hAnsi="Times New Roman"/>
                <w:sz w:val="29"/>
                <w:szCs w:val="29"/>
                <w:color w:val="auto"/>
                <w:vertAlign w:val="superscript"/>
              </w:rPr>
              <w:t>(1)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8,511,824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19.99%</w:t>
            </w:r>
          </w:p>
        </w:tc>
      </w:tr>
      <w:tr>
        <w:trPr>
          <w:trHeight w:val="257"/>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FMR LLC</w:t>
            </w:r>
            <w:r>
              <w:rPr>
                <w:rFonts w:ascii="Times New Roman" w:cs="Times New Roman" w:eastAsia="Times New Roman" w:hAnsi="Times New Roman"/>
                <w:sz w:val="29"/>
                <w:szCs w:val="29"/>
                <w:color w:val="auto"/>
                <w:vertAlign w:val="superscript"/>
              </w:rPr>
              <w:t>(2)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5,561,808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14.86%</w:t>
            </w:r>
          </w:p>
        </w:tc>
      </w:tr>
      <w:tr>
        <w:trPr>
          <w:trHeight w:val="256"/>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Entities affiliated with Venrock Healthcare Capital Partners</w:t>
            </w:r>
            <w:r>
              <w:rPr>
                <w:rFonts w:ascii="Times New Roman" w:cs="Times New Roman" w:eastAsia="Times New Roman" w:hAnsi="Times New Roman"/>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4,148,428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11.08%</w:t>
            </w:r>
          </w:p>
        </w:tc>
      </w:tr>
      <w:tr>
        <w:trPr>
          <w:trHeight w:val="257"/>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Entities affiliated with RTW Investments, LP</w:t>
            </w:r>
            <w:r>
              <w:rPr>
                <w:rFonts w:ascii="Times New Roman" w:cs="Times New Roman" w:eastAsia="Times New Roman" w:hAnsi="Times New Roman"/>
                <w:sz w:val="29"/>
                <w:szCs w:val="29"/>
                <w:color w:val="auto"/>
                <w:vertAlign w:val="superscript"/>
              </w:rPr>
              <w:t>(4)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2,058,147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Lawrence Klein</w:t>
            </w:r>
            <w:r>
              <w:rPr>
                <w:rFonts w:ascii="Times New Roman" w:cs="Times New Roman" w:eastAsia="Times New Roman" w:hAnsi="Times New Roman"/>
                <w:sz w:val="29"/>
                <w:szCs w:val="29"/>
                <w:color w:val="auto"/>
                <w:vertAlign w:val="superscript"/>
              </w:rPr>
              <w:t>(5)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1,522,440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4.02%</w:t>
            </w: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Arjun Agarwal</w:t>
            </w:r>
            <w:r>
              <w:rPr>
                <w:rFonts w:ascii="Times New Roman" w:cs="Times New Roman" w:eastAsia="Times New Roman" w:hAnsi="Times New Roman"/>
                <w:sz w:val="29"/>
                <w:szCs w:val="29"/>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61,068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Joana Goncalves</w:t>
            </w:r>
            <w:r>
              <w:rPr>
                <w:rFonts w:ascii="Times New Roman" w:cs="Times New Roman" w:eastAsia="Times New Roman" w:hAnsi="Times New Roman"/>
                <w:sz w:val="29"/>
                <w:szCs w:val="29"/>
                <w:color w:val="auto"/>
                <w:vertAlign w:val="superscript"/>
              </w:rPr>
              <w:t>(7)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10,347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Paul Quinlan</w:t>
            </w:r>
            <w:r>
              <w:rPr>
                <w:rFonts w:ascii="Times New Roman" w:cs="Times New Roman" w:eastAsia="Times New Roman" w:hAnsi="Times New Roman"/>
                <w:sz w:val="29"/>
                <w:szCs w:val="29"/>
                <w:color w:val="auto"/>
                <w:vertAlign w:val="superscript"/>
              </w:rPr>
              <w:t>(8)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10,156</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Michael R. Bristow</w:t>
            </w:r>
            <w:r>
              <w:rPr>
                <w:rFonts w:ascii="Times New Roman" w:cs="Times New Roman" w:eastAsia="Times New Roman" w:hAnsi="Times New Roman"/>
                <w:sz w:val="29"/>
                <w:szCs w:val="29"/>
                <w:color w:val="auto"/>
                <w:vertAlign w:val="superscript"/>
              </w:rPr>
              <w:t>(9)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Thomas A. Keuer</w:t>
            </w:r>
            <w:r>
              <w:rPr>
                <w:rFonts w:ascii="Times New Roman" w:cs="Times New Roman" w:eastAsia="Times New Roman" w:hAnsi="Times New Roman"/>
                <w:sz w:val="29"/>
                <w:szCs w:val="29"/>
                <w:color w:val="auto"/>
                <w:vertAlign w:val="superscript"/>
              </w:rPr>
              <w:t>(10)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3,394</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 Jeffrey Dekker</w:t>
            </w:r>
            <w:r>
              <w:rPr>
                <w:rFonts w:ascii="Times New Roman" w:cs="Times New Roman" w:eastAsia="Times New Roman" w:hAnsi="Times New Roman"/>
                <w:sz w:val="29"/>
                <w:szCs w:val="29"/>
                <w:color w:val="auto"/>
                <w:vertAlign w:val="superscript"/>
              </w:rPr>
              <w:t>(11)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Cameron Turtle</w:t>
            </w:r>
            <w:r>
              <w:rPr>
                <w:rFonts w:ascii="Times New Roman" w:cs="Times New Roman" w:eastAsia="Times New Roman" w:hAnsi="Times New Roman"/>
                <w:sz w:val="29"/>
                <w:szCs w:val="29"/>
                <w:color w:val="auto"/>
                <w:vertAlign w:val="superscript"/>
              </w:rPr>
              <w:t>(12)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110,579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Samarth Kulkarni</w:t>
            </w:r>
            <w:r>
              <w:rPr>
                <w:rFonts w:ascii="Times New Roman" w:cs="Times New Roman" w:eastAsia="Times New Roman" w:hAnsi="Times New Roman"/>
                <w:sz w:val="29"/>
                <w:szCs w:val="29"/>
                <w:color w:val="auto"/>
                <w:vertAlign w:val="superscript"/>
              </w:rPr>
              <w:t>(13)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35,713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Peter Harwin</w:t>
            </w:r>
            <w:r>
              <w:rPr>
                <w:rFonts w:ascii="Times New Roman" w:cs="Times New Roman" w:eastAsia="Times New Roman" w:hAnsi="Times New Roman"/>
                <w:sz w:val="29"/>
                <w:szCs w:val="29"/>
                <w:color w:val="auto"/>
                <w:vertAlign w:val="superscript"/>
              </w:rPr>
              <w:t>(1)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8,511,824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19.99%</w:t>
            </w:r>
          </w:p>
        </w:tc>
      </w:tr>
      <w:tr>
        <w:trPr>
          <w:trHeight w:val="257"/>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Carl Dambkowski</w:t>
            </w:r>
            <w:r>
              <w:rPr>
                <w:rFonts w:ascii="Times New Roman" w:cs="Times New Roman" w:eastAsia="Times New Roman" w:hAnsi="Times New Roman"/>
                <w:sz w:val="29"/>
                <w:szCs w:val="29"/>
                <w:color w:val="auto"/>
                <w:vertAlign w:val="superscript"/>
              </w:rPr>
              <w:t>(14)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25,058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Kristine Ball</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39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executive officers and directors as a group (9 persons)</w:t>
            </w:r>
            <w:r>
              <w:rPr>
                <w:rFonts w:ascii="Times New Roman" w:cs="Times New Roman" w:eastAsia="Times New Roman" w:hAnsi="Times New Roman"/>
                <w:sz w:val="29"/>
                <w:szCs w:val="29"/>
                <w:color w:val="auto"/>
                <w:vertAlign w:val="superscript"/>
              </w:rPr>
              <w:t>(15)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10,287,185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1" w:lineRule="exact"/>
        <w:rPr>
          <w:sz w:val="20"/>
          <w:szCs w:val="20"/>
          <w:color w:val="auto"/>
        </w:rPr>
      </w:pPr>
    </w:p>
    <w:p>
      <w:pPr>
        <w:ind w:left="460" w:hanging="452"/>
        <w:spacing w:after="0"/>
        <w:tabs>
          <w:tab w:leader="none" w:pos="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jc w:val="both"/>
        <w:ind w:left="460" w:hanging="452"/>
        <w:spacing w:after="0" w:line="250" w:lineRule="auto"/>
        <w:tabs>
          <w:tab w:leader="none" w:pos="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(A) 798,614 shares of common stock, (B) 409,326 shares of common stock issuable upon the exercise of pre-funded warrants and (C) 4,730,576 shares of common stock issuable upon conversion of 56,767 shares of Series B Preferred Stock held by Fairmount Healthcare Fund II L.P. (“Fairmount Fund II”) and (ii) 2,573,308 shares of common stock held by Fairmount Healthcare Co-Invest III L.P. (“Fairmount Fund III”). Excludes</w:t>
      </w:r>
    </w:p>
    <w:p>
      <w:pPr>
        <w:spacing w:after="0" w:line="1" w:lineRule="exact"/>
        <w:rPr>
          <w:rFonts w:ascii="Times New Roman" w:cs="Times New Roman" w:eastAsia="Times New Roman" w:hAnsi="Times New Roman"/>
          <w:sz w:val="18"/>
          <w:szCs w:val="18"/>
          <w:color w:val="auto"/>
        </w:rPr>
      </w:pPr>
    </w:p>
    <w:p>
      <w:pPr>
        <w:jc w:val="both"/>
        <w:ind w:left="4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4,888,338 shares of common stock issuable upon the exercise of the pre-funded warrants and (ii) 6,697,573 shares of common stock issuable upon the conversion of 80,371 shares of Series B Preferred Stock. The pre-funded warrants are subject to a beneficial ownership limitation of 9.99% and the shares of Series B Preferred Stock are subject to a beneficial ownership limitation of 19.99%, which such limitations restrict Fairmount Funds Management LLC (“Fairmount”) and its affiliates from exercising that portion of the warrants and converting those shares of preferred stock that would result in Fairmount and its affiliates owning, after exercise or conversion, a number of shares of common stock in excess of the applicable ownership limitation. At such time as Fairmount and its affiliates beneficially own 9.0% or less of the shares of common stock, the beneficial ownership limitation applicable to the shares of Series B Preferred Stock will automatically reduce to 9.99%. Fairmount serves as investment manager for Fairmount Fund II and Fairmount Fund III. Fairmount Fund II and Fairmount Fund III have delegated to Fairmount the sole power to vote and the sole power to dispose of all securities held in Fairmount Fund II and Fairmount Fund III’s portfolios. Because Fairmount Fund II and Fairmount Fund III have divested themselves of voting and investment power over the securities they hold and may not revoke that delegation on less than 61 days’ notice, Fairmount Fund II and Fairmount Fund III disclaim beneficial ownership of the securities they hold. As managers of Fairmount, Peter Harwin and Tomas Kiselak may be deemed to have voting and investment power over the shares held by Fairmount Fund II and Fairmount Fund III. Fairmount, Peter Harwin and Tomas Kiselak disclaim beneficial ownership of such shares, except to the extent of any pecuniary interest therein. The address of the entities and individuals listed is 200 Barr Harbor Drive, Suite 400, West Conshohocken, PA 19428.</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5" w:name="page136"/>
    <w:bookmarkEnd w:id="135"/>
    <w:p>
      <w:pPr>
        <w:jc w:val="both"/>
        <w:ind w:left="460" w:hanging="452"/>
        <w:spacing w:after="0" w:line="252" w:lineRule="auto"/>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shares listed in the table above are owned by funds or accounts managed by direct or indirect subsidiaries of FMR LLC, all of which shares are beneficially owned, or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FMR LLC is 245 Summer Street, Boston, MA 02210.</w:t>
      </w:r>
    </w:p>
    <w:p>
      <w:pPr>
        <w:spacing w:after="0" w:line="6" w:lineRule="exact"/>
        <w:rPr>
          <w:rFonts w:ascii="Times New Roman" w:cs="Times New Roman" w:eastAsia="Times New Roman" w:hAnsi="Times New Roman"/>
          <w:sz w:val="18"/>
          <w:szCs w:val="18"/>
          <w:color w:val="auto"/>
        </w:rPr>
      </w:pPr>
    </w:p>
    <w:p>
      <w:pPr>
        <w:jc w:val="both"/>
        <w:ind w:left="460" w:hanging="452"/>
        <w:spacing w:after="0" w:line="250" w:lineRule="auto"/>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3,205,865 shares of common stock held by Venrock Healthcare Capital Partners EG, L.P. (“VHCPEG”), (ii) 856,747 shares of common stock held by Venrock Healthcare Capital Partners III, L.P. (“VHCP3”), and (iii) 85,816 shares of common stock held by VHCP Co-Investment Holdings III, LLC (“VHCPCo3”). Excludes 405,980, 107,788 and 10,775 shares of common stock issuable upon the exercise of the pre-funded warrants held by VHCPEG, VHCP3 and VHCPCo3, respectively. The pre-funded warrants are subject to a beneficial ownership limitation of 9.99%, which such limitations restrict Venrock Healthcare Capital Partners and its affiliates from exercising that portion of the warrants that would result in Venrock Healthcare Capital Partners and its affiliates owning, after exercise, a number of shares of common stock in excess of the applicable ownership limitation. VHCP Management III, LLC (“VHCPM3”) is the sole general partner of VHCP3 and the sole manager of VHCPCo3. VHCP Management EG, LLC (“VHCPM EG”) is the sole general partner of VHCPEG. As voting members of VHCPM3 and VHCPM EG, Dr. Bong Koh and Nimish Shah may be deemed beneficial owners of any securities beneficially owned by VHCPM3 and VHCPM EG. The principal business address of each of these persons and entities is 7 Bryant Park, 23rd Floor, New York, NY 10018.</w:t>
      </w:r>
    </w:p>
    <w:p>
      <w:pPr>
        <w:spacing w:after="0" w:line="3" w:lineRule="exact"/>
        <w:rPr>
          <w:rFonts w:ascii="Times New Roman" w:cs="Times New Roman" w:eastAsia="Times New Roman" w:hAnsi="Times New Roman"/>
          <w:sz w:val="18"/>
          <w:szCs w:val="18"/>
          <w:color w:val="auto"/>
        </w:rPr>
      </w:pPr>
    </w:p>
    <w:p>
      <w:pPr>
        <w:jc w:val="both"/>
        <w:ind w:left="460" w:hanging="452"/>
        <w:spacing w:after="0" w:line="250" w:lineRule="auto"/>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2,058,147 shares of common stock held in the aggregate by RTW Master Fund, Ltd. (“RTW Master Fund”), RTW Innovation Master Fund, Ltd. (“RTW Innovation Master Fund”), and RTW Biotech Opportunities Operating Ltd. (“RTW Biotech” and together with RTW Master Fund and RTW Innovation Fund, the “RTW Funds”). RTW Investments, LP (“RTW”), in its capacity as the investment manager of the RTW Funds, has the power to vote and the power to direct the disposition of the shares held by the RTW Funds. Accordingly, RTW may be deemed to be the beneficial owner of such securities. Roderick Wong, M.D., as the Managing Partner of RTW, has the power to direct the vote and disposition of the securities held by RTW. Dr. Wong disclaims beneficial ownership of the shares held by the RTW Funds, except to the extent of his pecuniary interest therein. The principal business address of RTW Investments, LP is 40 10th Avenue, Floor 7, New York, NY 10014, and the address of Dr. Wong and each of the RTW Funds is c/o RTW Investments, LP, 40 10th Avenue, Floor 7, New York, NY 10014.</w:t>
      </w:r>
    </w:p>
    <w:p>
      <w:pPr>
        <w:spacing w:after="0" w:line="3" w:lineRule="exact"/>
        <w:rPr>
          <w:rFonts w:ascii="Times New Roman" w:cs="Times New Roman" w:eastAsia="Times New Roman" w:hAnsi="Times New Roman"/>
          <w:sz w:val="18"/>
          <w:szCs w:val="18"/>
          <w:color w:val="auto"/>
        </w:rPr>
      </w:pPr>
    </w:p>
    <w:p>
      <w:pPr>
        <w:jc w:val="both"/>
        <w:ind w:left="460" w:hanging="452"/>
        <w:spacing w:after="0" w:line="250" w:lineRule="auto"/>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852,338 shares of common stock, (ii) 421,503 shares of common stock issuable upon the exercise of options that will vest within 60 days of the date of this table and (iii) 248,599 shares of common stock issuable upon the vesting of restricted stock awards that will vest within 60 days of the date of this table.</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61,068 shares of common stock issuable upon the exercise of options that will vest within 60 days of the date of this table.</w:t>
      </w:r>
    </w:p>
    <w:p>
      <w:pPr>
        <w:spacing w:after="0" w:line="9"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191 shares of common stock and (ii) 10,156 shares of common stock issuable upon the exercise of options that will vest within 60 days of the date of this table</w:t>
      </w:r>
    </w:p>
    <w:p>
      <w:pPr>
        <w:ind w:left="460" w:hanging="452"/>
        <w:spacing w:after="0"/>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10,156 shares of common stock issuable upon the exercise of options that will vest within 60 days of the date of this table</w:t>
      </w:r>
    </w:p>
    <w:p>
      <w:pPr>
        <w:spacing w:after="0" w:line="9"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92 shares owned by Investocor Trust, of which Dr. Bristow is the sole trustee and (ii) 117 shares owned by NFS as Custodian for Michael Bristow’s IRA. Dr. Bristow and ARCA mutually agreed to conclude Dr. Bristow’s employment effective April 3, 2024.</w:t>
      </w:r>
    </w:p>
    <w:p>
      <w:pPr>
        <w:ind w:left="460" w:hanging="452"/>
        <w:spacing w:after="0" w:line="250" w:lineRule="auto"/>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Keuer resigned as named executive officer at the Merger Closing and his last day of employment was September 1, 2024, which termination was considered to be without “cause” related to a change in control for purposes of his employment agreement with ARCA.</w:t>
      </w:r>
    </w:p>
    <w:p>
      <w:pPr>
        <w:ind w:left="460" w:hanging="452"/>
        <w:spacing w:after="0" w:line="250" w:lineRule="auto"/>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Dekker resigned as named executive officer at the Merger Closing and his last day of employment was September 1, 2024, which termination was considered to be without “cause” related to a change in control for purposes of his employment agreement with ARCA.</w:t>
      </w:r>
    </w:p>
    <w:p>
      <w:pPr>
        <w:jc w:val="both"/>
        <w:ind w:left="460" w:hanging="452"/>
        <w:spacing w:after="0" w:line="250" w:lineRule="auto"/>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85,233 shares of common stock held by the Turtle Family Trust, for which Mr. Turtle serves as Trustee, (ii) 2,262 shares of common stock issuable upon the exercise of options that will vest within 60 days of the date of this table and (iii) 23,084 shares of common stock issuable upon the vesting of restricted stock awards that will vest within 60 days of the date of this table.</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35,713 shares of common stock issuable upon the exercise of options that will vest within 60 days of the date of this table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25,058 shares of common stock issuable upon the exercise of options that will vest within 60 days of the date of this table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(1), (5), (6), (7), (8), (12), (13) and (14) above.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4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all our equity compensation plans in effect as of December 31, 2024.</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Available for</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Future</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Issuances</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 to</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be Issued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(excluding</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upon Exercise</w:t>
            </w:r>
          </w:p>
        </w:tc>
        <w:tc>
          <w:tcPr>
            <w:tcW w:w="12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2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column</w:t>
            </w:r>
          </w:p>
        </w:tc>
        <w:tc>
          <w:tcPr>
            <w:tcW w:w="0" w:type="dxa"/>
            <w:vAlign w:val="bottom"/>
          </w:tcPr>
          <w:p>
            <w:pPr>
              <w:spacing w:after="0"/>
              <w:rPr>
                <w:sz w:val="1"/>
                <w:szCs w:val="1"/>
                <w:color w:val="auto"/>
              </w:rPr>
            </w:pPr>
          </w:p>
        </w:tc>
      </w:tr>
      <w:tr>
        <w:trPr>
          <w:trHeight w:val="229"/>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9"/>
                <w:szCs w:val="19"/>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w:t>
            </w:r>
          </w:p>
        </w:tc>
        <w:tc>
          <w:tcPr>
            <w:tcW w:w="0" w:type="dxa"/>
            <w:vAlign w:val="bottom"/>
          </w:tcPr>
          <w:p>
            <w:pPr>
              <w:spacing w:after="0"/>
              <w:rPr>
                <w:sz w:val="1"/>
                <w:szCs w:val="1"/>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20" w:type="dxa"/>
            <w:vAlign w:val="bottom"/>
          </w:tcPr>
          <w:p>
            <w:pPr>
              <w:spacing w:after="0"/>
              <w:rPr>
                <w:sz w:val="21"/>
                <w:szCs w:val="21"/>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
                <w:szCs w:val="1"/>
                <w:i w:val="1"/>
                <w:iCs w:val="1"/>
                <w:color w:val="auto"/>
              </w:rPr>
              <w:t>2024 Stock Incentive Plan</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
                <w:szCs w:val="1"/>
                <w:color w:val="auto"/>
              </w:rPr>
              <w:t>388,567</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
                <w:sz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
                <w:szCs w:val="1"/>
                <w:color w:val="auto"/>
              </w:rPr>
              <w:t>26.91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rPr>
              <w:t>4,246,324</w:t>
            </w: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9"/>
        </w:trPr>
        <w:tc>
          <w:tcPr>
            <w:tcW w:w="7320" w:type="dxa"/>
            <w:vAlign w:val="bottom"/>
            <w:gridSpan w:val="2"/>
          </w:tcPr>
          <w:p>
            <w:pPr>
              <w:ind w:left="180"/>
              <w:spacing w:after="0" w:line="19" w:lineRule="exact"/>
              <w:rPr>
                <w:sz w:val="20"/>
                <w:szCs w:val="20"/>
                <w:color w:val="auto"/>
              </w:rPr>
            </w:pPr>
            <w:r>
              <w:rPr>
                <w:rFonts w:ascii="Times New Roman" w:cs="Times New Roman" w:eastAsia="Times New Roman" w:hAnsi="Times New Roman"/>
                <w:sz w:val="2"/>
                <w:szCs w:val="2"/>
                <w:i w:val="1"/>
                <w:iCs w:val="1"/>
                <w:color w:val="auto"/>
              </w:rPr>
              <w:t>2024 Employee Stock Purchase Plan</w:t>
            </w:r>
          </w:p>
        </w:tc>
        <w:tc>
          <w:tcPr>
            <w:tcW w:w="1200" w:type="dxa"/>
            <w:vAlign w:val="bottom"/>
            <w:gridSpan w:val="2"/>
          </w:tcPr>
          <w:p>
            <w:pPr>
              <w:jc w:val="right"/>
              <w:ind w:right="100"/>
              <w:spacing w:after="0" w:line="19" w:lineRule="exact"/>
              <w:rPr>
                <w:sz w:val="20"/>
                <w:szCs w:val="20"/>
                <w:color w:val="auto"/>
              </w:rPr>
            </w:pPr>
            <w:r>
              <w:rPr>
                <w:rFonts w:ascii="Times New Roman" w:cs="Times New Roman" w:eastAsia="Times New Roman" w:hAnsi="Times New Roman"/>
                <w:sz w:val="2"/>
                <w:szCs w:val="2"/>
                <w:color w:val="auto"/>
              </w:rPr>
              <w:t>—</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2"/>
          </w:tcPr>
          <w:p>
            <w:pPr>
              <w:jc w:val="right"/>
              <w:ind w:right="100"/>
              <w:spacing w:after="0" w:line="19" w:lineRule="exact"/>
              <w:rPr>
                <w:sz w:val="20"/>
                <w:szCs w:val="20"/>
                <w:color w:val="auto"/>
              </w:rPr>
            </w:pPr>
            <w:r>
              <w:rPr>
                <w:rFonts w:ascii="Times New Roman" w:cs="Times New Roman" w:eastAsia="Times New Roman" w:hAnsi="Times New Roman"/>
                <w:sz w:val="2"/>
                <w:szCs w:val="2"/>
                <w:color w:val="auto"/>
              </w:rPr>
              <w:t>—</w:t>
            </w:r>
          </w:p>
        </w:tc>
        <w:tc>
          <w:tcPr>
            <w:tcW w:w="1220" w:type="dxa"/>
            <w:vAlign w:val="bottom"/>
            <w:gridSpan w:val="2"/>
          </w:tcPr>
          <w:p>
            <w:pPr>
              <w:jc w:val="right"/>
              <w:spacing w:after="0" w:line="19" w:lineRule="exact"/>
              <w:rPr>
                <w:sz w:val="20"/>
                <w:szCs w:val="20"/>
                <w:color w:val="auto"/>
              </w:rPr>
            </w:pPr>
            <w:r>
              <w:rPr>
                <w:rFonts w:ascii="Times New Roman" w:cs="Times New Roman" w:eastAsia="Times New Roman" w:hAnsi="Times New Roman"/>
                <w:sz w:val="2"/>
                <w:szCs w:val="2"/>
                <w:color w:val="auto"/>
              </w:rPr>
              <w:t>460,529</w:t>
            </w: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60"/>
        </w:trPr>
        <w:tc>
          <w:tcPr>
            <w:tcW w:w="7320" w:type="dxa"/>
            <w:vAlign w:val="bottom"/>
            <w:gridSpan w:val="2"/>
            <w:shd w:val="clear" w:color="auto" w:fill="CCEEFF"/>
          </w:tcPr>
          <w:p>
            <w:pPr>
              <w:ind w:left="180"/>
              <w:spacing w:after="0" w:line="260" w:lineRule="exact"/>
              <w:rPr>
                <w:sz w:val="20"/>
                <w:szCs w:val="20"/>
                <w:color w:val="auto"/>
              </w:rPr>
            </w:pPr>
            <w:r>
              <w:rPr>
                <w:rFonts w:ascii="Times New Roman" w:cs="Times New Roman" w:eastAsia="Times New Roman" w:hAnsi="Times New Roman"/>
                <w:sz w:val="18"/>
                <w:szCs w:val="18"/>
                <w:i w:val="1"/>
                <w:iCs w:val="1"/>
                <w:color w:val="auto"/>
              </w:rPr>
              <w:t>2024 Equity Incentive Plan</w:t>
            </w:r>
            <w:r>
              <w:rPr>
                <w:rFonts w:ascii="Times New Roman" w:cs="Times New Roman" w:eastAsia="Times New Roman" w:hAnsi="Times New Roman"/>
                <w:sz w:val="29"/>
                <w:szCs w:val="29"/>
                <w:i w:val="1"/>
                <w:iCs w:val="1"/>
                <w:color w:val="auto"/>
                <w:vertAlign w:val="superscript"/>
              </w:rPr>
              <w:t>(3)</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1,179,193</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320" w:type="dxa"/>
            <w:vAlign w:val="bottom"/>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i w:val="1"/>
                <w:iCs w:val="1"/>
                <w:color w:val="auto"/>
              </w:rPr>
              <w:t>Non-Plan Compensatory Warrants</w:t>
            </w:r>
            <w:r>
              <w:rPr>
                <w:rFonts w:ascii="Times New Roman" w:cs="Times New Roman" w:eastAsia="Times New Roman" w:hAnsi="Times New Roman"/>
                <w:sz w:val="29"/>
                <w:szCs w:val="29"/>
                <w:i w:val="1"/>
                <w:iCs w:val="1"/>
                <w:color w:val="auto"/>
                <w:vertAlign w:val="superscript"/>
              </w:rPr>
              <w:t>(4)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3,054,358</w:t>
            </w:r>
          </w:p>
        </w:tc>
        <w:tc>
          <w:tcPr>
            <w:tcW w:w="100" w:type="dxa"/>
            <w:vAlign w:val="bottom"/>
            <w:shd w:val="clear" w:color="auto" w:fill="CCEEFF"/>
          </w:tcPr>
          <w:p>
            <w:pPr>
              <w:spacing w:after="0"/>
              <w:rPr>
                <w:sz w:val="23"/>
                <w:szCs w:val="23"/>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gridSpan w:val="2"/>
            <w:vMerge w:val="continue"/>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4,622,118</w:t>
            </w:r>
          </w:p>
        </w:tc>
        <w:tc>
          <w:tcPr>
            <w:tcW w:w="100" w:type="dxa"/>
            <w:vAlign w:val="bottom"/>
          </w:tcPr>
          <w:p>
            <w:pPr>
              <w:spacing w:after="0"/>
              <w:rPr>
                <w:sz w:val="20"/>
                <w:szCs w:val="20"/>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9.02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4,706,853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4"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2024 Stock Incentive Plan (the “2024 SIP”) provides for an automatic increase in the number of shares reserved for issuance thereunder on January 1 of each year through and including January 1, 2034 equal to (a) 5% of number of issued and outstanding shares of common stock plus outstanding preferred stock and shares underlying unexercised pre-funded warrants on an as-converted basis) (collectively, “Shares Outstanding”) on December 31 of the immediately preceding year, or (b) a lesser amount as approved by the Board each year. Pursuant to this provision, the number of shares available for issuance under the 2024 SIP increased by 2,753,543 shares on January 1, 2025.</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ESPP provides for an automatic annual increase in the number of shares reserved for issuance thereunder on January 1 of each year through and including January 1, 2034 equal to (a) 1% of the number of Shares Outstanding on December 31 of the immediately preceding year, or (2) a lesser amount as approved by the Board each year. Pursuant to this provision, the number of shares available for issuance under the ESPP increased by 550,709 shares on January 1, 2025.</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granted by Pre-Merger Oruka under the 2024 Equity Incentive Plan were assumed by the Company in connection with the Merger. No further awards may be made under the 2024 Equity Incentive Plan.</w:t>
      </w:r>
    </w:p>
    <w:p>
      <w:pPr>
        <w:ind w:left="340" w:hanging="332"/>
        <w:spacing w:after="0" w:line="260"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Non-plan compensatory warrants granted by Pre-Merger Oruka were assumed by the Company in connection with the Merger. No further non-plan compensatory warrants are expected to be granted following the Merger.</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Other than the compensation agreements and other arrangements disclosed above under “Executive Compensation,” below we describe the transactions to which we or Pre-Merger Oruka were or are a party since January 1, 2023, in which the amount involved exceeds the lesser of $120,000 or one percent of the average of our or Pre-Merger Oruka’s total assets at year-end for the last two completed fiscal years and in which our or Pre-Merger Oruka directors, executive officers, holders of more than 5% of our common stock, or members of their immediate family had a direct or indirect material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ARCA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ARCA’s Former President and Chief Executive Officer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ARCA previously entered into unrestricted research grants with its former President and Chief Executive Officer’s academic research laboratory at the University of Colorado. Funding of any unrestricted research grants was contingent upon ARCA’s financial condition, and could be deferred or terminated at ARCA’s discretion. There was no expense under these arrangements for the year ended December 31, 2024. Total expense under these arrangements for the year ended December 31, 2023 was $(91,000). In December 2023, ARCA made a payment of $125,000 for the grant period July 2022 through December 2023 under these arrangements. In April 2024, the President and Chief Executive Officer resigned.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Pre-Merger Oruka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Placements of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Pre-Merger Oruka Series A Preferred Stock and Convertible Note Financing</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March 6, 2024, Oruka entered into a Convertible Note Purchase Agreement with Fairmount Healthcare Fund II, L.P. (“Fairmount Fund II”), whereby Oruka issued and sold to Fairmount Fund II (i) an aggregate of 20,000,000 shares of Pre-Merger Oruka Series A Preferred Stock at a purchase price of $0.15 per share and (ii) a convertible note (the “Convertible Note”) with an initial principal amount of $25.0 million at an interest rate of 12% per annum, for aggregate gross proceeds of $28 million. Fairmount Fund II contributed the aggregate principal amount of $25.0 million and all accrued interest under the Convertible Note (unpaid accrued interest of $1.5 million divided by the conversion price of $66.62 ($5.55 prior to the impact of the Reverse Stock Split) per share) in exchange for Pre-Merger Oruka Common Stock and Pre-Merger Oruka pre-funded warrants in connection with the Pre-Merger Closing Financing (as defined below), immediately prior to the completion of the Merger. Fairmount Funds Management (“Fairmount”) is the investment manager of Fairmount Fund II. Peter Harwin, one of our directors, is a managing member of Fairmount.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i w:val="1"/>
          <w:iCs w:val="1"/>
          <w:color w:val="auto"/>
        </w:rPr>
        <w:t>Pre-Merger Oruka Pre-Merger Closing Financing</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3, 2024, in connection with the execution of the Merger Agreement, Pre-Merger Oruka entered into the Subscription Agreement to consummate the Pre-Merger Closing Financing. Pursuant to the Subscription Agreement, the Financing Investors purchased 39,873,706 shares of Pre-Merger Oruka common stock and 9,664,208 Pre-Merger Oruka pre-funded warrants for gross proceeds of approximately $275.0 million (which includes $25.0 million of proceeds previously received from the issuance of the Convertible Note and accrued interest on such note, which converted to 4,764,032 shares of Pre-Merger Oruka common stock), immediately prior to the Merger Closing and before the effect of the Reverse Stock Split. Three of the investors or their affiliates were beneficial holders of more than 5% of Pre-Merger Oruka’s capital stock, and the table below sets forth the number of shares of Pre-Merger Oruka common stock and Pre-Merger Oruka pre-funded warrants purchased by such holders at the closing of the Pre-Merger Closing Financing.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Pre-Merger</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Pre-funded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Oruka</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Pre-Merger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Purchase</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Oruka</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15"/>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
                <w:szCs w:val="1"/>
                <w:color w:val="auto"/>
              </w:rPr>
              <w:t>Entities affiliated with Fairmount</w:t>
            </w: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rPr>
              <w:t>5,139,797</w:t>
            </w: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rPr>
              <w:t>9,271,241</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
                <w:sz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rPr>
              <w:t>79,907,282</w:t>
            </w: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201"/>
        </w:trPr>
        <w:tc>
          <w:tcPr>
            <w:tcW w:w="7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Venrock Healthcare Capital Partners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5,011,172</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392,967</w:t>
            </w:r>
          </w:p>
        </w:tc>
        <w:tc>
          <w:tcPr>
            <w:tcW w:w="26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29,996,067</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FMR LLC</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4,503,445</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24,999,974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82"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$25.0 million of proceeds previously received by Pre-Merger Oruka from the issuance of the Convertible Note and accrued interest on such note, with the remainder of the purchase price paid in cash.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September 2024 Private Placement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September 11, 2024, the Company entered into a Securities Purchase Agreement (the “SPA”) with certain selling stockholders to consummate a private placement (the “Private Placement”). Pursuant to the SPA, the selling stockholders purchased (i) an aggregate of 5,600,000 shares of Common Stock, at a price per share of $23.00, (ii) an aggregate of 2,439 shares of Series A Preferred Stock, at a price per share of $23,000.00, and (iii) pre-funded warrants to purchase an aggregate of 680,000 shares of Common Stock at a purchase price of $22.999 per pre-funded warrant, which represents the per share purchase price of the Private Placement Common Shares less the $0.001 per share exercise price for each pre-funded warrant, for an aggregate purchase price of approximately $200.5 million. Three of the selling stockholders or their affiliates were beneficial holders of more than 5% of the Company’s capital stock, and the table below sets forth the number of shares of Common Stock, Series A Preferred Stock and pre-funded warrants purchased by such holders at the closing of the Private Placement.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Preferred</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Pre-Funded</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Purchase</w:t>
            </w:r>
          </w:p>
        </w:tc>
      </w:t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FMR LLC</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2,105,000</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Venrock Healthcare Capital Partners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14,949,700</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Fairmount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275,000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10,005,000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Relationship with Paragon and Paruka</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party to a number of agreements with Paragon and Paruka. Paragon and Paruka do not beneficially own more than 5% of our capital stock through their joint holdings of our Common Stock. Fairmount beneficially owns more than 5% of our capital, one of Fairmount’s employees serves on our Board, and Fairmount beneficially owns more than 5% of Paragon. Fairmount appointed Paragon’s board of directors and has the contractual right to approve the appointment of any executive officers of Paragon, but is not the beneficial owner of Paragon’s securities. Paruka is an entity formed by Paragon as a vehicle to hold equity in our Company in order to share profits with certain employees of Paragon.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39" w:name="page140"/>
    <w:bookmarkEnd w:id="139"/>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March 2024, Pre-Merger Oruka entered into the Option Agreements with Paragon and Paruka. Under the terms of the Option Agreements, Paragon identifies, evaluates and develops antibodies directed against certain mutually agreed therapeutic targets of interest to us. The Option Agreements include two selected targets, IL-23 (ORKA-001) and IL-17A/F (ORKA-002). Under each of the Option Agreements, we have the exclusive option to, on a research program-by-research program basis, be granted an exclusive, worldwide license to all of Paragon’s right, title and interest in and to the intellectual property resulting from the applicable research program to develop, manufacture, and commercialize the antibodies and potential products directed to the selected targets (each, an “Option”), with the exception of pursuing ORKA-001 for the treatment of inflammatory bowel disease. In September 2024, we exercised our Option to acquire the rights to ORKA-001 and executed the corresponding license agreement (the “IL-23 License Agreement”) on December 17, 2024. In December 2024 we exercised our Option to acquire the rights to ORKA-002 and executed the corresponding license agreement (the IL-17A/F License Agreement) on February 4, 2025. Under each license agreement we are required to make non-refundable milestone payments to Paragon of up to $12.0 million under each respective agreement upon the achievement of certain clinical development milestones, up to $10.0 million under each respective agreement upon the achievement of certain regulatory milestones, as well as a low single-digit percentage royalty for antibody products beginning on the first commercial sale in each program. From time to time, we can choose to add additional targets to the collaboration by mutual agreement with Paragon. During 2024, we accrued two $1.5 million milestone payments related to the achievement of development candidates as research and development expense in our consolidated statements of operations and comprehensive loss for the year ended December 31, 2024. As of December 31, 2024, this amount is included under related party accounts payable and other current liabilities on the consolidated balance sheet.</w:t>
      </w:r>
    </w:p>
    <w:p>
      <w:pPr>
        <w:spacing w:after="0" w:line="19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the terms of the Option Agreements, the parties initiated certain Research Programs. Each Research Program is aimed at discovering, generating, identifying and/or characterizing antibodies directed to the respective target. For each Research Program, the parties established a Research Plan (each, a “Research Plan”) that sets forth the activities that will be conducted, and the associated research budget. We and Paragon agreed on initial Research Plans that outlined the services that were performed commencing at inception of the arrangement related to IL-17 and IL-23. Our exclusive option with respect to each Research Program was exercisable at our sole discretion at any time during the period beginning on the initiation of activities under the associated Research Program and ending a specified number of days following the delivery of the data package from Paragon related to the results of the Research Plan activities. There is no payment due upon exercise of an Option pursuant to the Option Agreements.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Pursuant to the Option Agreements, on a research program-by-research program basis following the finalization of the Research Plan for each respective research program, the Company was required to pay Paragon a one-time nonrefundable research initiation fee of $0.8 million related to the ORKA-001 program. This amount was recognized as a research and development expense during the period from February 6 (inception) to December 31, 2024. In June 2024, pursuant to the Option Agreements with Paragon, the Company completed the selection process of its development candidate for IL-23 antibodies for the ORKA-001 program. The Company was responsible for 50% of the development costs incurred through the completion of the IL-23 selection process. The Company received the rights to at least one selected IL-23 antibody in June 2024. During 2024, the Company exercised its option for ORKA-001 and recorded a $1.5 million milestone payment related to the achievement of development candidate as research and development expense in the Company’s consolidated statement of operations and comprehensive loss. In addition, during the period from February 6, 2024 (inception) to December 31, 2024, the Company recorded a $2.5 million milestone payment related to the first dosing of a human subject in a Phase 1 trial of ORKA-001 in December 2024 as research and development expense in its consolidated statement of operations and comprehensive loss. The Company’s share of development costs incurred during the period from February 6, 2024 (inception) to December 31, 2024 was $13.5 million, which was recorded as research and development expenses. An amount of $2.8 million related to ORKA-001 is included in related party accounts payable and other current liabilities as of December 31,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0" w:name="page141"/>
    <w:bookmarkEnd w:id="140"/>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is also required to reimburse Paragon $3.3 million for development costs related to ORKA-002 incurred by Paragon through December 31, 2023 and certain other development costs incurred by Paragon between January 1, 2024 and March 6, 2024 as stipulated by the Option Agreements. This amount was recognized as a research and development expense during the period from February 6 (inception) to December 31, 2024. The Company is also responsible for development costs incurred by Paragon from January 1, 2024 through the completion of the IL-17 selection process. The Company recognized an amount of $0.8 million payable to Paragon for the research initiation fee related to ORKA-002 following the finalization of the ORKA-002 research plan. This was recognized as research and development expenses in the period from February 6 (inception) to December 31, 2024. During the period from February 6, 2024 (inception) to December 31, 2024, the Company exercised its option for ORKA-002 and recorded a $1.5 million milestone payment related to the achievement of development candidate as research and development expense in its consolidated statement of operations and comprehensive loss. The Company accounted for development costs of $7.8 million during the period from February 6, 2024 (inception) to December 31, 2024 as research and development expenses. An amount of $2.7 million related to ORKA-002 is included in related party accounts payable and other current liabilities as of December 31, 2024.</w:t>
      </w:r>
    </w:p>
    <w:p>
      <w:pPr>
        <w:spacing w:after="0" w:line="19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Furthermore, the Option Agreements provide for an annual equity grant of warrants to purchase a number of shares equal to 1.00% of the then outstanding shares of our stock, on a fully diluted basis, on each of December 31, 2024 and December 31, 2025, during the term of the Option Agreements, at the fair market value determined by our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 and Insurance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entered into an indemnification agreement with each of our directors and senior officers and purchased directors’ and officers’ liability insurance. The indemnification agreements require us to indemnify our directors and officers to the fullest extent permitted under Delaware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Parties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Merger Closing, Pre-Merger Oruka did not have a formal policy regarding approval of transactions with related parties. All disclosable transactions with related parties that occurred prior to the Merger Closing were approved by the directors not interested in such transactions, pursuant to Section 144(a)(1) of the DGCL.</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Board has adopted a written related person transactions policy. Under this policy,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The policy provides that, subject to limited exceptions, any transaction, arrangement or relationship or series of similar transactions, arrangements or relationships in which (1) the aggregate amount involved since the beginning of the Company’s last completed fiscal year exceeds or is expected to exceed $120,000, (2) the Company or any of our subsidiaries is a participant, and (3) any related person has or will have a direct or indirect interest, will be presented to our Audit Committee for review, consideration and approval. In approving or rejecting any such proposal, our Audit Committee will consider the material facts and other factors it deems appropriate,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Board has reviewed the independence of all directors in light of each director’s (or any family member’s, if applicable) affiliations with the Company and members of management, as well as significant holdings of our securities and all other facts and circumstances that the Board has deemed relevant in determining the independence of each director. The Board has determined that each of the directors other than Lawrence Klein, our current President and Chief Executive Officer, including Kristine Ball, Carl Dambkowski, Peter Harwin, Samarth Kulkarni and Cameron Turtle, qualify as “independent directors” as defined by the Nasdaq listing rules.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Nasdaq listing rules have objective tests and a subjective test for determining who is an “independent director.” The subjective test states that an independent director must be a person who lacks a relationship that, in the opinion of the Board, would interfere with the exercise of independent judgment in carrying out the responsibilities of a director. The Board has not established categorical standards or guidelines to make these subjective determinations but considers all relevant facts and circumstances.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ARCA’s board of directors determined that former directors Drs. Linda Grais, Anders Hove and Raymond Woosley, and Messrs. Robert Conway, Daniel Mitchell and James Flynn were independent during the period each served on the Board in 2024. ARCA’s board of directors determined Dr. Michael R. Bristow, ARCA’s former President and Chief Executive Officer, was not an independent director in 2024 by virtue of his employment relationship with ARCA.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audit fees billed and expected to be billed for the indicated fiscal year to Oruka by PricewaterhouseCoopers LLP (“PwC”), Pre-Merger Oruka’s independent registered public accounting firm and Oruka’s independent registered public accounting firm on and after August 30, 2024, and the fees billed by PwC for all other services rendered during the indicated fiscal year. All services associated with such fees on and after August 30, 2024 were pre-approved by our Audit Committee in accordance with the “Pre-Approval Policies and Procedures” described below.</w:t>
      </w:r>
    </w:p>
    <w:p>
      <w:pPr>
        <w:spacing w:after="0" w:line="176"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31"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ended</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020" w:type="dxa"/>
            <w:vAlign w:val="bottom"/>
            <w:tcBorders>
              <w:top w:val="single" w:sz="8" w:color="CCEEFF"/>
            </w:tcBorders>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8"/>
                <w:szCs w:val="28"/>
                <w:color w:val="auto"/>
                <w:vertAlign w:val="superscript"/>
              </w:rPr>
              <w:t>(1)</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1,928,000</w:t>
            </w:r>
          </w:p>
        </w:tc>
        <w:tc>
          <w:tcPr>
            <w:tcW w:w="100" w:type="dxa"/>
            <w:vAlign w:val="bottom"/>
            <w:tcBorders>
              <w:top w:val="single" w:sz="8" w:color="CCEEFF"/>
            </w:tcBorders>
            <w:shd w:val="clear" w:color="auto" w:fill="CCEEFF"/>
          </w:tcPr>
          <w:p>
            <w:pPr>
              <w:spacing w:after="0"/>
              <w:rPr>
                <w:sz w:val="21"/>
                <w:szCs w:val="2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0020" w:type="dxa"/>
            <w:vAlign w:val="bottom"/>
            <w:tcBorders>
              <w:bottom w:val="single" w:sz="8" w:color="CCEEFF"/>
            </w:tcBorders>
          </w:tcPr>
          <w:p>
            <w:pPr>
              <w:spacing w:after="0" w:line="270"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9"/>
                <w:szCs w:val="29"/>
                <w:color w:val="auto"/>
                <w:vertAlign w:val="superscript"/>
              </w:rPr>
              <w:t>(2)</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tcPr>
          <w:p>
            <w:pPr>
              <w:spacing w:after="0"/>
              <w:rPr>
                <w:sz w:val="24"/>
                <w:szCs w:val="24"/>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1,930,000</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7"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consisted of fees and expenses covering the audit of our consolidated financial statements, reviews of our interim quarterly reports, accounting and financial reporting consultations, and the issuance of consents and comfort letters in connection with registration statement filings with the Securities and Exchange Commission (the “SEC”).</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of all other services and fees billed for an annual subscription to PwC’s online resource library.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Merger Closing, our Board and Audit Committee adopted a policy and procedures for the pre-approval of audit and non-audit services performed by our independent registered public accounting firm. These procedures generally approve the performance of specific services subject to a cost limit for all such services. This general approval is reviewed, and if necessary modified, at least annually. Management must obtain the specific prior approval of the Audit Committee for each engagement of our independent registered public accounting firm to perform other audit-related or non-audit services. The Audit Committee does not delegate its responsibility to pre-approve services performed by our independent registered public accounting firm to any member of management. The Audit Committee has delegated authority to the Audit Committee chair to pre-approve audit and non-audit services to be provided to us by our independent registered public accounting firm provided that the fees for such services do not exceed $100,000. Any pre-approval of services by the Audit Committee chair pursuant to this delegated authority must be reported to the Audit Committee at its next regularly scheduled meeting.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Index to Financial Statements included in Part II, Item 8 of this Annual Report.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schedules are omitted because they are not applicable or the required information is shown in the financial statements or notes thereto.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Exhibits required by Item 601 of Regulation S-K</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6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r>
      <w:tr>
        <w:trPr>
          <w:trHeight w:val="194"/>
        </w:trPr>
        <w:tc>
          <w:tcPr>
            <w:tcW w:w="1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Exhibit</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460" w:type="dxa"/>
            <w:vAlign w:val="bottom"/>
          </w:tcPr>
          <w:p>
            <w:pPr>
              <w:spacing w:after="0"/>
              <w:rPr>
                <w:sz w:val="16"/>
                <w:szCs w:val="16"/>
                <w:color w:val="auto"/>
              </w:rPr>
            </w:pPr>
          </w:p>
        </w:tc>
      </w:tr>
      <w:tr>
        <w:trPr>
          <w:trHeight w:val="245"/>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00" w:type="dxa"/>
            <w:vAlign w:val="bottom"/>
            <w:gridSpan w:val="18"/>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75"/>
        </w:trPr>
        <w:tc>
          <w:tcPr>
            <w:tcW w:w="9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shd w:val="clear" w:color="auto" w:fill="CCEEFF"/>
          </w:tcPr>
          <w:p>
            <w:pPr>
              <w:spacing w:after="0"/>
              <w:rPr>
                <w:sz w:val="15"/>
                <w:szCs w:val="15"/>
                <w:color w:val="auto"/>
              </w:rPr>
            </w:pPr>
          </w:p>
        </w:tc>
        <w:tc>
          <w:tcPr>
            <w:tcW w:w="6620" w:type="dxa"/>
            <w:vAlign w:val="bottom"/>
            <w:tcBorders>
              <w:top w:val="single" w:sz="8" w:color="auto"/>
            </w:tcBorders>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Agreement and Plan of Merger and Reorganization, dated as of April 3, 2024, by and</w:t>
              </w:r>
            </w:hyperlink>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4/3/2024</w:t>
            </w:r>
          </w:p>
        </w:tc>
      </w:tr>
      <w:tr>
        <w:trPr>
          <w:trHeight w:val="20"/>
        </w:trPr>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74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among ARCA biopharma, Inc., Atlas Merger Sub Corp., Atlas Merger Sub II, LLC and</w:t>
              </w:r>
            </w:hyperlink>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280" w:type="dxa"/>
            <w:vAlign w:val="bottom"/>
            <w:tcBorders>
              <w:top w:val="single" w:sz="8" w:color="0000EE"/>
            </w:tcBorders>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Oruka Therapeutics, Inc.</w:t>
              </w:r>
            </w:hyperlink>
          </w:p>
        </w:tc>
        <w:tc>
          <w:tcPr>
            <w:tcW w:w="460" w:type="dxa"/>
            <w:vAlign w:val="bottom"/>
            <w:tcBorders>
              <w:top w:val="single" w:sz="8" w:color="CCEEFF"/>
            </w:tcBorders>
            <w:gridSpan w:val="8"/>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6740" w:type="dxa"/>
            <w:vAlign w:val="bottom"/>
            <w:gridSpan w:val="30"/>
          </w:tcPr>
          <w:p>
            <w:pPr>
              <w:spacing w:after="0" w:line="176"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Second Amended and Restated Certificate of Incorporation</w:t>
              </w:r>
            </w:hyperlink>
          </w:p>
        </w:tc>
        <w:tc>
          <w:tcPr>
            <w:tcW w:w="10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3.5</w:t>
            </w:r>
          </w:p>
        </w:tc>
        <w:tc>
          <w:tcPr>
            <w:tcW w:w="1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9/5/2024</w:t>
            </w: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5"/>
                <w:szCs w:val="15"/>
                <w:color w:val="auto"/>
              </w:rPr>
            </w:pPr>
          </w:p>
        </w:tc>
        <w:tc>
          <w:tcPr>
            <w:tcW w:w="674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Amended and Restated Bylaws</w:t>
              </w:r>
            </w:hyperlink>
          </w:p>
        </w:tc>
        <w:tc>
          <w:tcPr>
            <w:tcW w:w="10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3.6</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9/5/2024</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5"/>
                <w:szCs w:val="15"/>
                <w:color w:val="auto"/>
              </w:rPr>
            </w:pPr>
          </w:p>
        </w:tc>
        <w:tc>
          <w:tcPr>
            <w:tcW w:w="6740" w:type="dxa"/>
            <w:vAlign w:val="bottom"/>
            <w:gridSpan w:val="30"/>
          </w:tcPr>
          <w:p>
            <w:pPr>
              <w:spacing w:after="0" w:line="176" w:lineRule="exact"/>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Form of Certificate of Designation of Preferences, Rights and Limitations of Series A</w:t>
              </w:r>
            </w:hyperlink>
          </w:p>
        </w:tc>
        <w:tc>
          <w:tcPr>
            <w:tcW w:w="10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7"/>
              </w:rPr>
              <w:t>S-1/A</w:t>
            </w:r>
          </w:p>
        </w:tc>
        <w:tc>
          <w:tcPr>
            <w:tcW w:w="10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6"/>
              </w:rPr>
              <w:t>3.1(b)</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5/24/2013</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6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Convertible Preferred Stock</w:t>
              </w:r>
            </w:hyperlink>
          </w:p>
        </w:tc>
        <w:tc>
          <w:tcPr>
            <w:tcW w:w="58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17"/>
                <w:szCs w:val="17"/>
                <w:color w:val="auto"/>
              </w:rPr>
            </w:pPr>
          </w:p>
        </w:tc>
        <w:tc>
          <w:tcPr>
            <w:tcW w:w="6480" w:type="dxa"/>
            <w:vAlign w:val="bottom"/>
            <w:tcBorders>
              <w:bottom w:val="single" w:sz="8" w:color="0000EE"/>
            </w:tcBorders>
            <w:gridSpan w:val="25"/>
            <w:shd w:val="clear" w:color="auto" w:fill="CCEEFF"/>
          </w:tcPr>
          <w:p>
            <w:pPr>
              <w:spacing w:after="0" w:line="176" w:lineRule="exact"/>
              <w:rPr>
                <w:rFonts w:ascii="Times New Roman" w:cs="Times New Roman" w:eastAsia="Times New Roman" w:hAnsi="Times New Roman"/>
                <w:sz w:val="18"/>
                <w:szCs w:val="18"/>
                <w:color w:val="0000EE"/>
                <w:w w:val="99"/>
              </w:rPr>
            </w:pPr>
            <w:hyperlink r:id="rId254">
              <w:r>
                <w:rPr>
                  <w:rFonts w:ascii="Times New Roman" w:cs="Times New Roman" w:eastAsia="Times New Roman" w:hAnsi="Times New Roman"/>
                  <w:sz w:val="18"/>
                  <w:szCs w:val="18"/>
                  <w:color w:val="0000EE"/>
                  <w:w w:val="99"/>
                </w:rPr>
                <w:t>Certificate of Elimination of Series A Convertible Preferred Stock, dated August 29, 2024</w:t>
              </w:r>
            </w:hyperlink>
          </w:p>
        </w:tc>
        <w:tc>
          <w:tcPr>
            <w:tcW w:w="260" w:type="dxa"/>
            <w:vAlign w:val="bottom"/>
            <w:tcBorders>
              <w:bottom w:val="single" w:sz="8" w:color="CCEEFF"/>
            </w:tcBorders>
            <w:gridSpan w:val="5"/>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3.8</w:t>
            </w: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9/5/2024</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5"/>
                <w:szCs w:val="15"/>
                <w:color w:val="auto"/>
              </w:rPr>
            </w:pPr>
          </w:p>
        </w:tc>
        <w:tc>
          <w:tcPr>
            <w:tcW w:w="6420" w:type="dxa"/>
            <w:vAlign w:val="bottom"/>
            <w:tcBorders>
              <w:bottom w:val="single" w:sz="8" w:color="0000EE"/>
            </w:tcBorders>
            <w:gridSpan w:val="24"/>
          </w:tcPr>
          <w:p>
            <w:pPr>
              <w:spacing w:after="0" w:line="176" w:lineRule="exact"/>
              <w:rPr>
                <w:rFonts w:ascii="Times New Roman" w:cs="Times New Roman" w:eastAsia="Times New Roman" w:hAnsi="Times New Roman"/>
                <w:sz w:val="18"/>
                <w:szCs w:val="18"/>
                <w:color w:val="0000EE"/>
                <w:w w:val="99"/>
              </w:rPr>
            </w:pPr>
            <w:hyperlink r:id="rId255">
              <w:r>
                <w:rPr>
                  <w:rFonts w:ascii="Times New Roman" w:cs="Times New Roman" w:eastAsia="Times New Roman" w:hAnsi="Times New Roman"/>
                  <w:sz w:val="18"/>
                  <w:szCs w:val="18"/>
                  <w:color w:val="0000EE"/>
                  <w:w w:val="99"/>
                </w:rPr>
                <w:t>Certificate of Designation of Preferences, Rights and Limitations of Series B Non-Voting</w:t>
              </w:r>
            </w:hyperlink>
          </w:p>
        </w:tc>
        <w:tc>
          <w:tcPr>
            <w:tcW w:w="320" w:type="dxa"/>
            <w:vAlign w:val="bottom"/>
            <w:gridSpan w:val="6"/>
          </w:tcPr>
          <w:p>
            <w:pPr>
              <w:spacing w:after="0"/>
              <w:rPr>
                <w:sz w:val="15"/>
                <w:szCs w:val="15"/>
                <w:color w:val="auto"/>
              </w:rPr>
            </w:pPr>
          </w:p>
        </w:tc>
        <w:tc>
          <w:tcPr>
            <w:tcW w:w="10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3.9</w:t>
            </w:r>
          </w:p>
        </w:tc>
        <w:tc>
          <w:tcPr>
            <w:tcW w:w="1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9/5/2024</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40" w:type="dxa"/>
            <w:vAlign w:val="bottom"/>
            <w:gridSpan w:val="30"/>
          </w:tcPr>
          <w:p>
            <w:pPr>
              <w:spacing w:after="0" w:line="19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Convertible Preferred Stock</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5"/>
                <w:szCs w:val="15"/>
                <w:color w:val="auto"/>
              </w:rPr>
            </w:pPr>
          </w:p>
        </w:tc>
        <w:tc>
          <w:tcPr>
            <w:tcW w:w="674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Certificate of Designation of Preferences, Rights and Limitations of Series A Non-Voting</w:t>
              </w:r>
            </w:hyperlink>
          </w:p>
        </w:tc>
        <w:tc>
          <w:tcPr>
            <w:tcW w:w="10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9/13/2024</w:t>
            </w:r>
          </w:p>
        </w:tc>
      </w:tr>
      <w:tr>
        <w:trPr>
          <w:trHeight w:val="217"/>
        </w:trPr>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20" w:type="dxa"/>
            <w:vAlign w:val="bottom"/>
            <w:tcBorders>
              <w:top w:val="single" w:sz="8" w:color="0000EE"/>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256">
              <w:r>
                <w:rPr>
                  <w:rFonts w:ascii="Times New Roman" w:cs="Times New Roman" w:eastAsia="Times New Roman" w:hAnsi="Times New Roman"/>
                  <w:sz w:val="18"/>
                  <w:szCs w:val="18"/>
                  <w:color w:val="0000EE"/>
                  <w:w w:val="99"/>
                </w:rPr>
                <w:t>Convertible Preferred Stock</w:t>
              </w:r>
            </w:hyperlink>
          </w:p>
        </w:tc>
        <w:tc>
          <w:tcPr>
            <w:tcW w:w="4400" w:type="dxa"/>
            <w:vAlign w:val="bottom"/>
            <w:tcBorders>
              <w:top w:val="single" w:sz="8" w:color="0000EE"/>
              <w:bottom w:val="single" w:sz="8" w:color="CCEEFF"/>
            </w:tcBorders>
            <w:gridSpan w:val="17"/>
            <w:shd w:val="clear" w:color="auto" w:fill="CCEEFF"/>
          </w:tcPr>
          <w:p>
            <w:pPr>
              <w:spacing w:after="0"/>
              <w:rPr>
                <w:sz w:val="18"/>
                <w:szCs w:val="18"/>
                <w:color w:val="auto"/>
              </w:rPr>
            </w:pPr>
          </w:p>
        </w:tc>
        <w:tc>
          <w:tcPr>
            <w:tcW w:w="320" w:type="dxa"/>
            <w:vAlign w:val="bottom"/>
            <w:tcBorders>
              <w:top w:val="single" w:sz="8" w:color="CCEEFF"/>
              <w:bottom w:val="single" w:sz="8" w:color="CCEEFF"/>
            </w:tcBorders>
            <w:gridSpan w:val="6"/>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67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6540" w:type="dxa"/>
            <w:vAlign w:val="bottom"/>
            <w:tcBorders>
              <w:bottom w:val="single" w:sz="8" w:color="0000EE"/>
            </w:tcBorders>
            <w:gridSpan w:val="27"/>
            <w:shd w:val="clear" w:color="auto" w:fill="CCEEFF"/>
          </w:tcPr>
          <w:p>
            <w:pPr>
              <w:spacing w:after="0" w:line="176" w:lineRule="exact"/>
              <w:rPr>
                <w:rFonts w:ascii="Times New Roman" w:cs="Times New Roman" w:eastAsia="Times New Roman" w:hAnsi="Times New Roman"/>
                <w:sz w:val="18"/>
                <w:szCs w:val="18"/>
                <w:color w:val="0000EE"/>
                <w:w w:val="99"/>
              </w:rPr>
            </w:pPr>
            <w:hyperlink r:id="rId257">
              <w:r>
                <w:rPr>
                  <w:rFonts w:ascii="Times New Roman" w:cs="Times New Roman" w:eastAsia="Times New Roman" w:hAnsi="Times New Roman"/>
                  <w:sz w:val="18"/>
                  <w:szCs w:val="18"/>
                  <w:color w:val="0000EE"/>
                  <w:w w:val="99"/>
                </w:rPr>
                <w:t>Investors’ Rights Agreement by and among Oruka Therapeutics, Inc. and certain investors,</w:t>
              </w:r>
            </w:hyperlink>
          </w:p>
        </w:tc>
        <w:tc>
          <w:tcPr>
            <w:tcW w:w="200" w:type="dxa"/>
            <w:vAlign w:val="bottom"/>
            <w:tcBorders>
              <w:bottom w:val="single" w:sz="8" w:color="CCEEFF"/>
            </w:tcBorders>
            <w:gridSpan w:val="3"/>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S-4</w:t>
            </w: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5/14/2024</w:t>
            </w: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74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dated March 6, 2024</w:t>
              </w:r>
            </w:hyperlink>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67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Form of Pre-Funded Warrant, dated August 29, 2024</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17"/>
                <w:szCs w:val="17"/>
                <w:color w:val="auto"/>
              </w:rPr>
            </w:pPr>
          </w:p>
        </w:tc>
        <w:tc>
          <w:tcPr>
            <w:tcW w:w="406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r:id="rId258">
              <w:r>
                <w:rPr>
                  <w:rFonts w:ascii="Times New Roman" w:cs="Times New Roman" w:eastAsia="Times New Roman" w:hAnsi="Times New Roman"/>
                  <w:sz w:val="18"/>
                  <w:szCs w:val="18"/>
                  <w:color w:val="0000EE"/>
                  <w:w w:val="99"/>
                </w:rPr>
                <w:t>Form of Pre-Funded Warrant, dated September 13, 2024</w:t>
              </w:r>
            </w:hyperlink>
          </w:p>
        </w:tc>
        <w:tc>
          <w:tcPr>
            <w:tcW w:w="2680" w:type="dxa"/>
            <w:vAlign w:val="bottom"/>
            <w:tcBorders>
              <w:bottom w:val="single" w:sz="8" w:color="CCEEFF"/>
            </w:tcBorders>
            <w:gridSpan w:val="14"/>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9/13/2024</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6740" w:type="dxa"/>
            <w:vAlign w:val="bottom"/>
            <w:gridSpan w:val="30"/>
          </w:tcPr>
          <w:p>
            <w:pPr>
              <w:spacing w:after="0" w:line="176" w:lineRule="exact"/>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Oruka Therapeutics, Inc. 2024 Stock Incentive Plan</w:t>
              </w:r>
            </w:hyperlink>
          </w:p>
        </w:tc>
        <w:tc>
          <w:tcPr>
            <w:tcW w:w="10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9/5/2024</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17"/>
                <w:szCs w:val="17"/>
                <w:color w:val="auto"/>
              </w:rPr>
            </w:pPr>
          </w:p>
        </w:tc>
        <w:tc>
          <w:tcPr>
            <w:tcW w:w="448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r:id="rId260">
              <w:r>
                <w:rPr>
                  <w:rFonts w:ascii="Times New Roman" w:cs="Times New Roman" w:eastAsia="Times New Roman" w:hAnsi="Times New Roman"/>
                  <w:sz w:val="18"/>
                  <w:szCs w:val="18"/>
                  <w:color w:val="0000EE"/>
                  <w:w w:val="99"/>
                </w:rPr>
                <w:t>Oruka Therapeutics, Inc. 2024 Employee Stock Purchase Plan</w:t>
              </w:r>
            </w:hyperlink>
          </w:p>
        </w:tc>
        <w:tc>
          <w:tcPr>
            <w:tcW w:w="2260" w:type="dxa"/>
            <w:vAlign w:val="bottom"/>
            <w:tcBorders>
              <w:bottom w:val="single" w:sz="8" w:color="CCEEFF"/>
            </w:tcBorders>
            <w:gridSpan w:val="12"/>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9/5/2024</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5"/>
                <w:szCs w:val="15"/>
                <w:color w:val="auto"/>
              </w:rPr>
            </w:pPr>
          </w:p>
        </w:tc>
        <w:tc>
          <w:tcPr>
            <w:tcW w:w="6740" w:type="dxa"/>
            <w:vAlign w:val="bottom"/>
            <w:gridSpan w:val="30"/>
          </w:tcPr>
          <w:p>
            <w:pPr>
              <w:spacing w:after="0" w:line="176"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Amended and Restated 2024 Equity Incentive Plan</w:t>
              </w:r>
            </w:hyperlink>
          </w:p>
        </w:tc>
        <w:tc>
          <w:tcPr>
            <w:tcW w:w="10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S-4</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5/14/2024</w:t>
            </w: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5"/>
                <w:szCs w:val="15"/>
                <w:color w:val="auto"/>
              </w:rPr>
            </w:pPr>
          </w:p>
        </w:tc>
        <w:tc>
          <w:tcPr>
            <w:tcW w:w="674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color w:val="0000EE"/>
                </w:rPr>
                <w:t>Second Amendment to the Oruka Therapeutics, Inc. Amended and Restated 2024 Equity</w:t>
              </w:r>
            </w:hyperlink>
          </w:p>
        </w:tc>
        <w:tc>
          <w:tcPr>
            <w:tcW w:w="10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9/5/2024</w:t>
            </w:r>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380" w:type="dxa"/>
            <w:vAlign w:val="bottom"/>
            <w:tcBorders>
              <w:top w:val="single" w:sz="8" w:color="0000EE"/>
            </w:tcBorders>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color w:val="0000EE"/>
                </w:rPr>
                <w:t>Incentive Plan</w:t>
              </w:r>
            </w:hyperlink>
          </w:p>
        </w:tc>
        <w:tc>
          <w:tcPr>
            <w:tcW w:w="360" w:type="dxa"/>
            <w:vAlign w:val="bottom"/>
            <w:tcBorders>
              <w:top w:val="single" w:sz="8" w:color="CCEEFF"/>
            </w:tcBorders>
            <w:gridSpan w:val="7"/>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5"/>
                <w:szCs w:val="15"/>
                <w:color w:val="auto"/>
              </w:rPr>
            </w:pPr>
          </w:p>
        </w:tc>
        <w:tc>
          <w:tcPr>
            <w:tcW w:w="6740" w:type="dxa"/>
            <w:vAlign w:val="bottom"/>
            <w:gridSpan w:val="30"/>
          </w:tcPr>
          <w:p>
            <w:pPr>
              <w:spacing w:after="0" w:line="176" w:lineRule="exact"/>
              <w:rPr>
                <w:rFonts w:ascii="Times New Roman" w:cs="Times New Roman" w:eastAsia="Times New Roman" w:hAnsi="Times New Roman"/>
                <w:sz w:val="18"/>
                <w:szCs w:val="18"/>
                <w:color w:val="0000EE"/>
              </w:rPr>
            </w:pPr>
            <w:hyperlink r:id="rId263">
              <w:r>
                <w:rPr>
                  <w:rFonts w:ascii="Times New Roman" w:cs="Times New Roman" w:eastAsia="Times New Roman" w:hAnsi="Times New Roman"/>
                  <w:sz w:val="18"/>
                  <w:szCs w:val="18"/>
                  <w:color w:val="0000EE"/>
                </w:rPr>
                <w:t>Form of Employee Warrant Agreement</w:t>
              </w:r>
            </w:hyperlink>
          </w:p>
        </w:tc>
        <w:tc>
          <w:tcPr>
            <w:tcW w:w="10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9/5/2024</w:t>
            </w: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5"/>
                <w:szCs w:val="15"/>
                <w:color w:val="auto"/>
              </w:rPr>
            </w:pPr>
          </w:p>
        </w:tc>
        <w:tc>
          <w:tcPr>
            <w:tcW w:w="674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color w:val="0000EE"/>
                </w:rPr>
                <w:t>Form of Grant Notice for Nonqualified Stock Option and Standard Terms and Conditions</w:t>
              </w:r>
            </w:hyperlink>
          </w:p>
        </w:tc>
        <w:tc>
          <w:tcPr>
            <w:tcW w:w="10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S-8</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99.2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11/14/2024</w:t>
            </w:r>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20" w:type="dxa"/>
            <w:vAlign w:val="bottom"/>
            <w:tcBorders>
              <w:top w:val="single" w:sz="8" w:color="0000EE"/>
            </w:tcBorders>
            <w:gridSpan w:val="24"/>
            <w:shd w:val="clear" w:color="auto" w:fill="CCEEFF"/>
          </w:tcPr>
          <w:p>
            <w:pPr>
              <w:spacing w:after="0" w:line="196" w:lineRule="exact"/>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color w:val="0000EE"/>
                </w:rPr>
                <w:t>for Stock Options (Directors)</w:t>
              </w:r>
            </w:hyperlink>
          </w:p>
        </w:tc>
        <w:tc>
          <w:tcPr>
            <w:tcW w:w="320" w:type="dxa"/>
            <w:vAlign w:val="bottom"/>
            <w:tcBorders>
              <w:top w:val="single" w:sz="8" w:color="CCEEFF"/>
            </w:tcBorders>
            <w:gridSpan w:val="6"/>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5"/>
                <w:szCs w:val="15"/>
                <w:color w:val="auto"/>
              </w:rPr>
            </w:pPr>
          </w:p>
        </w:tc>
        <w:tc>
          <w:tcPr>
            <w:tcW w:w="6740" w:type="dxa"/>
            <w:vAlign w:val="bottom"/>
            <w:gridSpan w:val="30"/>
          </w:tcPr>
          <w:p>
            <w:pPr>
              <w:spacing w:after="0" w:line="176" w:lineRule="exact"/>
              <w:rPr>
                <w:rFonts w:ascii="Times New Roman" w:cs="Times New Roman" w:eastAsia="Times New Roman" w:hAnsi="Times New Roman"/>
                <w:sz w:val="18"/>
                <w:szCs w:val="18"/>
                <w:color w:val="0000EE"/>
              </w:rPr>
            </w:pPr>
            <w:hyperlink r:id="rId265">
              <w:r>
                <w:rPr>
                  <w:rFonts w:ascii="Times New Roman" w:cs="Times New Roman" w:eastAsia="Times New Roman" w:hAnsi="Times New Roman"/>
                  <w:sz w:val="18"/>
                  <w:szCs w:val="18"/>
                  <w:color w:val="0000EE"/>
                </w:rPr>
                <w:t>Form of Grant Notice for Stock Option and Standard Terms and Conditions for Stock</w:t>
              </w:r>
            </w:hyperlink>
          </w:p>
        </w:tc>
        <w:tc>
          <w:tcPr>
            <w:tcW w:w="10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S-8</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99.3</w:t>
            </w:r>
          </w:p>
        </w:tc>
        <w:tc>
          <w:tcPr>
            <w:tcW w:w="1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11/14/2024</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6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65">
              <w:r>
                <w:rPr>
                  <w:rFonts w:ascii="Times New Roman" w:cs="Times New Roman" w:eastAsia="Times New Roman" w:hAnsi="Times New Roman"/>
                  <w:sz w:val="18"/>
                  <w:szCs w:val="18"/>
                  <w:color w:val="0000EE"/>
                </w:rPr>
                <w:t>Options (Employees)</w:t>
              </w:r>
            </w:hyperlink>
          </w:p>
        </w:tc>
        <w:tc>
          <w:tcPr>
            <w:tcW w:w="58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5"/>
                <w:szCs w:val="15"/>
                <w:color w:val="auto"/>
              </w:rPr>
            </w:pPr>
          </w:p>
        </w:tc>
        <w:tc>
          <w:tcPr>
            <w:tcW w:w="674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266">
              <w:r>
                <w:rPr>
                  <w:rFonts w:ascii="Times New Roman" w:cs="Times New Roman" w:eastAsia="Times New Roman" w:hAnsi="Times New Roman"/>
                  <w:sz w:val="18"/>
                  <w:szCs w:val="18"/>
                  <w:color w:val="0000EE"/>
                </w:rPr>
                <w:t>Form of Stock Option Agreement under the Oruka Therapeutics, Inc. Amended and</w:t>
              </w:r>
            </w:hyperlink>
          </w:p>
        </w:tc>
        <w:tc>
          <w:tcPr>
            <w:tcW w:w="10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S-4</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5/14/2024</w:t>
            </w:r>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20" w:type="dxa"/>
            <w:vAlign w:val="bottom"/>
            <w:tcBorders>
              <w:top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266">
              <w:r>
                <w:rPr>
                  <w:rFonts w:ascii="Times New Roman" w:cs="Times New Roman" w:eastAsia="Times New Roman" w:hAnsi="Times New Roman"/>
                  <w:sz w:val="18"/>
                  <w:szCs w:val="18"/>
                  <w:color w:val="0000EE"/>
                </w:rPr>
                <w:t>Restated 2024 Equity Incentive Plan</w:t>
              </w:r>
            </w:hyperlink>
          </w:p>
        </w:tc>
        <w:tc>
          <w:tcPr>
            <w:tcW w:w="720" w:type="dxa"/>
            <w:vAlign w:val="bottom"/>
            <w:tcBorders>
              <w:top w:val="single" w:sz="8" w:color="CCEEFF"/>
            </w:tcBorders>
            <w:gridSpan w:val="10"/>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5"/>
                <w:szCs w:val="15"/>
                <w:color w:val="auto"/>
              </w:rPr>
            </w:pPr>
          </w:p>
        </w:tc>
        <w:tc>
          <w:tcPr>
            <w:tcW w:w="6740" w:type="dxa"/>
            <w:vAlign w:val="bottom"/>
            <w:gridSpan w:val="30"/>
          </w:tcPr>
          <w:p>
            <w:pPr>
              <w:spacing w:after="0" w:line="176" w:lineRule="exact"/>
              <w:rPr>
                <w:rFonts w:ascii="Times New Roman" w:cs="Times New Roman" w:eastAsia="Times New Roman" w:hAnsi="Times New Roman"/>
                <w:sz w:val="18"/>
                <w:szCs w:val="18"/>
                <w:color w:val="0000EE"/>
              </w:rPr>
            </w:pPr>
            <w:hyperlink r:id="rId267">
              <w:r>
                <w:rPr>
                  <w:rFonts w:ascii="Times New Roman" w:cs="Times New Roman" w:eastAsia="Times New Roman" w:hAnsi="Times New Roman"/>
                  <w:sz w:val="18"/>
                  <w:szCs w:val="18"/>
                  <w:color w:val="0000EE"/>
                </w:rPr>
                <w:t>Separation Agreement and Release by and between Michael Bristow and ARCA</w:t>
              </w:r>
            </w:hyperlink>
          </w:p>
        </w:tc>
        <w:tc>
          <w:tcPr>
            <w:tcW w:w="10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4/4/2024</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8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267">
              <w:r>
                <w:rPr>
                  <w:rFonts w:ascii="Times New Roman" w:cs="Times New Roman" w:eastAsia="Times New Roman" w:hAnsi="Times New Roman"/>
                  <w:sz w:val="18"/>
                  <w:szCs w:val="18"/>
                  <w:color w:val="0000EE"/>
                </w:rPr>
                <w:t>biopharma, Inc., dated April 3, 2024</w:t>
              </w:r>
            </w:hyperlink>
          </w:p>
        </w:tc>
        <w:tc>
          <w:tcPr>
            <w:tcW w:w="96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20" w:type="dxa"/>
            <w:vAlign w:val="bottom"/>
            <w:shd w:val="clear" w:color="auto" w:fill="CCEEFF"/>
          </w:tcPr>
          <w:p>
            <w:pPr>
              <w:spacing w:after="0"/>
              <w:rPr>
                <w:sz w:val="15"/>
                <w:szCs w:val="15"/>
                <w:color w:val="auto"/>
              </w:rPr>
            </w:pPr>
          </w:p>
        </w:tc>
        <w:tc>
          <w:tcPr>
            <w:tcW w:w="674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268">
              <w:r>
                <w:rPr>
                  <w:rFonts w:ascii="Times New Roman" w:cs="Times New Roman" w:eastAsia="Times New Roman" w:hAnsi="Times New Roman"/>
                  <w:sz w:val="18"/>
                  <w:szCs w:val="18"/>
                  <w:color w:val="0000EE"/>
                </w:rPr>
                <w:t>Second Amendment to Retention Bonus Letter by and between ARCA biopharma, Inc. and</w:t>
              </w:r>
            </w:hyperlink>
          </w:p>
        </w:tc>
        <w:tc>
          <w:tcPr>
            <w:tcW w:w="10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4/23/2024</w:t>
            </w:r>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560" w:type="dxa"/>
            <w:vAlign w:val="bottom"/>
            <w:tcBorders>
              <w:top w:val="single" w:sz="8" w:color="0000EE"/>
            </w:tcBorders>
            <w:gridSpan w:val="28"/>
            <w:shd w:val="clear" w:color="auto" w:fill="CCEEFF"/>
          </w:tcPr>
          <w:p>
            <w:pPr>
              <w:spacing w:after="0" w:line="196" w:lineRule="exact"/>
              <w:rPr>
                <w:rFonts w:ascii="Times New Roman" w:cs="Times New Roman" w:eastAsia="Times New Roman" w:hAnsi="Times New Roman"/>
                <w:sz w:val="18"/>
                <w:szCs w:val="18"/>
                <w:color w:val="0000EE"/>
              </w:rPr>
            </w:pPr>
            <w:hyperlink r:id="rId268">
              <w:r>
                <w:rPr>
                  <w:rFonts w:ascii="Times New Roman" w:cs="Times New Roman" w:eastAsia="Times New Roman" w:hAnsi="Times New Roman"/>
                  <w:sz w:val="18"/>
                  <w:szCs w:val="18"/>
                  <w:color w:val="0000EE"/>
                </w:rPr>
                <w:t>Thomas A. Keuer, dated April 22, 2024</w:t>
              </w:r>
            </w:hyperlink>
          </w:p>
        </w:tc>
        <w:tc>
          <w:tcPr>
            <w:tcW w:w="180" w:type="dxa"/>
            <w:vAlign w:val="bottom"/>
            <w:tcBorders>
              <w:top w:val="single" w:sz="8" w:color="CCEEFF"/>
            </w:tcBorders>
            <w:gridSpan w:val="2"/>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15"/>
                <w:szCs w:val="15"/>
                <w:color w:val="auto"/>
              </w:rPr>
            </w:pPr>
          </w:p>
        </w:tc>
        <w:tc>
          <w:tcPr>
            <w:tcW w:w="6740" w:type="dxa"/>
            <w:vAlign w:val="bottom"/>
            <w:gridSpan w:val="30"/>
          </w:tcPr>
          <w:p>
            <w:pPr>
              <w:spacing w:after="0" w:line="176" w:lineRule="exact"/>
              <w:rPr>
                <w:rFonts w:ascii="Times New Roman" w:cs="Times New Roman" w:eastAsia="Times New Roman" w:hAnsi="Times New Roman"/>
                <w:sz w:val="18"/>
                <w:szCs w:val="18"/>
                <w:color w:val="0000EE"/>
              </w:rPr>
            </w:pPr>
            <w:hyperlink r:id="rId269">
              <w:r>
                <w:rPr>
                  <w:rFonts w:ascii="Times New Roman" w:cs="Times New Roman" w:eastAsia="Times New Roman" w:hAnsi="Times New Roman"/>
                  <w:sz w:val="18"/>
                  <w:szCs w:val="18"/>
                  <w:color w:val="0000EE"/>
                </w:rPr>
                <w:t>Second Amendment to Retention Bonus Letter by and between ARCA biopharma, Inc. and</w:t>
              </w:r>
            </w:hyperlink>
          </w:p>
        </w:tc>
        <w:tc>
          <w:tcPr>
            <w:tcW w:w="10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4/23/2024</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6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269">
              <w:r>
                <w:rPr>
                  <w:rFonts w:ascii="Times New Roman" w:cs="Times New Roman" w:eastAsia="Times New Roman" w:hAnsi="Times New Roman"/>
                  <w:sz w:val="18"/>
                  <w:szCs w:val="18"/>
                  <w:color w:val="0000EE"/>
                </w:rPr>
                <w:t>C. Jeffrey Dekker</w:t>
              </w:r>
            </w:hyperlink>
          </w:p>
        </w:tc>
        <w:tc>
          <w:tcPr>
            <w:tcW w:w="18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75"/>
        </w:trPr>
        <w:tc>
          <w:tcPr>
            <w:tcW w:w="1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674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270">
              <w:r>
                <w:rPr>
                  <w:rFonts w:ascii="Times New Roman" w:cs="Times New Roman" w:eastAsia="Times New Roman" w:hAnsi="Times New Roman"/>
                  <w:sz w:val="18"/>
                  <w:szCs w:val="18"/>
                  <w:color w:val="0000EE"/>
                </w:rPr>
                <w:t>Consulting Agreement, effective as of August 30, 2024, by and between the Company and</w:t>
              </w:r>
            </w:hyperlink>
          </w:p>
        </w:tc>
        <w:tc>
          <w:tcPr>
            <w:tcW w:w="10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9/5/2024</w:t>
            </w:r>
          </w:p>
        </w:tc>
      </w:tr>
      <w:tr>
        <w:trPr>
          <w:trHeight w:val="216"/>
        </w:trPr>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0000EE"/>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7"/>
              </w:rPr>
            </w:pPr>
            <w:hyperlink r:id="rId270">
              <w:r>
                <w:rPr>
                  <w:rFonts w:ascii="Times New Roman" w:cs="Times New Roman" w:eastAsia="Times New Roman" w:hAnsi="Times New Roman"/>
                  <w:sz w:val="18"/>
                  <w:szCs w:val="18"/>
                  <w:color w:val="0000EE"/>
                  <w:w w:val="97"/>
                </w:rPr>
                <w:t>Jeff Dekker</w:t>
              </w:r>
            </w:hyperlink>
          </w:p>
        </w:tc>
        <w:tc>
          <w:tcPr>
            <w:tcW w:w="5660" w:type="dxa"/>
            <w:vAlign w:val="bottom"/>
            <w:tcBorders>
              <w:top w:val="single" w:sz="8" w:color="0000EE"/>
              <w:bottom w:val="single" w:sz="8" w:color="CCEEFF"/>
            </w:tcBorders>
            <w:gridSpan w:val="25"/>
            <w:shd w:val="clear" w:color="auto" w:fill="CCEEFF"/>
          </w:tcPr>
          <w:p>
            <w:pPr>
              <w:spacing w:after="0"/>
              <w:rPr>
                <w:sz w:val="18"/>
                <w:szCs w:val="18"/>
                <w:color w:val="auto"/>
              </w:rPr>
            </w:pPr>
          </w:p>
        </w:tc>
        <w:tc>
          <w:tcPr>
            <w:tcW w:w="240" w:type="dxa"/>
            <w:vAlign w:val="bottom"/>
            <w:tcBorders>
              <w:top w:val="single" w:sz="8" w:color="CCEEFF"/>
              <w:bottom w:val="single" w:sz="8" w:color="CCEEFF"/>
            </w:tcBorders>
            <w:gridSpan w:val="4"/>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655"/>
        </w:trPr>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gridSpan w:val="19"/>
          </w:tcPr>
          <w:p>
            <w:pPr>
              <w:ind w:left="4440"/>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10.13#</w:t>
            </w:r>
          </w:p>
        </w:tc>
        <w:tc>
          <w:tcPr>
            <w:tcW w:w="6780" w:type="dxa"/>
            <w:vAlign w:val="bottom"/>
            <w:gridSpan w:val="35"/>
            <w:shd w:val="clear" w:color="auto" w:fill="CCEEFF"/>
          </w:tcPr>
          <w:p>
            <w:pPr>
              <w:spacing w:after="0"/>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Amended and Restated Director Offer Letter, dated March 22, 2024, by and between Oruka</w:t>
              </w:r>
            </w:hyperlink>
          </w:p>
        </w:tc>
        <w:tc>
          <w:tcPr>
            <w:tcW w:w="9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S-4</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10.43</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5/14/2024</w:t>
            </w:r>
          </w:p>
        </w:tc>
      </w:tr>
      <w:tr>
        <w:trPr>
          <w:trHeight w:val="196"/>
        </w:trPr>
        <w:tc>
          <w:tcPr>
            <w:tcW w:w="1040" w:type="dxa"/>
            <w:vAlign w:val="bottom"/>
            <w:tcBorders>
              <w:top w:val="single" w:sz="8" w:color="CCEEFF"/>
            </w:tcBorders>
            <w:shd w:val="clear" w:color="auto" w:fill="CCEEFF"/>
          </w:tcPr>
          <w:p>
            <w:pPr>
              <w:spacing w:after="0"/>
              <w:rPr>
                <w:sz w:val="17"/>
                <w:szCs w:val="17"/>
                <w:color w:val="auto"/>
              </w:rPr>
            </w:pPr>
          </w:p>
        </w:tc>
        <w:tc>
          <w:tcPr>
            <w:tcW w:w="6580" w:type="dxa"/>
            <w:vAlign w:val="bottom"/>
            <w:tcBorders>
              <w:top w:val="single" w:sz="8" w:color="0000EE"/>
            </w:tcBorders>
            <w:gridSpan w:val="33"/>
            <w:shd w:val="clear" w:color="auto" w:fill="CCEEFF"/>
          </w:tcPr>
          <w:p>
            <w:pPr>
              <w:spacing w:after="0" w:line="196" w:lineRule="exact"/>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Therapeutics, Inc. and Samarth Kulkarni</w:t>
              </w:r>
            </w:hyperlink>
          </w:p>
        </w:tc>
        <w:tc>
          <w:tcPr>
            <w:tcW w:w="200" w:type="dxa"/>
            <w:vAlign w:val="bottom"/>
            <w:tcBorders>
              <w:top w:val="single" w:sz="8" w:color="CCEEFF"/>
            </w:tcBorders>
            <w:gridSpan w:val="2"/>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6780" w:type="dxa"/>
            <w:vAlign w:val="bottom"/>
            <w:gridSpan w:val="35"/>
          </w:tcPr>
          <w:p>
            <w:pPr>
              <w:spacing w:after="0" w:line="176" w:lineRule="exact"/>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Director Offer Letter, dated April 24, 2024, by and between Oruka Therapeutics, Inc. and</w:t>
              </w:r>
            </w:hyperlink>
          </w:p>
        </w:tc>
        <w:tc>
          <w:tcPr>
            <w:tcW w:w="92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S-4</w:t>
            </w: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10.44</w:t>
            </w:r>
          </w:p>
        </w:tc>
        <w:tc>
          <w:tcPr>
            <w:tcW w:w="1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5/14/2024</w:t>
            </w:r>
          </w:p>
        </w:tc>
      </w:tr>
      <w:tr>
        <w:trPr>
          <w:trHeight w:val="196"/>
        </w:trPr>
        <w:tc>
          <w:tcPr>
            <w:tcW w:w="1040" w:type="dxa"/>
            <w:vAlign w:val="bottom"/>
          </w:tcPr>
          <w:p>
            <w:pPr>
              <w:spacing w:after="0"/>
              <w:rPr>
                <w:sz w:val="17"/>
                <w:szCs w:val="17"/>
                <w:color w:val="auto"/>
              </w:rPr>
            </w:pPr>
          </w:p>
        </w:tc>
        <w:tc>
          <w:tcPr>
            <w:tcW w:w="642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Kristine Ball</w:t>
              </w:r>
            </w:hyperlink>
          </w:p>
        </w:tc>
        <w:tc>
          <w:tcPr>
            <w:tcW w:w="36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
        </w:trPr>
        <w:tc>
          <w:tcPr>
            <w:tcW w:w="10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5"/>
        </w:trPr>
        <w:tc>
          <w:tcPr>
            <w:tcW w:w="1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6780" w:type="dxa"/>
            <w:vAlign w:val="bottom"/>
            <w:gridSpan w:val="35"/>
            <w:shd w:val="clear" w:color="auto" w:fill="CCEEFF"/>
          </w:tcPr>
          <w:p>
            <w:pPr>
              <w:spacing w:after="0" w:line="176" w:lineRule="exact"/>
              <w:rPr>
                <w:rFonts w:ascii="Times New Roman" w:cs="Times New Roman" w:eastAsia="Times New Roman" w:hAnsi="Times New Roman"/>
                <w:sz w:val="18"/>
                <w:szCs w:val="18"/>
                <w:color w:val="0000EE"/>
              </w:rPr>
            </w:pPr>
            <w:hyperlink r:id="rId273">
              <w:r>
                <w:rPr>
                  <w:rFonts w:ascii="Times New Roman" w:cs="Times New Roman" w:eastAsia="Times New Roman" w:hAnsi="Times New Roman"/>
                  <w:sz w:val="18"/>
                  <w:szCs w:val="18"/>
                  <w:color w:val="0000EE"/>
                </w:rPr>
                <w:t>Amended and Restated Employment Letter Agreement by and between Oruka</w:t>
              </w:r>
            </w:hyperlink>
          </w:p>
        </w:tc>
        <w:tc>
          <w:tcPr>
            <w:tcW w:w="92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5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10/4/2024</w:t>
            </w:r>
          </w:p>
        </w:tc>
      </w:tr>
      <w:tr>
        <w:trPr>
          <w:trHeight w:val="196"/>
        </w:trPr>
        <w:tc>
          <w:tcPr>
            <w:tcW w:w="1040" w:type="dxa"/>
            <w:vAlign w:val="bottom"/>
            <w:tcBorders>
              <w:top w:val="single" w:sz="8" w:color="CCEEFF"/>
            </w:tcBorders>
            <w:shd w:val="clear" w:color="auto" w:fill="CCEEFF"/>
          </w:tcPr>
          <w:p>
            <w:pPr>
              <w:spacing w:after="0"/>
              <w:rPr>
                <w:sz w:val="17"/>
                <w:szCs w:val="17"/>
                <w:color w:val="auto"/>
              </w:rPr>
            </w:pPr>
          </w:p>
        </w:tc>
        <w:tc>
          <w:tcPr>
            <w:tcW w:w="5620" w:type="dxa"/>
            <w:vAlign w:val="bottom"/>
            <w:tcBorders>
              <w:top w:val="single" w:sz="8" w:color="0000EE"/>
            </w:tcBorders>
            <w:gridSpan w:val="24"/>
            <w:shd w:val="clear" w:color="auto" w:fill="CCEEFF"/>
          </w:tcPr>
          <w:p>
            <w:pPr>
              <w:spacing w:after="0" w:line="196" w:lineRule="exact"/>
              <w:rPr>
                <w:rFonts w:ascii="Times New Roman" w:cs="Times New Roman" w:eastAsia="Times New Roman" w:hAnsi="Times New Roman"/>
                <w:sz w:val="18"/>
                <w:szCs w:val="18"/>
                <w:color w:val="0000EE"/>
              </w:rPr>
            </w:pPr>
            <w:hyperlink r:id="rId273">
              <w:r>
                <w:rPr>
                  <w:rFonts w:ascii="Times New Roman" w:cs="Times New Roman" w:eastAsia="Times New Roman" w:hAnsi="Times New Roman"/>
                  <w:sz w:val="18"/>
                  <w:szCs w:val="18"/>
                  <w:color w:val="0000EE"/>
                </w:rPr>
                <w:t>Therapeutics, Inc. and Lawrence Klein, dated October 3, 2024</w:t>
              </w:r>
            </w:hyperlink>
          </w:p>
        </w:tc>
        <w:tc>
          <w:tcPr>
            <w:tcW w:w="1160" w:type="dxa"/>
            <w:vAlign w:val="bottom"/>
            <w:tcBorders>
              <w:top w:val="single" w:sz="8" w:color="CCEEFF"/>
            </w:tcBorders>
            <w:gridSpan w:val="11"/>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6780" w:type="dxa"/>
            <w:vAlign w:val="bottom"/>
            <w:gridSpan w:val="35"/>
          </w:tcPr>
          <w:p>
            <w:pPr>
              <w:spacing w:after="0" w:line="176" w:lineRule="exact"/>
              <w:rPr>
                <w:rFonts w:ascii="Times New Roman" w:cs="Times New Roman" w:eastAsia="Times New Roman" w:hAnsi="Times New Roman"/>
                <w:sz w:val="18"/>
                <w:szCs w:val="18"/>
                <w:color w:val="0000EE"/>
              </w:rPr>
            </w:pPr>
            <w:hyperlink r:id="rId274">
              <w:r>
                <w:rPr>
                  <w:rFonts w:ascii="Times New Roman" w:cs="Times New Roman" w:eastAsia="Times New Roman" w:hAnsi="Times New Roman"/>
                  <w:sz w:val="18"/>
                  <w:szCs w:val="18"/>
                  <w:color w:val="0000EE"/>
                </w:rPr>
                <w:t>Amended and Restated Employment Letter Agreement by and between Oruka</w:t>
              </w:r>
            </w:hyperlink>
          </w:p>
        </w:tc>
        <w:tc>
          <w:tcPr>
            <w:tcW w:w="92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10.2</w:t>
            </w:r>
          </w:p>
        </w:tc>
        <w:tc>
          <w:tcPr>
            <w:tcW w:w="1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10/4/2024</w:t>
            </w:r>
          </w:p>
        </w:tc>
      </w:tr>
      <w:tr>
        <w:trPr>
          <w:trHeight w:val="196"/>
        </w:trPr>
        <w:tc>
          <w:tcPr>
            <w:tcW w:w="1040" w:type="dxa"/>
            <w:vAlign w:val="bottom"/>
          </w:tcPr>
          <w:p>
            <w:pPr>
              <w:spacing w:after="0"/>
              <w:rPr>
                <w:sz w:val="17"/>
                <w:szCs w:val="17"/>
                <w:color w:val="auto"/>
              </w:rPr>
            </w:pPr>
          </w:p>
        </w:tc>
        <w:tc>
          <w:tcPr>
            <w:tcW w:w="562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274">
              <w:r>
                <w:rPr>
                  <w:rFonts w:ascii="Times New Roman" w:cs="Times New Roman" w:eastAsia="Times New Roman" w:hAnsi="Times New Roman"/>
                  <w:sz w:val="18"/>
                  <w:szCs w:val="18"/>
                  <w:color w:val="0000EE"/>
                </w:rPr>
                <w:t>Therapeutics, Inc. and Arjun Agarwal, dated October 3, 2024</w:t>
              </w:r>
            </w:hyperlink>
          </w:p>
        </w:tc>
        <w:tc>
          <w:tcPr>
            <w:tcW w:w="1160" w:type="dxa"/>
            <w:vAlign w:val="bottom"/>
            <w:gridSpan w:val="11"/>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6"/>
        </w:trPr>
        <w:tc>
          <w:tcPr>
            <w:tcW w:w="1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6780" w:type="dxa"/>
            <w:vAlign w:val="bottom"/>
            <w:gridSpan w:val="3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Amended and Restated Employment Letter Agreement by and between Oruka</w:t>
            </w:r>
          </w:p>
        </w:tc>
        <w:tc>
          <w:tcPr>
            <w:tcW w:w="9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54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217"/>
        </w:trPr>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4280" w:type="dxa"/>
            <w:vAlign w:val="bottom"/>
            <w:tcBorders>
              <w:top w:val="single" w:sz="8" w:color="0000EE"/>
              <w:bottom w:val="single" w:sz="8" w:color="0000EE"/>
            </w:tcBorders>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Therapeutics, Inc. and Paul Quinlan, dated October 1, 2024</w:t>
            </w:r>
          </w:p>
        </w:tc>
        <w:tc>
          <w:tcPr>
            <w:tcW w:w="1340" w:type="dxa"/>
            <w:vAlign w:val="bottom"/>
            <w:tcBorders>
              <w:top w:val="single" w:sz="8" w:color="0000EE"/>
              <w:bottom w:val="single" w:sz="8" w:color="CCEEFF"/>
            </w:tcBorders>
            <w:gridSpan w:val="7"/>
            <w:shd w:val="clear" w:color="auto" w:fill="CCEEFF"/>
          </w:tcPr>
          <w:p>
            <w:pPr>
              <w:spacing w:after="0"/>
              <w:rPr>
                <w:sz w:val="18"/>
                <w:szCs w:val="18"/>
                <w:color w:val="auto"/>
              </w:rPr>
            </w:pPr>
          </w:p>
        </w:tc>
        <w:tc>
          <w:tcPr>
            <w:tcW w:w="1160" w:type="dxa"/>
            <w:vAlign w:val="bottom"/>
            <w:tcBorders>
              <w:top w:val="single" w:sz="8" w:color="CCEEFF"/>
              <w:bottom w:val="single" w:sz="8" w:color="CCEEFF"/>
            </w:tcBorders>
            <w:gridSpan w:val="11"/>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5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678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Amended and Restated Employment Letter Agreement by and between Oruka</w:t>
            </w: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4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040" w:type="dxa"/>
            <w:vAlign w:val="bottom"/>
          </w:tcPr>
          <w:p>
            <w:pPr>
              <w:spacing w:after="0"/>
              <w:rPr>
                <w:sz w:val="17"/>
                <w:szCs w:val="17"/>
                <w:color w:val="auto"/>
              </w:rPr>
            </w:pPr>
          </w:p>
        </w:tc>
        <w:tc>
          <w:tcPr>
            <w:tcW w:w="562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Therapeutics, Inc. and Joana Goncalves, dated October 1, 2024</w:t>
            </w:r>
          </w:p>
        </w:tc>
        <w:tc>
          <w:tcPr>
            <w:tcW w:w="1160" w:type="dxa"/>
            <w:vAlign w:val="bottom"/>
            <w:gridSpan w:val="11"/>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
        </w:trPr>
        <w:tc>
          <w:tcPr>
            <w:tcW w:w="10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262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Form of Indemnification Agreement</w:t>
            </w:r>
          </w:p>
        </w:tc>
        <w:tc>
          <w:tcPr>
            <w:tcW w:w="4160" w:type="dxa"/>
            <w:vAlign w:val="bottom"/>
            <w:tcBorders>
              <w:bottom w:val="single" w:sz="8" w:color="CCEEFF"/>
            </w:tcBorders>
            <w:gridSpan w:val="28"/>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176"/>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678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Non-Employee Directors Compensation Program</w:t>
            </w: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4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10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2120" w:type="dxa"/>
            <w:vAlign w:val="bottom"/>
            <w:tcBorders>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w w:val="98"/>
              </w:rPr>
            </w:pPr>
            <w:hyperlink r:id="rId275">
              <w:r>
                <w:rPr>
                  <w:rFonts w:ascii="Times New Roman" w:cs="Times New Roman" w:eastAsia="Times New Roman" w:hAnsi="Times New Roman"/>
                  <w:sz w:val="18"/>
                  <w:szCs w:val="18"/>
                  <w:color w:val="0000EE"/>
                  <w:w w:val="98"/>
                </w:rPr>
                <w:t>Form of Lock-Up Agreement</w:t>
              </w:r>
            </w:hyperlink>
          </w:p>
        </w:tc>
        <w:tc>
          <w:tcPr>
            <w:tcW w:w="4660" w:type="dxa"/>
            <w:vAlign w:val="bottom"/>
            <w:tcBorders>
              <w:bottom w:val="single" w:sz="8" w:color="CCEEFF"/>
            </w:tcBorders>
            <w:gridSpan w:val="30"/>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10.4</w:t>
            </w:r>
          </w:p>
        </w:tc>
        <w:tc>
          <w:tcPr>
            <w:tcW w:w="154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4/3/2024</w:t>
            </w: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6780" w:type="dxa"/>
            <w:vAlign w:val="bottom"/>
            <w:gridSpan w:val="35"/>
          </w:tcPr>
          <w:p>
            <w:pPr>
              <w:spacing w:after="0" w:line="176" w:lineRule="exact"/>
              <w:rPr>
                <w:rFonts w:ascii="Times New Roman" w:cs="Times New Roman" w:eastAsia="Times New Roman" w:hAnsi="Times New Roman"/>
                <w:sz w:val="18"/>
                <w:szCs w:val="18"/>
                <w:color w:val="0000EE"/>
              </w:rPr>
            </w:pPr>
            <w:hyperlink r:id="rId276">
              <w:r>
                <w:rPr>
                  <w:rFonts w:ascii="Times New Roman" w:cs="Times New Roman" w:eastAsia="Times New Roman" w:hAnsi="Times New Roman"/>
                  <w:sz w:val="18"/>
                  <w:szCs w:val="18"/>
                  <w:color w:val="0000EE"/>
                </w:rPr>
                <w:t>Form of Amendment to Subscription Agreement</w:t>
              </w:r>
            </w:hyperlink>
          </w:p>
        </w:tc>
        <w:tc>
          <w:tcPr>
            <w:tcW w:w="92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54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7/9/2024</w:t>
            </w:r>
          </w:p>
        </w:tc>
      </w:tr>
      <w:tr>
        <w:trPr>
          <w:trHeight w:val="21"/>
        </w:trPr>
        <w:tc>
          <w:tcPr>
            <w:tcW w:w="10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398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r:id="rId277">
              <w:r>
                <w:rPr>
                  <w:rFonts w:ascii="Times New Roman" w:cs="Times New Roman" w:eastAsia="Times New Roman" w:hAnsi="Times New Roman"/>
                  <w:sz w:val="18"/>
                  <w:szCs w:val="18"/>
                  <w:color w:val="0000EE"/>
                  <w:w w:val="99"/>
                </w:rPr>
                <w:t>Form of Amended &amp; Restated Subscription Agreement</w:t>
              </w:r>
            </w:hyperlink>
          </w:p>
        </w:tc>
        <w:tc>
          <w:tcPr>
            <w:tcW w:w="2800" w:type="dxa"/>
            <w:vAlign w:val="bottom"/>
            <w:tcBorders>
              <w:bottom w:val="single" w:sz="8" w:color="CCEEFF"/>
            </w:tcBorders>
            <w:gridSpan w:val="19"/>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10.2</w:t>
            </w:r>
          </w:p>
        </w:tc>
        <w:tc>
          <w:tcPr>
            <w:tcW w:w="154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7/9/2024</w:t>
            </w: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6780" w:type="dxa"/>
            <w:vAlign w:val="bottom"/>
            <w:gridSpan w:val="35"/>
          </w:tcPr>
          <w:p>
            <w:pPr>
              <w:spacing w:after="0" w:line="176" w:lineRule="exact"/>
              <w:rPr>
                <w:rFonts w:ascii="Times New Roman" w:cs="Times New Roman" w:eastAsia="Times New Roman" w:hAnsi="Times New Roman"/>
                <w:sz w:val="18"/>
                <w:szCs w:val="18"/>
                <w:color w:val="0000EE"/>
              </w:rPr>
            </w:pPr>
            <w:hyperlink r:id="rId278">
              <w:r>
                <w:rPr>
                  <w:rFonts w:ascii="Times New Roman" w:cs="Times New Roman" w:eastAsia="Times New Roman" w:hAnsi="Times New Roman"/>
                  <w:sz w:val="18"/>
                  <w:szCs w:val="18"/>
                  <w:color w:val="0000EE"/>
                </w:rPr>
                <w:t>Form of Registration Rights Agreement, dated August 29, 2024</w:t>
              </w:r>
            </w:hyperlink>
          </w:p>
        </w:tc>
        <w:tc>
          <w:tcPr>
            <w:tcW w:w="92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10.4</w:t>
            </w:r>
          </w:p>
        </w:tc>
        <w:tc>
          <w:tcPr>
            <w:tcW w:w="1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11/13/2024</w:t>
            </w:r>
          </w:p>
        </w:tc>
      </w:tr>
      <w:tr>
        <w:trPr>
          <w:trHeight w:val="21"/>
        </w:trPr>
        <w:tc>
          <w:tcPr>
            <w:tcW w:w="10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5"/>
        </w:trPr>
        <w:tc>
          <w:tcPr>
            <w:tcW w:w="1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6780" w:type="dxa"/>
            <w:vAlign w:val="bottom"/>
            <w:gridSpan w:val="35"/>
            <w:shd w:val="clear" w:color="auto" w:fill="CCEEFF"/>
          </w:tcPr>
          <w:p>
            <w:pPr>
              <w:spacing w:after="0" w:line="176" w:lineRule="exact"/>
              <w:rPr>
                <w:rFonts w:ascii="Times New Roman" w:cs="Times New Roman" w:eastAsia="Times New Roman" w:hAnsi="Times New Roman"/>
                <w:sz w:val="18"/>
                <w:szCs w:val="18"/>
                <w:color w:val="0000EE"/>
              </w:rPr>
            </w:pPr>
            <w:hyperlink r:id="rId279">
              <w:r>
                <w:rPr>
                  <w:rFonts w:ascii="Times New Roman" w:cs="Times New Roman" w:eastAsia="Times New Roman" w:hAnsi="Times New Roman"/>
                  <w:sz w:val="18"/>
                  <w:szCs w:val="18"/>
                  <w:color w:val="0000EE"/>
                </w:rPr>
                <w:t>Securities Purchase Agreement by and between Oruka Therapeutics, Inc. and each of the</w:t>
              </w:r>
            </w:hyperlink>
          </w:p>
        </w:tc>
        <w:tc>
          <w:tcPr>
            <w:tcW w:w="92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5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9/13/2024</w:t>
            </w:r>
          </w:p>
        </w:tc>
      </w:tr>
      <w:tr>
        <w:trPr>
          <w:trHeight w:val="196"/>
        </w:trPr>
        <w:tc>
          <w:tcPr>
            <w:tcW w:w="1040" w:type="dxa"/>
            <w:vAlign w:val="bottom"/>
            <w:tcBorders>
              <w:top w:val="single" w:sz="8" w:color="CCEEFF"/>
            </w:tcBorders>
            <w:shd w:val="clear" w:color="auto" w:fill="CCEEFF"/>
          </w:tcPr>
          <w:p>
            <w:pPr>
              <w:spacing w:after="0"/>
              <w:rPr>
                <w:sz w:val="17"/>
                <w:szCs w:val="17"/>
                <w:color w:val="auto"/>
              </w:rPr>
            </w:pPr>
          </w:p>
        </w:tc>
        <w:tc>
          <w:tcPr>
            <w:tcW w:w="6380" w:type="dxa"/>
            <w:vAlign w:val="bottom"/>
            <w:tcBorders>
              <w:top w:val="single" w:sz="8" w:color="0000EE"/>
            </w:tcBorders>
            <w:gridSpan w:val="28"/>
            <w:shd w:val="clear" w:color="auto" w:fill="CCEEFF"/>
          </w:tcPr>
          <w:p>
            <w:pPr>
              <w:spacing w:after="0" w:line="196" w:lineRule="exact"/>
              <w:rPr>
                <w:rFonts w:ascii="Times New Roman" w:cs="Times New Roman" w:eastAsia="Times New Roman" w:hAnsi="Times New Roman"/>
                <w:sz w:val="18"/>
                <w:szCs w:val="18"/>
                <w:color w:val="0000EE"/>
              </w:rPr>
            </w:pPr>
            <w:hyperlink r:id="rId279">
              <w:r>
                <w:rPr>
                  <w:rFonts w:ascii="Times New Roman" w:cs="Times New Roman" w:eastAsia="Times New Roman" w:hAnsi="Times New Roman"/>
                  <w:sz w:val="18"/>
                  <w:szCs w:val="18"/>
                  <w:color w:val="0000EE"/>
                </w:rPr>
                <w:t>entities listed on Exhibit A thereto, dated September 11, 2024</w:t>
              </w:r>
            </w:hyperlink>
          </w:p>
        </w:tc>
        <w:tc>
          <w:tcPr>
            <w:tcW w:w="400" w:type="dxa"/>
            <w:vAlign w:val="bottom"/>
            <w:tcBorders>
              <w:top w:val="single" w:sz="8" w:color="CCEEFF"/>
            </w:tcBorders>
            <w:gridSpan w:val="7"/>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10.26</w:t>
            </w:r>
          </w:p>
        </w:tc>
        <w:tc>
          <w:tcPr>
            <w:tcW w:w="6780" w:type="dxa"/>
            <w:vAlign w:val="bottom"/>
            <w:gridSpan w:val="35"/>
          </w:tcPr>
          <w:p>
            <w:pPr>
              <w:spacing w:after="0" w:line="176" w:lineRule="exact"/>
              <w:rPr>
                <w:rFonts w:ascii="Times New Roman" w:cs="Times New Roman" w:eastAsia="Times New Roman" w:hAnsi="Times New Roman"/>
                <w:sz w:val="18"/>
                <w:szCs w:val="18"/>
                <w:color w:val="0000EE"/>
              </w:rPr>
            </w:pPr>
            <w:hyperlink r:id="rId280">
              <w:r>
                <w:rPr>
                  <w:rFonts w:ascii="Times New Roman" w:cs="Times New Roman" w:eastAsia="Times New Roman" w:hAnsi="Times New Roman"/>
                  <w:sz w:val="18"/>
                  <w:szCs w:val="18"/>
                  <w:color w:val="0000EE"/>
                </w:rPr>
                <w:t>Form of Registration Rights Agreement, dated as of September 13, 2024</w:t>
              </w:r>
            </w:hyperlink>
          </w:p>
        </w:tc>
        <w:tc>
          <w:tcPr>
            <w:tcW w:w="92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10.2</w:t>
            </w:r>
          </w:p>
        </w:tc>
        <w:tc>
          <w:tcPr>
            <w:tcW w:w="1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9/13/2024</w:t>
            </w:r>
          </w:p>
        </w:tc>
      </w:tr>
      <w:tr>
        <w:trPr>
          <w:trHeight w:val="21"/>
        </w:trPr>
        <w:tc>
          <w:tcPr>
            <w:tcW w:w="10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5"/>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10.27</w:t>
            </w:r>
          </w:p>
        </w:tc>
        <w:tc>
          <w:tcPr>
            <w:tcW w:w="6600" w:type="dxa"/>
            <w:vAlign w:val="bottom"/>
            <w:tcBorders>
              <w:bottom w:val="single" w:sz="8" w:color="0000EE"/>
            </w:tcBorders>
            <w:gridSpan w:val="34"/>
            <w:shd w:val="clear" w:color="auto" w:fill="CCEEFF"/>
          </w:tcPr>
          <w:p>
            <w:pPr>
              <w:spacing w:after="0" w:line="176" w:lineRule="exact"/>
              <w:rPr>
                <w:rFonts w:ascii="Times New Roman" w:cs="Times New Roman" w:eastAsia="Times New Roman" w:hAnsi="Times New Roman"/>
                <w:sz w:val="18"/>
                <w:szCs w:val="18"/>
                <w:color w:val="0000EE"/>
                <w:w w:val="99"/>
              </w:rPr>
            </w:pPr>
            <w:hyperlink r:id="rId281">
              <w:r>
                <w:rPr>
                  <w:rFonts w:ascii="Times New Roman" w:cs="Times New Roman" w:eastAsia="Times New Roman" w:hAnsi="Times New Roman"/>
                  <w:sz w:val="18"/>
                  <w:szCs w:val="18"/>
                  <w:color w:val="0000EE"/>
                  <w:w w:val="99"/>
                </w:rPr>
                <w:t>Asset Purchase Agreement, dated August 14, 2024, by and between ARCA biopharma, Inc.</w:t>
              </w:r>
            </w:hyperlink>
          </w:p>
        </w:tc>
        <w:tc>
          <w:tcPr>
            <w:tcW w:w="1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5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8/15/2024</w:t>
            </w:r>
          </w:p>
        </w:tc>
      </w:tr>
      <w:tr>
        <w:trPr>
          <w:trHeight w:val="217"/>
        </w:trPr>
        <w:tc>
          <w:tcPr>
            <w:tcW w:w="104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w w:val="98"/>
              </w:rPr>
            </w:pPr>
            <w:hyperlink r:id="rId281">
              <w:r>
                <w:rPr>
                  <w:rFonts w:ascii="Times New Roman" w:cs="Times New Roman" w:eastAsia="Times New Roman" w:hAnsi="Times New Roman"/>
                  <w:sz w:val="18"/>
                  <w:szCs w:val="18"/>
                  <w:color w:val="0000EE"/>
                  <w:w w:val="98"/>
                </w:rPr>
                <w:t>and Genvara Biopharma, Inc.</w:t>
              </w:r>
            </w:hyperlink>
          </w:p>
        </w:tc>
        <w:tc>
          <w:tcPr>
            <w:tcW w:w="4660" w:type="dxa"/>
            <w:vAlign w:val="bottom"/>
            <w:tcBorders>
              <w:bottom w:val="single" w:sz="8" w:color="CCEEFF"/>
            </w:tcBorders>
            <w:gridSpan w:val="30"/>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10.28†</w:t>
            </w:r>
          </w:p>
        </w:tc>
        <w:tc>
          <w:tcPr>
            <w:tcW w:w="6780" w:type="dxa"/>
            <w:vAlign w:val="bottom"/>
            <w:gridSpan w:val="35"/>
          </w:tcPr>
          <w:p>
            <w:pPr>
              <w:spacing w:after="0" w:line="176" w:lineRule="exact"/>
              <w:rPr>
                <w:rFonts w:ascii="Times New Roman" w:cs="Times New Roman" w:eastAsia="Times New Roman" w:hAnsi="Times New Roman"/>
                <w:sz w:val="18"/>
                <w:szCs w:val="18"/>
                <w:color w:val="0000EE"/>
              </w:rPr>
            </w:pPr>
            <w:hyperlink r:id="rId282">
              <w:r>
                <w:rPr>
                  <w:rFonts w:ascii="Times New Roman" w:cs="Times New Roman" w:eastAsia="Times New Roman" w:hAnsi="Times New Roman"/>
                  <w:sz w:val="18"/>
                  <w:szCs w:val="18"/>
                  <w:color w:val="0000EE"/>
                </w:rPr>
                <w:t>Amended and Restated Antibody Discovery and Option Agreement (IL-17) by and among</w:t>
              </w:r>
            </w:hyperlink>
          </w:p>
        </w:tc>
        <w:tc>
          <w:tcPr>
            <w:tcW w:w="92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7"/>
              </w:rPr>
              <w:t>S-4/A</w:t>
            </w: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10.50</w:t>
            </w:r>
          </w:p>
        </w:tc>
        <w:tc>
          <w:tcPr>
            <w:tcW w:w="1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6/18/2024</w:t>
            </w:r>
          </w:p>
        </w:tc>
      </w:tr>
      <w:tr>
        <w:trPr>
          <w:trHeight w:val="196"/>
        </w:trPr>
        <w:tc>
          <w:tcPr>
            <w:tcW w:w="1040" w:type="dxa"/>
            <w:vAlign w:val="bottom"/>
          </w:tcPr>
          <w:p>
            <w:pPr>
              <w:spacing w:after="0"/>
              <w:rPr>
                <w:sz w:val="17"/>
                <w:szCs w:val="17"/>
                <w:color w:val="auto"/>
              </w:rPr>
            </w:pPr>
          </w:p>
        </w:tc>
        <w:tc>
          <w:tcPr>
            <w:tcW w:w="6200" w:type="dxa"/>
            <w:vAlign w:val="bottom"/>
            <w:tcBorders>
              <w:top w:val="single" w:sz="8" w:color="0000EE"/>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282">
              <w:r>
                <w:rPr>
                  <w:rFonts w:ascii="Times New Roman" w:cs="Times New Roman" w:eastAsia="Times New Roman" w:hAnsi="Times New Roman"/>
                  <w:sz w:val="18"/>
                  <w:szCs w:val="18"/>
                  <w:color w:val="0000EE"/>
                  <w:w w:val="99"/>
                </w:rPr>
                <w:t>Paragon Therapeutics, Inc., Paruka Holding, LLC, and Oruka Therapeutics, Inc. dated</w:t>
              </w:r>
            </w:hyperlink>
          </w:p>
        </w:tc>
        <w:tc>
          <w:tcPr>
            <w:tcW w:w="300" w:type="dxa"/>
            <w:vAlign w:val="bottom"/>
            <w:tcBorders>
              <w:top w:val="single" w:sz="8" w:color="0000EE"/>
            </w:tcBorders>
            <w:gridSpan w:val="6"/>
          </w:tcPr>
          <w:p>
            <w:pPr>
              <w:spacing w:after="0"/>
              <w:rPr>
                <w:sz w:val="17"/>
                <w:szCs w:val="17"/>
                <w:color w:val="auto"/>
              </w:rPr>
            </w:pPr>
          </w:p>
        </w:tc>
        <w:tc>
          <w:tcPr>
            <w:tcW w:w="28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6780" w:type="dxa"/>
            <w:vAlign w:val="bottom"/>
            <w:gridSpan w:val="35"/>
          </w:tcPr>
          <w:p>
            <w:pPr>
              <w:spacing w:after="0" w:line="196" w:lineRule="exact"/>
              <w:rPr>
                <w:rFonts w:ascii="Times New Roman" w:cs="Times New Roman" w:eastAsia="Times New Roman" w:hAnsi="Times New Roman"/>
                <w:sz w:val="18"/>
                <w:szCs w:val="18"/>
                <w:color w:val="0000EE"/>
              </w:rPr>
            </w:pPr>
            <w:hyperlink r:id="rId282">
              <w:r>
                <w:rPr>
                  <w:rFonts w:ascii="Times New Roman" w:cs="Times New Roman" w:eastAsia="Times New Roman" w:hAnsi="Times New Roman"/>
                  <w:sz w:val="18"/>
                  <w:szCs w:val="18"/>
                  <w:color w:val="0000EE"/>
                </w:rPr>
                <w:t>March 28, 2024</w:t>
              </w:r>
            </w:hyperlink>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
        </w:trPr>
        <w:tc>
          <w:tcPr>
            <w:tcW w:w="10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5"/>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10.29*†</w:t>
            </w:r>
          </w:p>
        </w:tc>
        <w:tc>
          <w:tcPr>
            <w:tcW w:w="5800" w:type="dxa"/>
            <w:vAlign w:val="bottom"/>
            <w:tcBorders>
              <w:bottom w:val="single" w:sz="8" w:color="0000EE"/>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IL-17 License Agreement by and between Paragon Therapeutics, Inc. and Oruka</w:t>
            </w:r>
          </w:p>
        </w:tc>
        <w:tc>
          <w:tcPr>
            <w:tcW w:w="980" w:type="dxa"/>
            <w:vAlign w:val="bottom"/>
            <w:tcBorders>
              <w:bottom w:val="single" w:sz="8" w:color="CCEEFF"/>
            </w:tcBorders>
            <w:gridSpan w:val="10"/>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040" w:type="dxa"/>
            <w:vAlign w:val="bottom"/>
            <w:shd w:val="clear" w:color="auto" w:fill="CCEEFF"/>
          </w:tcPr>
          <w:p>
            <w:pPr>
              <w:spacing w:after="0"/>
              <w:rPr>
                <w:sz w:val="17"/>
                <w:szCs w:val="17"/>
                <w:color w:val="auto"/>
              </w:rPr>
            </w:pPr>
          </w:p>
        </w:tc>
        <w:tc>
          <w:tcPr>
            <w:tcW w:w="6780" w:type="dxa"/>
            <w:vAlign w:val="bottom"/>
            <w:gridSpan w:val="3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Therapeutics, Inc., dated February 4, 2025</w:t>
            </w:r>
          </w:p>
        </w:tc>
        <w:tc>
          <w:tcPr>
            <w:tcW w:w="9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10.30†</w:t>
            </w:r>
          </w:p>
        </w:tc>
        <w:tc>
          <w:tcPr>
            <w:tcW w:w="6780" w:type="dxa"/>
            <w:vAlign w:val="bottom"/>
            <w:gridSpan w:val="35"/>
          </w:tcPr>
          <w:p>
            <w:pPr>
              <w:spacing w:after="0" w:line="176" w:lineRule="exact"/>
              <w:rPr>
                <w:rFonts w:ascii="Times New Roman" w:cs="Times New Roman" w:eastAsia="Times New Roman" w:hAnsi="Times New Roman"/>
                <w:sz w:val="18"/>
                <w:szCs w:val="18"/>
                <w:color w:val="0000EE"/>
              </w:rPr>
            </w:pPr>
            <w:hyperlink r:id="rId283">
              <w:r>
                <w:rPr>
                  <w:rFonts w:ascii="Times New Roman" w:cs="Times New Roman" w:eastAsia="Times New Roman" w:hAnsi="Times New Roman"/>
                  <w:sz w:val="18"/>
                  <w:szCs w:val="18"/>
                  <w:color w:val="0000EE"/>
                </w:rPr>
                <w:t>Amended and Restated Antibody Discovery and Option Agreement (IL-23) by and among</w:t>
              </w:r>
            </w:hyperlink>
          </w:p>
        </w:tc>
        <w:tc>
          <w:tcPr>
            <w:tcW w:w="92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7"/>
              </w:rPr>
              <w:t>S-4/A</w:t>
            </w: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10.51</w:t>
            </w:r>
          </w:p>
        </w:tc>
        <w:tc>
          <w:tcPr>
            <w:tcW w:w="1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6/18/2024</w:t>
            </w:r>
          </w:p>
        </w:tc>
      </w:tr>
      <w:tr>
        <w:trPr>
          <w:trHeight w:val="196"/>
        </w:trPr>
        <w:tc>
          <w:tcPr>
            <w:tcW w:w="1040" w:type="dxa"/>
            <w:vAlign w:val="bottom"/>
          </w:tcPr>
          <w:p>
            <w:pPr>
              <w:spacing w:after="0"/>
              <w:rPr>
                <w:sz w:val="17"/>
                <w:szCs w:val="17"/>
                <w:color w:val="auto"/>
              </w:rPr>
            </w:pPr>
          </w:p>
        </w:tc>
        <w:tc>
          <w:tcPr>
            <w:tcW w:w="6200" w:type="dxa"/>
            <w:vAlign w:val="bottom"/>
            <w:tcBorders>
              <w:top w:val="single" w:sz="8" w:color="0000EE"/>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283">
              <w:r>
                <w:rPr>
                  <w:rFonts w:ascii="Times New Roman" w:cs="Times New Roman" w:eastAsia="Times New Roman" w:hAnsi="Times New Roman"/>
                  <w:sz w:val="18"/>
                  <w:szCs w:val="18"/>
                  <w:color w:val="0000EE"/>
                  <w:w w:val="99"/>
                </w:rPr>
                <w:t>Paragon Therapeutics, Inc., Paruka Holding, LLC, and Oruka Therapeutics, Inc. dated</w:t>
              </w:r>
            </w:hyperlink>
          </w:p>
        </w:tc>
        <w:tc>
          <w:tcPr>
            <w:tcW w:w="300" w:type="dxa"/>
            <w:vAlign w:val="bottom"/>
            <w:tcBorders>
              <w:top w:val="single" w:sz="8" w:color="0000EE"/>
            </w:tcBorders>
            <w:gridSpan w:val="6"/>
          </w:tcPr>
          <w:p>
            <w:pPr>
              <w:spacing w:after="0"/>
              <w:rPr>
                <w:sz w:val="17"/>
                <w:szCs w:val="17"/>
                <w:color w:val="auto"/>
              </w:rPr>
            </w:pPr>
          </w:p>
        </w:tc>
        <w:tc>
          <w:tcPr>
            <w:tcW w:w="28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6780" w:type="dxa"/>
            <w:vAlign w:val="bottom"/>
            <w:gridSpan w:val="35"/>
          </w:tcPr>
          <w:p>
            <w:pPr>
              <w:spacing w:after="0" w:line="196" w:lineRule="exact"/>
              <w:rPr>
                <w:rFonts w:ascii="Times New Roman" w:cs="Times New Roman" w:eastAsia="Times New Roman" w:hAnsi="Times New Roman"/>
                <w:sz w:val="18"/>
                <w:szCs w:val="18"/>
                <w:color w:val="0000EE"/>
              </w:rPr>
            </w:pPr>
            <w:hyperlink r:id="rId283">
              <w:r>
                <w:rPr>
                  <w:rFonts w:ascii="Times New Roman" w:cs="Times New Roman" w:eastAsia="Times New Roman" w:hAnsi="Times New Roman"/>
                  <w:sz w:val="18"/>
                  <w:szCs w:val="18"/>
                  <w:color w:val="0000EE"/>
                </w:rPr>
                <w:t>March 28, 2024</w:t>
              </w:r>
            </w:hyperlink>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5"/>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10.31*†</w:t>
            </w:r>
          </w:p>
        </w:tc>
        <w:tc>
          <w:tcPr>
            <w:tcW w:w="5800" w:type="dxa"/>
            <w:vAlign w:val="bottom"/>
            <w:tcBorders>
              <w:bottom w:val="single" w:sz="8" w:color="0000EE"/>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IL-23 License Agreement by and between Paragon Therapeutics, Inc. and Oruka</w:t>
            </w:r>
          </w:p>
        </w:tc>
        <w:tc>
          <w:tcPr>
            <w:tcW w:w="980" w:type="dxa"/>
            <w:vAlign w:val="bottom"/>
            <w:tcBorders>
              <w:bottom w:val="single" w:sz="8" w:color="CCEEFF"/>
            </w:tcBorders>
            <w:gridSpan w:val="10"/>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040" w:type="dxa"/>
            <w:vAlign w:val="bottom"/>
            <w:shd w:val="clear" w:color="auto" w:fill="CCEEFF"/>
          </w:tcPr>
          <w:p>
            <w:pPr>
              <w:spacing w:after="0"/>
              <w:rPr>
                <w:sz w:val="17"/>
                <w:szCs w:val="17"/>
                <w:color w:val="auto"/>
              </w:rPr>
            </w:pPr>
          </w:p>
        </w:tc>
        <w:tc>
          <w:tcPr>
            <w:tcW w:w="6780" w:type="dxa"/>
            <w:vAlign w:val="bottom"/>
            <w:gridSpan w:val="3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Therapeutics, Inc., dated December 17, 2024</w:t>
            </w:r>
          </w:p>
        </w:tc>
        <w:tc>
          <w:tcPr>
            <w:tcW w:w="9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10.32*†</w:t>
            </w:r>
          </w:p>
        </w:tc>
        <w:tc>
          <w:tcPr>
            <w:tcW w:w="6480" w:type="dxa"/>
            <w:vAlign w:val="bottom"/>
            <w:tcBorders>
              <w:bottom w:val="single" w:sz="8" w:color="0000EE"/>
            </w:tcBorders>
            <w:gridSpan w:val="31"/>
          </w:tcPr>
          <w:p>
            <w:pPr>
              <w:spacing w:after="0" w:line="176" w:lineRule="exact"/>
              <w:rPr>
                <w:sz w:val="20"/>
                <w:szCs w:val="20"/>
                <w:color w:val="auto"/>
              </w:rPr>
            </w:pPr>
            <w:r>
              <w:rPr>
                <w:rFonts w:ascii="Times New Roman" w:cs="Times New Roman" w:eastAsia="Times New Roman" w:hAnsi="Times New Roman"/>
                <w:sz w:val="18"/>
                <w:szCs w:val="18"/>
                <w:color w:val="0000EE"/>
                <w:w w:val="99"/>
              </w:rPr>
              <w:t>Cell Line License Agreement by and between WuXi Biologics Ireland Limited and Oruka</w:t>
            </w:r>
          </w:p>
        </w:tc>
        <w:tc>
          <w:tcPr>
            <w:tcW w:w="300" w:type="dxa"/>
            <w:vAlign w:val="bottom"/>
            <w:gridSpan w:val="4"/>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4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040" w:type="dxa"/>
            <w:vAlign w:val="bottom"/>
          </w:tcPr>
          <w:p>
            <w:pPr>
              <w:spacing w:after="0"/>
              <w:rPr>
                <w:sz w:val="17"/>
                <w:szCs w:val="17"/>
                <w:color w:val="auto"/>
              </w:rPr>
            </w:pPr>
          </w:p>
        </w:tc>
        <w:tc>
          <w:tcPr>
            <w:tcW w:w="67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Therapeutics, Inc., dated March 4, 2024</w:t>
            </w: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5"/>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10.33*†</w:t>
            </w:r>
          </w:p>
        </w:tc>
        <w:tc>
          <w:tcPr>
            <w:tcW w:w="6340" w:type="dxa"/>
            <w:vAlign w:val="bottom"/>
            <w:tcBorders>
              <w:bottom w:val="single" w:sz="8" w:color="0000EE"/>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Amendment No. 1 to the Cell Line License Agreement by and between WuXi Biologics</w:t>
            </w:r>
          </w:p>
        </w:tc>
        <w:tc>
          <w:tcPr>
            <w:tcW w:w="440" w:type="dxa"/>
            <w:vAlign w:val="bottom"/>
            <w:tcBorders>
              <w:bottom w:val="single" w:sz="8" w:color="CCEEFF"/>
            </w:tcBorders>
            <w:gridSpan w:val="8"/>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217"/>
        </w:trPr>
        <w:tc>
          <w:tcPr>
            <w:tcW w:w="1040" w:type="dxa"/>
            <w:vAlign w:val="bottom"/>
            <w:tcBorders>
              <w:bottom w:val="single" w:sz="8" w:color="CCEEFF"/>
            </w:tcBorders>
            <w:shd w:val="clear" w:color="auto" w:fill="CCEEFF"/>
          </w:tcPr>
          <w:p>
            <w:pPr>
              <w:spacing w:after="0"/>
              <w:rPr>
                <w:sz w:val="18"/>
                <w:szCs w:val="18"/>
                <w:color w:val="auto"/>
              </w:rPr>
            </w:pPr>
          </w:p>
        </w:tc>
        <w:tc>
          <w:tcPr>
            <w:tcW w:w="5220" w:type="dxa"/>
            <w:vAlign w:val="bottom"/>
            <w:tcBorders>
              <w:bottom w:val="single" w:sz="8" w:color="0000EE"/>
            </w:tcBorders>
            <w:gridSpan w:val="2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Ireland Limited and Oruka Therapeutics, Inc., dated November 20, 2024</w:t>
            </w:r>
          </w:p>
        </w:tc>
        <w:tc>
          <w:tcPr>
            <w:tcW w:w="1560" w:type="dxa"/>
            <w:vAlign w:val="bottom"/>
            <w:tcBorders>
              <w:bottom w:val="single" w:sz="8" w:color="CCEEFF"/>
            </w:tcBorders>
            <w:gridSpan w:val="12"/>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14.1</w:t>
            </w:r>
          </w:p>
        </w:tc>
        <w:tc>
          <w:tcPr>
            <w:tcW w:w="6780" w:type="dxa"/>
            <w:vAlign w:val="bottom"/>
            <w:gridSpan w:val="35"/>
          </w:tcPr>
          <w:p>
            <w:pPr>
              <w:spacing w:after="0" w:line="176" w:lineRule="exact"/>
              <w:rPr>
                <w:rFonts w:ascii="Times New Roman" w:cs="Times New Roman" w:eastAsia="Times New Roman" w:hAnsi="Times New Roman"/>
                <w:sz w:val="18"/>
                <w:szCs w:val="18"/>
                <w:color w:val="0000EE"/>
              </w:rPr>
            </w:pPr>
            <w:hyperlink r:id="rId284">
              <w:r>
                <w:rPr>
                  <w:rFonts w:ascii="Times New Roman" w:cs="Times New Roman" w:eastAsia="Times New Roman" w:hAnsi="Times New Roman"/>
                  <w:sz w:val="18"/>
                  <w:szCs w:val="18"/>
                  <w:color w:val="0000EE"/>
                </w:rPr>
                <w:t>Code of Business Conduct and Ethics</w:t>
              </w:r>
            </w:hyperlink>
          </w:p>
        </w:tc>
        <w:tc>
          <w:tcPr>
            <w:tcW w:w="92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14.1</w:t>
            </w:r>
          </w:p>
        </w:tc>
        <w:tc>
          <w:tcPr>
            <w:tcW w:w="154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9/5/2024</w:t>
            </w:r>
          </w:p>
        </w:tc>
      </w:tr>
      <w:tr>
        <w:trPr>
          <w:trHeight w:val="20"/>
        </w:trPr>
        <w:tc>
          <w:tcPr>
            <w:tcW w:w="10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16.1</w:t>
            </w:r>
          </w:p>
        </w:tc>
        <w:tc>
          <w:tcPr>
            <w:tcW w:w="6780" w:type="dxa"/>
            <w:vAlign w:val="bottom"/>
            <w:gridSpan w:val="35"/>
            <w:shd w:val="clear" w:color="auto" w:fill="CCEEFF"/>
          </w:tcPr>
          <w:p>
            <w:pPr>
              <w:spacing w:after="0" w:line="176" w:lineRule="exact"/>
              <w:rPr>
                <w:rFonts w:ascii="Times New Roman" w:cs="Times New Roman" w:eastAsia="Times New Roman" w:hAnsi="Times New Roman"/>
                <w:sz w:val="18"/>
                <w:szCs w:val="18"/>
                <w:color w:val="0000EE"/>
              </w:rPr>
            </w:pPr>
            <w:hyperlink r:id="rId285">
              <w:r>
                <w:rPr>
                  <w:rFonts w:ascii="Times New Roman" w:cs="Times New Roman" w:eastAsia="Times New Roman" w:hAnsi="Times New Roman"/>
                  <w:sz w:val="18"/>
                  <w:szCs w:val="18"/>
                  <w:color w:val="0000EE"/>
                </w:rPr>
                <w:t>Letter from KPMG LLP, dated September 5, 2024</w:t>
              </w:r>
            </w:hyperlink>
          </w:p>
        </w:tc>
        <w:tc>
          <w:tcPr>
            <w:tcW w:w="92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16.1</w:t>
            </w:r>
          </w:p>
        </w:tc>
        <w:tc>
          <w:tcPr>
            <w:tcW w:w="154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9/5/2024</w:t>
            </w:r>
          </w:p>
        </w:tc>
      </w:tr>
      <w:tr>
        <w:trPr>
          <w:trHeight w:val="175"/>
        </w:trPr>
        <w:tc>
          <w:tcPr>
            <w:tcW w:w="10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19.1*</w:t>
            </w:r>
          </w:p>
        </w:tc>
        <w:tc>
          <w:tcPr>
            <w:tcW w:w="360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Insider Trading Policy</w:t>
            </w:r>
          </w:p>
        </w:tc>
        <w:tc>
          <w:tcPr>
            <w:tcW w:w="3180" w:type="dxa"/>
            <w:vAlign w:val="bottom"/>
            <w:tcBorders>
              <w:top w:val="single" w:sz="8" w:color="CCEEFF"/>
            </w:tcBorders>
            <w:gridSpan w:val="20"/>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1540" w:type="dxa"/>
            <w:vAlign w:val="bottom"/>
            <w:tcBorders>
              <w:top w:val="single" w:sz="8" w:color="CCEEFF"/>
            </w:tcBorders>
          </w:tcPr>
          <w:p>
            <w:pPr>
              <w:ind w:left="28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10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5"/>
        </w:trPr>
        <w:tc>
          <w:tcPr>
            <w:tcW w:w="1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6780" w:type="dxa"/>
            <w:vAlign w:val="bottom"/>
            <w:gridSpan w:val="3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List of subsidiaries of the Registrant</w:t>
            </w:r>
          </w:p>
        </w:tc>
        <w:tc>
          <w:tcPr>
            <w:tcW w:w="9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54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678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4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10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5"/>
        </w:trPr>
        <w:tc>
          <w:tcPr>
            <w:tcW w:w="1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6780" w:type="dxa"/>
            <w:vAlign w:val="bottom"/>
            <w:gridSpan w:val="3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(Incorporated by reference to the signature page of this Annual Report</w:t>
            </w:r>
          </w:p>
        </w:tc>
        <w:tc>
          <w:tcPr>
            <w:tcW w:w="9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54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040" w:type="dxa"/>
            <w:vAlign w:val="bottom"/>
            <w:tcBorders>
              <w:top w:val="single" w:sz="8" w:color="CCEEFF"/>
            </w:tcBorders>
            <w:shd w:val="clear" w:color="auto" w:fill="CCEEFF"/>
          </w:tcPr>
          <w:p>
            <w:pPr>
              <w:spacing w:after="0"/>
              <w:rPr>
                <w:sz w:val="18"/>
                <w:szCs w:val="18"/>
                <w:color w:val="auto"/>
              </w:rPr>
            </w:pPr>
          </w:p>
        </w:tc>
        <w:tc>
          <w:tcPr>
            <w:tcW w:w="6440" w:type="dxa"/>
            <w:vAlign w:val="bottom"/>
            <w:tcBorders>
              <w:top w:val="single" w:sz="8" w:color="0000EE"/>
            </w:tcBorders>
            <w:gridSpan w:val="3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on Form 10-K)</w:t>
            </w:r>
          </w:p>
        </w:tc>
        <w:tc>
          <w:tcPr>
            <w:tcW w:w="340" w:type="dxa"/>
            <w:vAlign w:val="bottom"/>
            <w:tcBorders>
              <w:top w:val="single" w:sz="8" w:color="CCEEFF"/>
            </w:tcBorders>
            <w:gridSpan w:val="5"/>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r>
      <w:tr>
        <w:trPr>
          <w:trHeight w:val="655"/>
        </w:trPr>
        <w:tc>
          <w:tcPr>
            <w:tcW w:w="104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0000EE"/>
              <w:bottom w:val="single" w:sz="8" w:color="auto"/>
            </w:tcBorders>
            <w:gridSpan w:val="2"/>
          </w:tcPr>
          <w:p>
            <w:pPr>
              <w:spacing w:after="0"/>
              <w:rPr>
                <w:sz w:val="24"/>
                <w:szCs w:val="24"/>
                <w:color w:val="auto"/>
              </w:rPr>
            </w:pPr>
          </w:p>
        </w:tc>
        <w:tc>
          <w:tcPr>
            <w:tcW w:w="4140" w:type="dxa"/>
            <w:vAlign w:val="bottom"/>
            <w:tcBorders>
              <w:top w:val="single" w:sz="8" w:color="CCEEFF"/>
              <w:bottom w:val="single" w:sz="8" w:color="auto"/>
            </w:tcBorders>
            <w:gridSpan w:val="21"/>
          </w:tcPr>
          <w:p>
            <w:pPr>
              <w:jc w:val="right"/>
              <w:ind w:right="500"/>
              <w:spacing w:after="0"/>
              <w:rPr>
                <w:sz w:val="20"/>
                <w:szCs w:val="20"/>
                <w:color w:val="auto"/>
              </w:rPr>
            </w:pPr>
            <w:r>
              <w:rPr>
                <w:rFonts w:ascii="Times New Roman" w:cs="Times New Roman" w:eastAsia="Times New Roman" w:hAnsi="Times New Roman"/>
                <w:sz w:val="18"/>
                <w:szCs w:val="18"/>
                <w:color w:val="auto"/>
              </w:rPr>
              <w:t>110</w:t>
            </w:r>
          </w:p>
        </w:tc>
        <w:tc>
          <w:tcPr>
            <w:tcW w:w="40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CCEEFF"/>
              <w:bottom w:val="single" w:sz="8" w:color="auto"/>
            </w:tcBorders>
          </w:tcPr>
          <w:p>
            <w:pPr>
              <w:spacing w:after="0"/>
              <w:rPr>
                <w:sz w:val="24"/>
                <w:szCs w:val="24"/>
                <w:color w:val="auto"/>
              </w:rPr>
            </w:pPr>
          </w:p>
        </w:tc>
        <w:tc>
          <w:tcPr>
            <w:tcW w:w="960" w:type="dxa"/>
            <w:vAlign w:val="bottom"/>
            <w:tcBorders>
              <w:top w:val="single" w:sz="8" w:color="CCEEFF"/>
              <w:bottom w:val="single" w:sz="8" w:color="auto"/>
            </w:tcBorders>
          </w:tcPr>
          <w:p>
            <w:pPr>
              <w:spacing w:after="0"/>
              <w:rPr>
                <w:sz w:val="24"/>
                <w:szCs w:val="24"/>
                <w:color w:val="auto"/>
              </w:rPr>
            </w:pPr>
          </w:p>
        </w:tc>
        <w:tc>
          <w:tcPr>
            <w:tcW w:w="15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64" w:right="339" w:bottom="1440" w:gutter="0" w:footer="0" w:header="0"/>
        </w:sectPr>
      </w:pPr>
    </w:p>
    <w:bookmarkStart w:id="144" w:name="page145"/>
    <w:bookmarkEnd w:id="1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31.1*</w:t>
            </w:r>
          </w:p>
        </w:tc>
        <w:tc>
          <w:tcPr>
            <w:tcW w:w="6320" w:type="dxa"/>
            <w:vAlign w:val="bottom"/>
            <w:tcBorders>
              <w:bottom w:val="single" w:sz="8" w:color="0000EE"/>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Executive Officer pursuant to Rule 13a-14(a) or 15d-14(a)</w:t>
            </w:r>
          </w:p>
        </w:tc>
        <w:tc>
          <w:tcPr>
            <w:tcW w:w="1320" w:type="dxa"/>
            <w:vAlign w:val="bottom"/>
            <w:tcBorders>
              <w:bottom w:val="single" w:sz="8" w:color="CCEEFF"/>
            </w:tcBorders>
            <w:gridSpan w:val="3"/>
            <w:shd w:val="clear" w:color="auto" w:fill="CCEEFF"/>
          </w:tcPr>
          <w:p>
            <w:pPr>
              <w:spacing w:after="0"/>
              <w:rPr>
                <w:sz w:val="17"/>
                <w:szCs w:val="17"/>
                <w:color w:val="auto"/>
              </w:rPr>
            </w:pPr>
          </w:p>
        </w:tc>
        <w:tc>
          <w:tcPr>
            <w:tcW w:w="2560" w:type="dxa"/>
            <w:vAlign w:val="bottom"/>
            <w:tcBorders>
              <w:bottom w:val="single" w:sz="8" w:color="CCEEFF"/>
            </w:tcBorders>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7"/>
        </w:trPr>
        <w:tc>
          <w:tcPr>
            <w:tcW w:w="1040" w:type="dxa"/>
            <w:vAlign w:val="bottom"/>
            <w:tcBorders>
              <w:bottom w:val="single" w:sz="8" w:color="CCEEFF"/>
            </w:tcBorders>
            <w:shd w:val="clear" w:color="auto" w:fill="CCEEFF"/>
          </w:tcPr>
          <w:p>
            <w:pPr>
              <w:spacing w:after="0"/>
              <w:rPr>
                <w:sz w:val="18"/>
                <w:szCs w:val="18"/>
                <w:color w:val="auto"/>
              </w:rPr>
            </w:pPr>
          </w:p>
        </w:tc>
        <w:tc>
          <w:tcPr>
            <w:tcW w:w="4040" w:type="dxa"/>
            <w:vAlign w:val="bottom"/>
            <w:tcBorders>
              <w:bottom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promulgated under the Securities Exchange Act of 1934</w:t>
            </w:r>
          </w:p>
        </w:tc>
        <w:tc>
          <w:tcPr>
            <w:tcW w:w="3600" w:type="dxa"/>
            <w:vAlign w:val="bottom"/>
            <w:tcBorders>
              <w:bottom w:val="single" w:sz="8" w:color="CCEEFF"/>
            </w:tcBorders>
            <w:gridSpan w:val="5"/>
            <w:shd w:val="clear" w:color="auto" w:fill="CCEEFF"/>
          </w:tcPr>
          <w:p>
            <w:pPr>
              <w:spacing w:after="0"/>
              <w:rPr>
                <w:sz w:val="18"/>
                <w:szCs w:val="18"/>
                <w:color w:val="auto"/>
              </w:rPr>
            </w:pPr>
          </w:p>
        </w:tc>
        <w:tc>
          <w:tcPr>
            <w:tcW w:w="2560" w:type="dxa"/>
            <w:vAlign w:val="bottom"/>
            <w:tcBorders>
              <w:bottom w:val="single" w:sz="8" w:color="CCEEFF"/>
            </w:tcBorders>
            <w:shd w:val="clear" w:color="auto" w:fill="CCEEFF"/>
          </w:tcPr>
          <w:p>
            <w:pPr>
              <w:spacing w:after="0"/>
              <w:rPr>
                <w:sz w:val="18"/>
                <w:szCs w:val="18"/>
                <w:color w:val="auto"/>
              </w:rPr>
            </w:pP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76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Principal Financial Officer pursuant to Rule 13a-14(a) or 15d-14(a)</w:t>
            </w:r>
          </w:p>
        </w:tc>
        <w:tc>
          <w:tcPr>
            <w:tcW w:w="2560" w:type="dxa"/>
            <w:vAlign w:val="bottom"/>
          </w:tcPr>
          <w:p>
            <w:pPr>
              <w:jc w:val="center"/>
              <w:ind w:left="101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040" w:type="dxa"/>
            <w:vAlign w:val="bottom"/>
          </w:tcPr>
          <w:p>
            <w:pPr>
              <w:spacing w:after="0"/>
              <w:rPr>
                <w:sz w:val="17"/>
                <w:szCs w:val="17"/>
                <w:color w:val="auto"/>
              </w:rPr>
            </w:pPr>
          </w:p>
        </w:tc>
        <w:tc>
          <w:tcPr>
            <w:tcW w:w="62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promulgated under the Securities Exchange Act of 1934</w:t>
            </w:r>
          </w:p>
        </w:tc>
        <w:tc>
          <w:tcPr>
            <w:tcW w:w="1380" w:type="dxa"/>
            <w:vAlign w:val="bottom"/>
            <w:gridSpan w:val="4"/>
          </w:tcPr>
          <w:p>
            <w:pPr>
              <w:spacing w:after="0"/>
              <w:rPr>
                <w:sz w:val="17"/>
                <w:szCs w:val="17"/>
                <w:color w:val="auto"/>
              </w:rPr>
            </w:pPr>
          </w:p>
        </w:tc>
        <w:tc>
          <w:tcPr>
            <w:tcW w:w="2560" w:type="dxa"/>
            <w:vAlign w:val="bottom"/>
          </w:tcPr>
          <w:p>
            <w:pPr>
              <w:spacing w:after="0"/>
              <w:rPr>
                <w:sz w:val="17"/>
                <w:szCs w:val="17"/>
                <w:color w:val="auto"/>
              </w:rPr>
            </w:pPr>
          </w:p>
        </w:tc>
      </w:tr>
      <w:tr>
        <w:trPr>
          <w:trHeight w:val="21"/>
        </w:trPr>
        <w:tc>
          <w:tcPr>
            <w:tcW w:w="104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75"/>
        </w:trPr>
        <w:tc>
          <w:tcPr>
            <w:tcW w:w="1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76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Principal Executive Officer and Principal Financial Officer pursuant to</w:t>
            </w:r>
          </w:p>
        </w:tc>
        <w:tc>
          <w:tcPr>
            <w:tcW w:w="2560" w:type="dxa"/>
            <w:vAlign w:val="bottom"/>
            <w:shd w:val="clear" w:color="auto" w:fill="CCEEFF"/>
          </w:tcPr>
          <w:p>
            <w:pPr>
              <w:jc w:val="center"/>
              <w:ind w:left="1010"/>
              <w:spacing w:after="0" w:line="176" w:lineRule="exact"/>
              <w:rPr>
                <w:sz w:val="20"/>
                <w:szCs w:val="20"/>
                <w:color w:val="auto"/>
              </w:rPr>
            </w:pPr>
            <w:r>
              <w:rPr>
                <w:rFonts w:ascii="Times New Roman" w:cs="Times New Roman" w:eastAsia="Times New Roman" w:hAnsi="Times New Roman"/>
                <w:sz w:val="18"/>
                <w:szCs w:val="18"/>
                <w:color w:val="auto"/>
                <w:w w:val="98"/>
              </w:rPr>
              <w:t>Furnished herewith</w:t>
            </w:r>
          </w:p>
        </w:tc>
      </w:tr>
      <w:tr>
        <w:trPr>
          <w:trHeight w:val="196"/>
        </w:trPr>
        <w:tc>
          <w:tcPr>
            <w:tcW w:w="1040" w:type="dxa"/>
            <w:vAlign w:val="bottom"/>
            <w:tcBorders>
              <w:top w:val="single" w:sz="8" w:color="CCEEFF"/>
            </w:tcBorders>
            <w:shd w:val="clear" w:color="auto" w:fill="CCEEFF"/>
          </w:tcPr>
          <w:p>
            <w:pPr>
              <w:spacing w:after="0"/>
              <w:rPr>
                <w:sz w:val="17"/>
                <w:szCs w:val="17"/>
                <w:color w:val="auto"/>
              </w:rPr>
            </w:pPr>
          </w:p>
        </w:tc>
        <w:tc>
          <w:tcPr>
            <w:tcW w:w="6500" w:type="dxa"/>
            <w:vAlign w:val="bottom"/>
            <w:tcBorders>
              <w:top w:val="single" w:sz="8" w:color="0000EE"/>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18 U.S.C. Section 1350 and Rule 13a-14(B) promulgated under the Securities Exchange</w:t>
            </w:r>
          </w:p>
        </w:tc>
        <w:tc>
          <w:tcPr>
            <w:tcW w:w="1140" w:type="dxa"/>
            <w:vAlign w:val="bottom"/>
            <w:tcBorders>
              <w:top w:val="single" w:sz="8" w:color="CCEEFF"/>
            </w:tcBorders>
            <w:shd w:val="clear" w:color="auto" w:fill="CCEEFF"/>
          </w:tcPr>
          <w:p>
            <w:pPr>
              <w:spacing w:after="0"/>
              <w:rPr>
                <w:sz w:val="17"/>
                <w:szCs w:val="17"/>
                <w:color w:val="auto"/>
              </w:rPr>
            </w:pPr>
          </w:p>
        </w:tc>
        <w:tc>
          <w:tcPr>
            <w:tcW w:w="2560" w:type="dxa"/>
            <w:vAlign w:val="bottom"/>
            <w:tcBorders>
              <w:top w:val="single" w:sz="8" w:color="CCEEFF"/>
            </w:tcBorders>
            <w:shd w:val="clear" w:color="auto" w:fill="CCEEFF"/>
          </w:tcPr>
          <w:p>
            <w:pPr>
              <w:spacing w:after="0"/>
              <w:rPr>
                <w:sz w:val="17"/>
                <w:szCs w:val="17"/>
                <w:color w:val="auto"/>
              </w:rPr>
            </w:pPr>
          </w:p>
        </w:tc>
      </w:tr>
      <w:tr>
        <w:trPr>
          <w:trHeight w:val="217"/>
        </w:trPr>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0000EE"/>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7"/>
              </w:rPr>
              <w:t>Act of 1934</w:t>
            </w:r>
          </w:p>
        </w:tc>
        <w:tc>
          <w:tcPr>
            <w:tcW w:w="5480" w:type="dxa"/>
            <w:vAlign w:val="bottom"/>
            <w:tcBorders>
              <w:top w:val="single" w:sz="8" w:color="0000EE"/>
              <w:bottom w:val="single" w:sz="8" w:color="CCEEFF"/>
            </w:tcBorders>
            <w:gridSpan w:val="5"/>
            <w:shd w:val="clear" w:color="auto" w:fill="CCEEFF"/>
          </w:tcPr>
          <w:p>
            <w:pPr>
              <w:spacing w:after="0"/>
              <w:rPr>
                <w:sz w:val="18"/>
                <w:szCs w:val="18"/>
                <w:color w:val="auto"/>
              </w:rPr>
            </w:pPr>
          </w:p>
        </w:tc>
        <w:tc>
          <w:tcPr>
            <w:tcW w:w="13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5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76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Incentive Compensation Clawback Policy</w:t>
            </w:r>
          </w:p>
        </w:tc>
        <w:tc>
          <w:tcPr>
            <w:tcW w:w="2560" w:type="dxa"/>
            <w:vAlign w:val="bottom"/>
          </w:tcPr>
          <w:p>
            <w:pPr>
              <w:jc w:val="center"/>
              <w:ind w:left="101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21"/>
        </w:trPr>
        <w:tc>
          <w:tcPr>
            <w:tcW w:w="104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76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56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Linkbases Document</w:t>
            </w:r>
          </w:p>
        </w:tc>
        <w:tc>
          <w:tcPr>
            <w:tcW w:w="25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76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56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5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76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56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5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76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5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jc w:val="both"/>
        <w:ind w:left="340" w:hanging="332"/>
        <w:spacing w:after="0" w:line="250" w:lineRule="auto"/>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The certifications on Exhibit 32.1 hereto are deemed not “filed” for purposes of Section 18 of the Exchange Act or otherwise subject to the liability of that Section. Such certifications will not be deemed incorporated by reference into any filing under the Securities Act or the Exchange Act.</w:t>
      </w:r>
    </w:p>
    <w:p>
      <w:pPr>
        <w:spacing w:after="0" w:line="1" w:lineRule="exact"/>
        <w:rPr>
          <w:sz w:val="20"/>
          <w:szCs w:val="20"/>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9" w:lineRule="exact"/>
        <w:rPr>
          <w:sz w:val="20"/>
          <w:szCs w:val="20"/>
          <w:color w:val="auto"/>
        </w:rPr>
      </w:pPr>
    </w:p>
    <w:p>
      <w:pPr>
        <w:jc w:val="both"/>
        <w:ind w:left="340" w:hanging="332"/>
        <w:spacing w:after="0" w:line="253"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and/or schedules have been omitted pursuant to Item 601(a)(5) of Regulation S-K. The Company hereby undertakes to furnish supplementally copies of any of the omitted exhibits and schedules upon request by the SEC; provided, however, that the Company may request confidential treatment pursuant to Rule 24b-2 under the Exchange Act for any exhibits or schedules so furnished. Certain portions of this exhibit (indicated by “[***]”) have been omitted because they are both (i) not material and (ii) is the type of information that the registrant both customarily and actually treats as private and confidential.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8180" w:type="dxa"/>
            <w:vAlign w:val="bottom"/>
            <w:gridSpan w:val="2"/>
          </w:tcPr>
          <w:p>
            <w:pPr>
              <w:ind w:left="3700"/>
              <w:spacing w:after="0"/>
              <w:rPr>
                <w:sz w:val="20"/>
                <w:szCs w:val="20"/>
                <w:color w:val="auto"/>
              </w:rPr>
            </w:pPr>
            <w:r>
              <w:rPr>
                <w:rFonts w:ascii="Times New Roman" w:cs="Times New Roman" w:eastAsia="Times New Roman" w:hAnsi="Times New Roman"/>
                <w:sz w:val="18"/>
                <w:szCs w:val="18"/>
                <w:b w:val="1"/>
                <w:bCs w:val="1"/>
                <w:color w:val="auto"/>
              </w:rPr>
              <w:t>Oruka Therapeutics, Inc.</w:t>
            </w:r>
          </w:p>
        </w:tc>
      </w:tr>
      <w:tr>
        <w:trPr>
          <w:trHeight w:val="439"/>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Date: March 6, 2025</w:t>
            </w:r>
          </w:p>
        </w:tc>
        <w:tc>
          <w:tcPr>
            <w:tcW w:w="818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By:  /s/ Lawrence Klein</w:t>
            </w:r>
          </w:p>
        </w:tc>
      </w:tr>
      <w:tr>
        <w:trPr>
          <w:trHeight w:val="196"/>
        </w:trPr>
        <w:tc>
          <w:tcPr>
            <w:tcW w:w="30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404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Lawrence Klein</w:t>
            </w:r>
          </w:p>
        </w:tc>
      </w:tr>
      <w:tr>
        <w:trPr>
          <w:trHeight w:val="216"/>
        </w:trPr>
        <w:tc>
          <w:tcPr>
            <w:tcW w:w="30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30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3060" w:type="dxa"/>
            <w:vAlign w:val="bottom"/>
          </w:tcPr>
          <w:p>
            <w:pPr>
              <w:spacing w:after="0"/>
              <w:rPr>
                <w:sz w:val="24"/>
                <w:szCs w:val="24"/>
                <w:color w:val="auto"/>
              </w:rPr>
            </w:pPr>
          </w:p>
        </w:tc>
        <w:tc>
          <w:tcPr>
            <w:tcW w:w="8180" w:type="dxa"/>
            <w:vAlign w:val="bottom"/>
            <w:gridSpan w:val="2"/>
          </w:tcPr>
          <w:p>
            <w:pPr>
              <w:ind w:left="1560"/>
              <w:spacing w:after="0"/>
              <w:rPr>
                <w:sz w:val="20"/>
                <w:szCs w:val="20"/>
                <w:color w:val="auto"/>
              </w:rPr>
            </w:pPr>
            <w:r>
              <w:rPr>
                <w:rFonts w:ascii="Times New Roman" w:cs="Times New Roman" w:eastAsia="Times New Roman" w:hAnsi="Times New Roman"/>
                <w:sz w:val="18"/>
                <w:szCs w:val="18"/>
                <w:b w:val="1"/>
                <w:bCs w:val="1"/>
                <w:color w:val="auto"/>
              </w:rPr>
              <w:t>POWER OF ATTORNEY</w:t>
            </w: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Dr. Lawrence Klein and Mr. Arjun Agarwal, jointly and severally, his or her attorneys-in-fact, each with the power of substitution, for him or her in any and all capacities, to sign any amendments to this Report on Form 10-K and to file same, with exhibits thereto and other documents in connection therewith, with the Securities and Exchange Commission, hereby ratifying and confirming all that each of said attorneys-in-fact, or his substitutes, may do or cause to be done by virtue hereof.</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20" w:type="dxa"/>
            <w:vAlign w:val="bottom"/>
          </w:tcPr>
          <w:p>
            <w:pPr>
              <w:spacing w:after="0"/>
              <w:rPr>
                <w:sz w:val="22"/>
                <w:szCs w:val="22"/>
                <w:color w:val="auto"/>
              </w:rPr>
            </w:pPr>
          </w:p>
        </w:tc>
        <w:tc>
          <w:tcPr>
            <w:tcW w:w="5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2"/>
                <w:szCs w:val="22"/>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Lawrence Klein</w:t>
            </w:r>
          </w:p>
        </w:tc>
        <w:tc>
          <w:tcPr>
            <w:tcW w:w="120" w:type="dxa"/>
            <w:vAlign w:val="bottom"/>
          </w:tcPr>
          <w:p>
            <w:pPr>
              <w:spacing w:after="0"/>
              <w:rPr>
                <w:sz w:val="24"/>
                <w:szCs w:val="24"/>
                <w:color w:val="auto"/>
              </w:rPr>
            </w:pPr>
          </w:p>
        </w:tc>
        <w:tc>
          <w:tcPr>
            <w:tcW w:w="6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Chief Executive Officer &amp; 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2025</w:t>
            </w: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Lawrence Klein</w:t>
            </w:r>
          </w:p>
        </w:tc>
        <w:tc>
          <w:tcPr>
            <w:tcW w:w="120" w:type="dxa"/>
            <w:vAlign w:val="bottom"/>
          </w:tcPr>
          <w:p>
            <w:pPr>
              <w:spacing w:after="0"/>
              <w:rPr>
                <w:sz w:val="20"/>
                <w:szCs w:val="20"/>
                <w:color w:val="auto"/>
              </w:rPr>
            </w:pPr>
          </w:p>
        </w:tc>
        <w:tc>
          <w:tcPr>
            <w:tcW w:w="6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68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Arjun Agarwal</w:t>
            </w:r>
          </w:p>
        </w:tc>
        <w:tc>
          <w:tcPr>
            <w:tcW w:w="120" w:type="dxa"/>
            <w:vAlign w:val="bottom"/>
          </w:tcPr>
          <w:p>
            <w:pPr>
              <w:spacing w:after="0"/>
              <w:rPr>
                <w:sz w:val="24"/>
                <w:szCs w:val="24"/>
                <w:color w:val="auto"/>
              </w:rPr>
            </w:pPr>
          </w:p>
        </w:tc>
        <w:tc>
          <w:tcPr>
            <w:tcW w:w="6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Senior Vice President, Finance and Treasurer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2025</w:t>
            </w: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Arjun Agarwal</w:t>
            </w:r>
          </w:p>
        </w:tc>
        <w:tc>
          <w:tcPr>
            <w:tcW w:w="120" w:type="dxa"/>
            <w:vAlign w:val="bottom"/>
          </w:tcPr>
          <w:p>
            <w:pPr>
              <w:spacing w:after="0"/>
              <w:rPr>
                <w:sz w:val="20"/>
                <w:szCs w:val="20"/>
                <w:color w:val="auto"/>
              </w:rPr>
            </w:pPr>
          </w:p>
        </w:tc>
        <w:tc>
          <w:tcPr>
            <w:tcW w:w="6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c>
          <w:tcPr>
            <w:tcW w:w="168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Samarth Kulkarni</w:t>
            </w:r>
          </w:p>
        </w:tc>
        <w:tc>
          <w:tcPr>
            <w:tcW w:w="120" w:type="dxa"/>
            <w:vAlign w:val="bottom"/>
          </w:tcPr>
          <w:p>
            <w:pPr>
              <w:spacing w:after="0"/>
              <w:rPr>
                <w:sz w:val="24"/>
                <w:szCs w:val="24"/>
                <w:color w:val="auto"/>
              </w:rPr>
            </w:pPr>
          </w:p>
        </w:tc>
        <w:tc>
          <w:tcPr>
            <w:tcW w:w="6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2025</w:t>
            </w: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Samarth Kulkarni</w:t>
            </w:r>
          </w:p>
        </w:tc>
        <w:tc>
          <w:tcPr>
            <w:tcW w:w="1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Kristine Ball</w:t>
            </w:r>
          </w:p>
        </w:tc>
        <w:tc>
          <w:tcPr>
            <w:tcW w:w="120" w:type="dxa"/>
            <w:vAlign w:val="bottom"/>
          </w:tcPr>
          <w:p>
            <w:pPr>
              <w:spacing w:after="0"/>
              <w:rPr>
                <w:sz w:val="24"/>
                <w:szCs w:val="24"/>
                <w:color w:val="auto"/>
              </w:rPr>
            </w:pPr>
          </w:p>
        </w:tc>
        <w:tc>
          <w:tcPr>
            <w:tcW w:w="6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2025</w:t>
            </w: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Kristine Ball</w:t>
            </w:r>
          </w:p>
        </w:tc>
        <w:tc>
          <w:tcPr>
            <w:tcW w:w="1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Carl Dambkowski</w:t>
            </w:r>
          </w:p>
        </w:tc>
        <w:tc>
          <w:tcPr>
            <w:tcW w:w="120" w:type="dxa"/>
            <w:vAlign w:val="bottom"/>
          </w:tcPr>
          <w:p>
            <w:pPr>
              <w:spacing w:after="0"/>
              <w:rPr>
                <w:sz w:val="24"/>
                <w:szCs w:val="24"/>
                <w:color w:val="auto"/>
              </w:rPr>
            </w:pPr>
          </w:p>
        </w:tc>
        <w:tc>
          <w:tcPr>
            <w:tcW w:w="6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2025</w:t>
            </w: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Carl Dambkowski</w:t>
            </w:r>
          </w:p>
        </w:tc>
        <w:tc>
          <w:tcPr>
            <w:tcW w:w="1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Peter Harwin</w:t>
            </w:r>
          </w:p>
        </w:tc>
        <w:tc>
          <w:tcPr>
            <w:tcW w:w="120" w:type="dxa"/>
            <w:vAlign w:val="bottom"/>
          </w:tcPr>
          <w:p>
            <w:pPr>
              <w:spacing w:after="0"/>
              <w:rPr>
                <w:sz w:val="24"/>
                <w:szCs w:val="24"/>
                <w:color w:val="auto"/>
              </w:rPr>
            </w:pPr>
          </w:p>
        </w:tc>
        <w:tc>
          <w:tcPr>
            <w:tcW w:w="6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2025</w:t>
            </w: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Peter Harwin</w:t>
            </w:r>
          </w:p>
        </w:tc>
        <w:tc>
          <w:tcPr>
            <w:tcW w:w="1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Cameron Turtle</w:t>
            </w:r>
          </w:p>
        </w:tc>
        <w:tc>
          <w:tcPr>
            <w:tcW w:w="120" w:type="dxa"/>
            <w:vAlign w:val="bottom"/>
          </w:tcPr>
          <w:p>
            <w:pPr>
              <w:spacing w:after="0"/>
              <w:rPr>
                <w:sz w:val="24"/>
                <w:szCs w:val="24"/>
                <w:color w:val="auto"/>
              </w:rPr>
            </w:pPr>
          </w:p>
        </w:tc>
        <w:tc>
          <w:tcPr>
            <w:tcW w:w="6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2025</w:t>
            </w: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Cameron Turtle</w:t>
            </w:r>
          </w:p>
        </w:tc>
        <w:tc>
          <w:tcPr>
            <w:tcW w:w="1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637"/>
        </w:trPr>
        <w:tc>
          <w:tcPr>
            <w:tcW w:w="338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gridSpan w:val="2"/>
          </w:tcPr>
          <w:p>
            <w:pPr>
              <w:jc w:val="right"/>
              <w:ind w:right="361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12 OF THE SECURITIES EXCHANGE ACT OF 1934, AS AMENDED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the capital stock of Oruka Therapeutics, Inc. (“we,” “us,” “our” or the “Company”), as well as other material terms of certain provisions of the Delaware General Corporation Law (the “DGCL”), our second amended and restated certificate of incorporation (“Certificate of Incorporation”) and amended and restated bylaws (“Bylaws”), both of which have been filed as exhibits to our Annual Report on Form 10-K of which this Exhibit 4.1 is a part, and are incorporated by reference herein. This summary does not purport to be complete and is qualified in its entirety by the provisions of our Certificate of Incorporation and Bylaws. We encourage you to read our Certificate of Incorporation, our Bylaws, and the applicable provisions of the DGCL for more information.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545,000,000 shares of Common Stock, $0.001 par value per share, and 5,000,000 shares of preferred stock, $0.001 par value per share (“Preferred Stock”), of which 251,504 shares have been designated as Series B Preferred Stock, $0.001 par value per share (the “Series B Preferred Stock”).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there were 37,440,510 shares of our Common Stock and 137,138 shares of Series B Preferred Stock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authorizes the issuance of up to 545,000,000 shares of Common Stock. All outstanding shares of Common Stock are validly issued, fully paid and nonassessable.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our Common Stock are entitled to receive dividends out of funds legally available if our board of directors (our “Board”), in its discretion, determines to issue dividends and then only at the times and in the amounts that our Board may determine.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our Bylaws, holders of our Common Stock are entitled to one vote for each share held on all matters submitted to a vote of stockholders. We have not provided for cumulative voting for the election of directors in our Certificate of Incorporation. Accordingly, pursuant to our Certificate of Incorporation, holders of a majority of the shares of our Common Stock are able to elect all of our directors. Our Certificate of Incorporation establishes a classified Board, divided into three classes with staggered three-year terms. Only one class of directors will be elected at each annual meeting of our stockholders, with the other classes continuing for the remainder of their respective three-year terms.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preemptive or similar rights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conversion, redemption or sinking fund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i w:val="1"/>
          <w:iCs w:val="1"/>
          <w:color w:val="auto"/>
        </w:rPr>
        <w:t>Right to receive liquidation distributions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terms of our Certificate of Incorporation, our Board is authorized, subject to limitations prescribed by Delaware law, to issue up to 5,000,000 shares of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Subject to any certificates of designation, the Board can also increase or decrease the number of shares of any series of Preferred Stock, but not below the number of shares of that series then outstanding, without any further vote or action by our stockholders. Our Board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Preferred Stock</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Certain holders of our Series B Preferred Stock are entitled to receive dividends on shares of Series B Preferred Stock equal to, on an as-if-converted-to-common-stock basis, and in the same form as dividends actually paid on shares of our Common Stock. Except as provided in the Series B Certificate of Designation or as otherwise required by law, the Series B Preferred Stock does not have voting rights. However, as long as any shares of Series B Preferred Stock are outstanding, we will not, without the affirmative vote of the holders of a majority of the then outstanding shares of the Series B Preferred Stock: (a) (i) alter or change adversely the powers, preferences or rights given to the Series B Preferred Stock, (ii) alter or amend the Series B Certificate of Designation, or (iii) amend or repeal any provision of, or add any provision to, our Certificate of Incorporation or Bylaws in a manner that adversely affects any rights of the holders of the Series B Preferred Stock,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Series B Preferred Stock, regardless of whether any of the foregoing actions will be by means of amendment to the Certificate of Incorporation or by merger, consolidation, recapitalization, reclassification, conversion or otherwise, (b) issue further shares of Series B Preferred Stock beyond those contemplated for issuance in the Merger Agreement or increase or decrease (other than by conversion) the number of authorized shares of Series B Preferred Stock, (c) at any time while at least 30% of the originally issued Series B Preferred Stock remains issued and outstanding, consummate either: (x) any Fundamental Transaction (as defined in the Series B Certificate of Designation) or (y) any merger or consolidation of the Company with or into another entity or any stock sale to, or other business combination in which the stockholders of the Company immediately before such transaction do not hold at least a majority of our capital stock immediately after such transaction, or (d) enter into any agreement with respect to any of the foregoing. The Series B Preferred Stock shall rank on parity with the Common Stock as to the distribution of assets upon any liquidation, dissolution, or winding-up of the Company. Each share of Series B Preferred Stock is convertible at the option of the holder, at any time, and without the payment of additional consideration by the holder. As of December 31, 2024, each outstanding share of Series B Preferred Stock was convertible into common stock at a ratio of approximately 83.3332:1.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provisions of Delaware law, our Certificate of Incorporation and our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i w:val="1"/>
          <w:iCs w:val="1"/>
          <w:color w:val="auto"/>
        </w:rPr>
        <w:t>Delaware law</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In general, Section 203 prohibits a publicly-held Delaware corporation from engaging in a business combination with an interested stockholder for a period of three years following the date on which the person became an interested stockholder unless:</w:t>
      </w:r>
    </w:p>
    <w:p>
      <w:pPr>
        <w:spacing w:after="0" w:line="176" w:lineRule="exact"/>
        <w:rPr>
          <w:sz w:val="20"/>
          <w:szCs w:val="20"/>
          <w:color w:val="auto"/>
        </w:rPr>
      </w:pPr>
    </w:p>
    <w:p>
      <w:pPr>
        <w:ind w:left="980" w:hanging="324"/>
        <w:spacing w:after="0" w:line="282" w:lineRule="auto"/>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upon consummation of the transaction, excluding for purposes of determining the voting stock outstanding, but not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which is not owned by the interested stockholder.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225" w:lineRule="exact"/>
        <w:rPr>
          <w:sz w:val="20"/>
          <w:szCs w:val="20"/>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involving the interested stockholder of 10% or more of the assets of the corporation;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of any class or series of the corporation beneficially owned by the interested stockholder;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 of Incorporation and Bylaw Provisions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our Bylaws include a number of provisions that could deter hostile takeovers or delay or prevent changes in control of our Company, including the following:</w:t>
      </w:r>
    </w:p>
    <w:p>
      <w:pPr>
        <w:spacing w:after="0" w:line="158" w:lineRule="exact"/>
        <w:rPr>
          <w:sz w:val="20"/>
          <w:szCs w:val="20"/>
          <w:color w:val="auto"/>
        </w:rPr>
      </w:pPr>
    </w:p>
    <w:p>
      <w:pPr>
        <w:jc w:val="both"/>
        <w:ind w:left="980" w:hanging="324"/>
        <w:spacing w:after="0" w:line="257"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Board of Directors vacancies</w:t>
      </w:r>
      <w:r>
        <w:rPr>
          <w:rFonts w:ascii="Times New Roman" w:cs="Times New Roman" w:eastAsia="Times New Roman" w:hAnsi="Times New Roman"/>
          <w:sz w:val="18"/>
          <w:szCs w:val="18"/>
          <w:color w:val="auto"/>
        </w:rPr>
        <w:t>. Our Certificate of Incorporation and Bylaws require that the Board, and not stockholders, fill any directorships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become vacant or are created by an increase in the authorized number of directors by the affirmative vote of a majority of the remaining directors or by the sole remaining director. In addition, pursuant to our bylaws, the number of directors constituting our Board is permitted to be set only by a resolution adopted by a majority vote of the entire Board. These provisions prevent a stockholder from increasing the size of our Board and then gaining control of the Board by filling the resulting vacancies with its own nominees. This makes it more difficult to change the composition of the Board but promotes continuity of management.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9" w:name="page150"/>
    <w:bookmarkEnd w:id="149"/>
    <w:p>
      <w:pPr>
        <w:jc w:val="both"/>
        <w:ind w:left="980" w:hanging="324"/>
        <w:spacing w:after="0" w:line="268" w:lineRule="auto"/>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Classified board</w:t>
      </w:r>
      <w:r>
        <w:rPr>
          <w:rFonts w:ascii="Times New Roman" w:cs="Times New Roman" w:eastAsia="Times New Roman" w:hAnsi="Times New Roman"/>
          <w:sz w:val="18"/>
          <w:szCs w:val="18"/>
          <w:color w:val="auto"/>
        </w:rPr>
        <w:t>. Our Certificate of Incorporation provides that our Board is classified into three classes of directors, each with staggered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three-year terms.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170"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Stockholder action; special meetings of stockholders</w:t>
      </w:r>
      <w:r>
        <w:rPr>
          <w:rFonts w:ascii="Times New Roman" w:cs="Times New Roman" w:eastAsia="Times New Roman" w:hAnsi="Times New Roman"/>
          <w:sz w:val="18"/>
          <w:szCs w:val="18"/>
          <w:color w:val="auto"/>
        </w:rPr>
        <w:t>. Our Certificate of Incorporation and Bylaws provide that our stockholders may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take action by written consent, but may only take action at annual or special meetings of our stockholders. As a result, a holder controlling a majority of our capital stock would not be able to amend our Bylaws or remove directors without holding a meeting of our stockholders called in accordance with our Bylaws. Further, our Bylaws provide that special meetings of stockholders may be called only by the Board,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82"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r>
        <w:rPr>
          <w:rFonts w:ascii="Times New Roman" w:cs="Times New Roman" w:eastAsia="Times New Roman" w:hAnsi="Times New Roman"/>
          <w:sz w:val="18"/>
          <w:szCs w:val="18"/>
          <w:color w:val="auto"/>
        </w:rPr>
        <w:t>. Our Bylaws provide advance notice procedures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seeking to bring business before our annual meeting of stockholders or to nominate candidates for election as directors at our annual meeting of stockholders. Our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82"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cumulative voting</w:t>
      </w:r>
      <w:r>
        <w:rPr>
          <w:rFonts w:ascii="Times New Roman" w:cs="Times New Roman" w:eastAsia="Times New Roman" w:hAnsi="Times New Roman"/>
          <w:sz w:val="18"/>
          <w:szCs w:val="18"/>
          <w:color w:val="auto"/>
        </w:rPr>
        <w:t>. The DGCL provides that stockholders are not entitled to the right to cumulate votes in the election of directors unless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corporation’s certificate of incorporation provides otherwise. Our Certificate of Incorporation and Bylaws do not provide for cumulative voting.</w:t>
      </w:r>
    </w:p>
    <w:p>
      <w:pPr>
        <w:spacing w:after="0" w:line="170"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Directors removed only for cause</w:t>
      </w:r>
      <w:r>
        <w:rPr>
          <w:rFonts w:ascii="Times New Roman" w:cs="Times New Roman" w:eastAsia="Times New Roman" w:hAnsi="Times New Roman"/>
          <w:sz w:val="18"/>
          <w:szCs w:val="18"/>
          <w:color w:val="auto"/>
        </w:rPr>
        <w:t>. Our Bylaws provide that stockholders may remove directors only for cause, and only by the affirmative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vote of the holders of at least 66 2/3% of the voting power of the stock outstanding and entitled to vote generally in the election of directors.</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Amendment of charter provisions</w:t>
      </w:r>
      <w:r>
        <w:rPr>
          <w:rFonts w:ascii="Times New Roman" w:cs="Times New Roman" w:eastAsia="Times New Roman" w:hAnsi="Times New Roman"/>
          <w:sz w:val="18"/>
          <w:szCs w:val="18"/>
          <w:color w:val="auto"/>
        </w:rPr>
        <w:t>. Any amendment of the above provisions in our Certificate of Incorporation requires approval by 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at least two-thirds of our outstanding Common Stock.</w:t>
      </w:r>
    </w:p>
    <w:p>
      <w:pPr>
        <w:spacing w:after="0" w:line="154"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Issuance of Preferred Stock</w:t>
      </w:r>
      <w:r>
        <w:rPr>
          <w:rFonts w:ascii="Times New Roman" w:cs="Times New Roman" w:eastAsia="Times New Roman" w:hAnsi="Times New Roman"/>
          <w:sz w:val="18"/>
          <w:szCs w:val="18"/>
          <w:color w:val="auto"/>
        </w:rPr>
        <w:t>. Our Board has the authority, without further action by the stockholders, to issue up to 5,000,000 shares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Preferred Stock with rights and preferences, including voting rights, designated from time to time by our Board. The existence of authorized but unissued shares of Preferred Stock enables our Board to render more difficult or to discourage an attempt to obtain control of us by merger, tender offer, proxy contest or other means.</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Choice of forum</w:t>
      </w:r>
      <w:r>
        <w:rPr>
          <w:rFonts w:ascii="Times New Roman" w:cs="Times New Roman" w:eastAsia="Times New Roman" w:hAnsi="Times New Roman"/>
          <w:sz w:val="18"/>
          <w:szCs w:val="18"/>
          <w:color w:val="auto"/>
        </w:rPr>
        <w:t>. Our Certificate of Incorporation and Bylaws provide that the Court of Chancery of the State of Delaware is the sole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exclusive forum for any complaint asserting any internal corporate claims. In addition, our Bylaws also provide that the federal district courts of the United States are the exclusive forum for the resolution of any complaint asserting a cause of action arising under the Securities Act. These choice of forum provisions do not apply to claims brought to enforce a duty or liability created by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and Series B Preferred Stock is Computershare Trust Company, N.A. The transfer agent’s address is 150 Royall Street, Suite 101, Canton, MA 02021, and its telephone number is (800) 344-5128.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“ORKA.”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0" w:name="page151"/>
    <w:bookmarkEnd w:id="150"/>
    <w:p>
      <w:pPr>
        <w:ind w:left="10400"/>
        <w:spacing w:after="0"/>
        <w:rPr>
          <w:sz w:val="20"/>
          <w:szCs w:val="20"/>
          <w:color w:val="auto"/>
        </w:rPr>
      </w:pPr>
      <w:r>
        <w:rPr>
          <w:rFonts w:ascii="Times New Roman" w:cs="Times New Roman" w:eastAsia="Times New Roman" w:hAnsi="Times New Roman"/>
          <w:sz w:val="17"/>
          <w:szCs w:val="17"/>
          <w:b w:val="1"/>
          <w:bCs w:val="1"/>
          <w:color w:val="auto"/>
        </w:rPr>
        <w:t>Exhibit 4.3</w:t>
      </w: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OFFER AND SALE OF THESE SECURITIES AND THE SECURITIES ISSUABLE UPON EXERCISE OF THESE SECURITIES HAVE NOT BEEN REGISTERED UNDER THE SECURITIES ACT OF 1933, AS AMENDED (THE “SECURITIES ACT”), OR ANY APPLICABLE STATE SECURITIES LAWS. THE SECURITIES MAY NOT BE OFFERED FOR SALE, SOLD, TRANSFERRED, ASSIGNED OR OTHERWISE DISPOSED OF (I) IN THE ABSENCE OF (A) AN EFFECTIVE REGISTRATION STATEMENT FOR THE SECURITIES UNDER THE SECURITIES ACT OR (B) AN AVAILABLE EXEMPTION FROM, OR IN A TRANSACTION NOT SUBJECT TO, THE REGISTRATION REQUIREMENTS OF THE SECURITIES ACT AND IN EACH CASE IN ACCORDANCE WITH APPLICABLE STATE SECURITIES LAWS OR BLUE SKY LAWS AS EVIDENCED BY A LEGAL OPINION OF COUNSEL REASONABLY SATISFACTORY TO THE COMPANY AND ITS TRANSFER AGENT OR (II) UNLESS SOLD PURSUANT TO RULE 144 UNDER THE SECURITIES ACT. NOTWITHSTANDING THE FOREGOING, THE SECURITIES MAY BE PLEDGED IN CONNECTION WITH A BONA FIDE MARGIN ACCOUNT OR OTHER LOAN OR FINANCING ARRANGEMENT SECURED BY THE SECURITIES; PROVIDED, THAT IN CONNECTION WITH ANY FORECLOSURE OR TRANSFER OF THE SECURITIES, THE TRANSFEROR SHALL COMPLY WITH THE PROVISIONS HEREIN AND IN THE SECURITIES PURCHASE AGREEMENT, AND UPON FORECLOSURE OR TRANSFER OF THE SECURITIES, SUCH FORECLOSING PERSON OR TRANSFEREE SHALL COMPLY WITH ALL PROVISIONS CONTAINED HEREIN AND IN THE SECURITIES PURCHASE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ORUKA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WARRANT TO PURCHASE COMMON STOCK</w:t>
      </w:r>
    </w:p>
    <w:p>
      <w:pPr>
        <w:sectPr>
          <w:pgSz w:w="11900" w:h="16838" w:orient="portrait"/>
          <w:cols w:equalWidth="0" w:num="1">
            <w:col w:w="11240"/>
          </w:cols>
          <w:pgMar w:left="320" w:top="117" w:right="339" w:bottom="1440" w:gutter="0" w:footer="0" w:header="0"/>
        </w:sect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Warrant No. W-[001]</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Issue Date: August 29, 2024</w:t>
      </w:r>
    </w:p>
    <w:p>
      <w:pPr>
        <w:spacing w:after="0" w:line="200" w:lineRule="exact"/>
        <w:rPr>
          <w:sz w:val="20"/>
          <w:szCs w:val="20"/>
          <w:color w:val="auto"/>
        </w:rPr>
      </w:pPr>
    </w:p>
    <w:p>
      <w:pPr>
        <w:sectPr>
          <w:pgSz w:w="11900" w:h="16838" w:orient="portrait"/>
          <w:cols w:equalWidth="0" w:num="2">
            <w:col w:w="7820" w:space="720"/>
            <w:col w:w="2700"/>
          </w:cols>
          <w:pgMar w:left="320" w:top="117" w:right="3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Oruka Therapeutics,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hereby certifies that, for value received, [___________] or its permitted registered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assigns (the “</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is entitled to purchase from the Company up to a total of [___________] shares of common stock, $0.0001 par value per share (the</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of the Company (each such share, a “</w:t>
      </w:r>
      <w:r>
        <w:rPr>
          <w:rFonts w:ascii="Times New Roman" w:cs="Times New Roman" w:eastAsia="Times New Roman" w:hAnsi="Times New Roman"/>
          <w:sz w:val="18"/>
          <w:szCs w:val="18"/>
          <w:i w:val="1"/>
          <w:iCs w:val="1"/>
          <w:color w:val="auto"/>
        </w:rPr>
        <w:t>Warrant Share</w:t>
      </w:r>
      <w:r>
        <w:rPr>
          <w:rFonts w:ascii="Times New Roman" w:cs="Times New Roman" w:eastAsia="Times New Roman" w:hAnsi="Times New Roman"/>
          <w:sz w:val="18"/>
          <w:szCs w:val="18"/>
          <w:color w:val="auto"/>
        </w:rPr>
        <w:t>” and all such shares, the “</w:t>
      </w:r>
      <w:r>
        <w:rPr>
          <w:rFonts w:ascii="Times New Roman" w:cs="Times New Roman" w:eastAsia="Times New Roman" w:hAnsi="Times New Roman"/>
          <w:sz w:val="18"/>
          <w:szCs w:val="18"/>
          <w:i w:val="1"/>
          <w:iCs w:val="1"/>
          <w:color w:val="auto"/>
        </w:rPr>
        <w:t>Warrant Shares</w:t>
      </w:r>
      <w:r>
        <w:rPr>
          <w:rFonts w:ascii="Times New Roman" w:cs="Times New Roman" w:eastAsia="Times New Roman" w:hAnsi="Times New Roman"/>
          <w:sz w:val="18"/>
          <w:szCs w:val="18"/>
          <w:color w:val="auto"/>
        </w:rPr>
        <w:t xml:space="preserve">”) at an exercise price per share equal to $0.01 per share (as adjusted from time to time as 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herein, the “</w:t>
      </w: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at any time and from time to time on or after August 29, 2024(the “</w:t>
      </w:r>
      <w:r>
        <w:rPr>
          <w:rFonts w:ascii="Times New Roman" w:cs="Times New Roman" w:eastAsia="Times New Roman" w:hAnsi="Times New Roman"/>
          <w:sz w:val="18"/>
          <w:szCs w:val="18"/>
          <w:i w:val="1"/>
          <w:iCs w:val="1"/>
          <w:color w:val="auto"/>
        </w:rPr>
        <w:t>Original Issue Date</w:t>
      </w:r>
      <w:r>
        <w:rPr>
          <w:rFonts w:ascii="Times New Roman" w:cs="Times New Roman" w:eastAsia="Times New Roman" w:hAnsi="Times New Roman"/>
          <w:sz w:val="18"/>
          <w:szCs w:val="18"/>
          <w:color w:val="auto"/>
        </w:rPr>
        <w:t>”) and until this Pre-Funded Warrant is exercised in full (the “</w:t>
      </w:r>
      <w:r>
        <w:rPr>
          <w:rFonts w:ascii="Times New Roman" w:cs="Times New Roman" w:eastAsia="Times New Roman" w:hAnsi="Times New Roman"/>
          <w:sz w:val="18"/>
          <w:szCs w:val="18"/>
          <w:i w:val="1"/>
          <w:iCs w:val="1"/>
          <w:color w:val="auto"/>
        </w:rPr>
        <w:t>Expiration Date</w:t>
      </w:r>
      <w:r>
        <w:rPr>
          <w:rFonts w:ascii="Times New Roman" w:cs="Times New Roman" w:eastAsia="Times New Roman" w:hAnsi="Times New Roman"/>
          <w:sz w:val="18"/>
          <w:szCs w:val="18"/>
          <w:color w:val="auto"/>
        </w:rPr>
        <w:t>”), and subject to the following terms and conditions:</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This Pre-Funded Warrant (this “</w:t>
      </w:r>
      <w:r>
        <w:rPr>
          <w:rFonts w:ascii="Times New Roman" w:cs="Times New Roman" w:eastAsia="Times New Roman" w:hAnsi="Times New Roman"/>
          <w:sz w:val="18"/>
          <w:szCs w:val="18"/>
          <w:i w:val="1"/>
          <w:iCs w:val="1"/>
          <w:color w:val="auto"/>
        </w:rPr>
        <w:t>Warrant</w:t>
      </w:r>
      <w:r>
        <w:rPr>
          <w:rFonts w:ascii="Times New Roman" w:cs="Times New Roman" w:eastAsia="Times New Roman" w:hAnsi="Times New Roman"/>
          <w:sz w:val="18"/>
          <w:szCs w:val="18"/>
          <w:color w:val="auto"/>
        </w:rPr>
        <w:t>”) is one of a series of similar warrants issued pursuant to that certain Subscription Agreement, dated April 3, 2024, by and among the Company and the Purchasers identified therein (the “</w:t>
      </w:r>
      <w:r>
        <w:rPr>
          <w:rFonts w:ascii="Times New Roman" w:cs="Times New Roman" w:eastAsia="Times New Roman" w:hAnsi="Times New Roman"/>
          <w:sz w:val="18"/>
          <w:szCs w:val="18"/>
          <w:i w:val="1"/>
          <w:iCs w:val="1"/>
          <w:color w:val="auto"/>
        </w:rPr>
        <w:t>Purchase Agreement</w:t>
      </w:r>
      <w:r>
        <w:rPr>
          <w:rFonts w:ascii="Times New Roman" w:cs="Times New Roman" w:eastAsia="Times New Roman" w:hAnsi="Times New Roman"/>
          <w:sz w:val="18"/>
          <w:szCs w:val="18"/>
          <w:color w:val="auto"/>
        </w:rPr>
        <w:t>”). All such Warrants are referred to herein, collectively, as the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firstLine="8"/>
        <w:spacing w:after="0" w:line="282" w:lineRule="auto"/>
        <w:tabs>
          <w:tab w:leader="none" w:pos="1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Warrant, capitalized terms that are not otherwise defined herein have the meanings given to such terms in the Purchase Agreement.</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1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Warrants</w:t>
      </w:r>
      <w:r>
        <w:rPr>
          <w:rFonts w:ascii="Times New Roman" w:cs="Times New Roman" w:eastAsia="Times New Roman" w:hAnsi="Times New Roman"/>
          <w:sz w:val="18"/>
          <w:szCs w:val="18"/>
          <w:color w:val="auto"/>
        </w:rPr>
        <w:t>. The Company shall register this Warrant, upon records to be maintained by or on behalf of the Company for that purpose (the “</w:t>
      </w:r>
      <w:r>
        <w:rPr>
          <w:rFonts w:ascii="Times New Roman" w:cs="Times New Roman" w:eastAsia="Times New Roman" w:hAnsi="Times New Roman"/>
          <w:sz w:val="18"/>
          <w:szCs w:val="18"/>
          <w:i w:val="1"/>
          <w:iCs w:val="1"/>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registered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1" w:name="page152"/>
    <w:bookmarkEnd w:id="151"/>
    <w:p>
      <w:pPr>
        <w:jc w:val="both"/>
        <w:ind w:firstLine="8"/>
        <w:spacing w:after="0" w:line="253" w:lineRule="auto"/>
        <w:tabs>
          <w:tab w:leader="none" w:pos="1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Transfers</w:t>
      </w:r>
      <w:r>
        <w:rPr>
          <w:rFonts w:ascii="Times New Roman" w:cs="Times New Roman" w:eastAsia="Times New Roman" w:hAnsi="Times New Roman"/>
          <w:sz w:val="18"/>
          <w:szCs w:val="18"/>
          <w:color w:val="auto"/>
        </w:rPr>
        <w:t xml:space="preserve">. Subject to the restrictions on transfer set forth in Section 7.01 of the Purchase Agreement and compliance with all applicable securities laws, the Company shall register the transfer of all or any portion of this Warrant in the Warrant Register, upon surrender of this Warrant, with the Form of Assignment attached as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hereto duly completed and signed, to the Company’s transfer agent or to the Company at its address specified in the Purchase Agreement and (x) delivery, at the request of the Company, of an opinion of counsel reasonably satisfactory to the Company to the effect that the transfer of such portion of this Warrant may be made pursuant to an available exemption from the registration requirements of the Securities Act and all applicable state securities or blue sky laws and (y) delivery by the transferee of a written statement to the Company certifying that the transferee is an “accredited investor” as defined in Rule 501(a) under the Securities Act and making the representations and certifications set forth in Section 3 of the Purchase Agreement, to the Company at its address specified in the Purchase Agreement. Upon any such registration or transfer, a new warrant to purchase Common Stock in substantially the form of this Warrant (any such new warrant, a “</w:t>
      </w:r>
      <w:r>
        <w:rPr>
          <w:rFonts w:ascii="Times New Roman" w:cs="Times New Roman" w:eastAsia="Times New Roman" w:hAnsi="Times New Roman"/>
          <w:sz w:val="18"/>
          <w:szCs w:val="18"/>
          <w:i w:val="1"/>
          <w:iCs w:val="1"/>
          <w:color w:val="auto"/>
        </w:rPr>
        <w:t>New Warrant</w:t>
      </w:r>
      <w:r>
        <w:rPr>
          <w:rFonts w:ascii="Times New Roman" w:cs="Times New Roman" w:eastAsia="Times New Roman" w:hAnsi="Times New Roman"/>
          <w:sz w:val="18"/>
          <w:szCs w:val="18"/>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prepare, issue and deliver at its own expense any New Warrant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and Duration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61" w:lineRule="auto"/>
        <w:tabs>
          <w:tab w:leader="none" w:pos="24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or any part of this Warrant shall be exercisable by the registered Holder in any manner permitted by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this Warrant at any time and from time to time on or after the Original Issue Date and through and including 5:30 P.M., New York City time, on the Expiration Date, subject to the conditions and restrictions contained in this Warrant. At 5:30 P.M., New York City time, on the Expiration Date, the portion of this Warrant not exercised prior thereto shall be and become void and of no value and this Warrant shall be terminated and no longer outstanding.</w:t>
      </w:r>
    </w:p>
    <w:p>
      <w:pPr>
        <w:spacing w:after="0" w:line="177" w:lineRule="exact"/>
        <w:rPr>
          <w:rFonts w:ascii="Times New Roman" w:cs="Times New Roman" w:eastAsia="Times New Roman" w:hAnsi="Times New Roman"/>
          <w:sz w:val="18"/>
          <w:szCs w:val="18"/>
          <w:color w:val="auto"/>
        </w:rPr>
      </w:pPr>
    </w:p>
    <w:p>
      <w:pPr>
        <w:jc w:val="both"/>
        <w:ind w:firstLine="8"/>
        <w:spacing w:after="0" w:line="252" w:lineRule="auto"/>
        <w:tabs>
          <w:tab w:leader="none" w:pos="27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may exercise this Warrant by delivering to the Company (i) an exercise notice, in the form attached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i w:val="1"/>
          <w:iCs w:val="1"/>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 completed and duly signed, and (ii) payment of the Exercise Price for the number of Warrant Shares as to which this Warrant is being exercised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may take the form of a “cashless exercise” if so indicated in the Exercise Notice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The date on which the Exercise Notice is delivered to the Company (as determined in accordance with the notice provisions hereof) is an “</w:t>
      </w:r>
      <w:r>
        <w:rPr>
          <w:rFonts w:ascii="Times New Roman" w:cs="Times New Roman" w:eastAsia="Times New Roman" w:hAnsi="Times New Roman"/>
          <w:sz w:val="18"/>
          <w:szCs w:val="18"/>
          <w:i w:val="1"/>
          <w:iCs w:val="1"/>
          <w:color w:val="auto"/>
        </w:rPr>
        <w:t>Exercise Date</w:t>
      </w:r>
      <w:r>
        <w:rPr>
          <w:rFonts w:ascii="Times New Roman" w:cs="Times New Roman" w:eastAsia="Times New Roman" w:hAnsi="Times New Roman"/>
          <w:sz w:val="18"/>
          <w:szCs w:val="18"/>
          <w:color w:val="auto"/>
        </w:rPr>
        <w:t>.” Within two (2) days following the delivery of the Exercise Notice (the “</w:t>
      </w:r>
      <w:r>
        <w:rPr>
          <w:rFonts w:ascii="Times New Roman" w:cs="Times New Roman" w:eastAsia="Times New Roman" w:hAnsi="Times New Roman"/>
          <w:sz w:val="18"/>
          <w:szCs w:val="18"/>
          <w:i w:val="1"/>
          <w:iCs w:val="1"/>
          <w:color w:val="auto"/>
        </w:rPr>
        <w:t>Payment Deadline</w:t>
      </w:r>
      <w:r>
        <w:rPr>
          <w:rFonts w:ascii="Times New Roman" w:cs="Times New Roman" w:eastAsia="Times New Roman" w:hAnsi="Times New Roman"/>
          <w:sz w:val="18"/>
          <w:szCs w:val="18"/>
          <w:color w:val="auto"/>
        </w:rPr>
        <w:t>”), the Holder shall make payment with respect to the Exercise Price for the number of Warrant Shares as to which this Warrant is being exercised (which may take the form of a “cashless exercise” if so indicated in the Exercise Notice); provided that the Company’s obligations to deliver such Warrant Shares shall be delayed on a day-for-day basis each day after the Payment Deadline such payment of the Exercise Price is not paid. The delivery by (or on behalf of) the Holder of the Exercise Notice and the applicable Exercise Price as provided above shall constitute the Holder’s certification to the Company that its representations contained in Sections 3.01 and 3.03 through 3.08 of the Purchase Agreement are true and correct as of the Exercise Date as if remade in their entirety (or, in the case of any transferee Holder that is not a party to the Purchase Agreement, such transferee Holder’s certification to the Company that such representations are true and correct as to such transferee Holder as of the Exercise Date).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the final Exercise Notice is delivered to the Company; provided that delivery of an electronic copy of the Warrant for surrender shall be sufficient and Holder shall not be required to surrender any physical copy of the Warrant, provide a medallion or other bank guarantee or take any similar action in connection therewith. Execution and delivery of the Exercise Notice shall have the same effect as cancellation of the original Warrant and issuance of a New Warrant evidencing the right to purchase the remaining number of Warrant Shares, if any. For purposes hereof, “</w:t>
      </w:r>
      <w:r>
        <w:rPr>
          <w:rFonts w:ascii="Times New Roman" w:cs="Times New Roman" w:eastAsia="Times New Roman" w:hAnsi="Times New Roman"/>
          <w:sz w:val="18"/>
          <w:szCs w:val="18"/>
          <w:i w:val="1"/>
          <w:iCs w:val="1"/>
          <w:color w:val="auto"/>
        </w:rPr>
        <w:t>Trading Day</w:t>
      </w:r>
      <w:r>
        <w:rPr>
          <w:rFonts w:ascii="Times New Roman" w:cs="Times New Roman" w:eastAsia="Times New Roman" w:hAnsi="Times New Roman"/>
          <w:sz w:val="18"/>
          <w:szCs w:val="18"/>
          <w:color w:val="auto"/>
        </w:rPr>
        <w:t>” means (i) if the Warrant Shares are traded on a National Exchange, any day on which the Warrant Share is traded on a National Exchange or (ii) if the Warrant Shares are not traded on a National Exchange, a Business Day.</w:t>
      </w:r>
    </w:p>
    <w:p>
      <w:pPr>
        <w:spacing w:after="0" w:line="192" w:lineRule="exact"/>
        <w:rPr>
          <w:rFonts w:ascii="Times New Roman" w:cs="Times New Roman" w:eastAsia="Times New Roman" w:hAnsi="Times New Roman"/>
          <w:sz w:val="18"/>
          <w:szCs w:val="18"/>
          <w:color w:val="auto"/>
        </w:rPr>
      </w:pPr>
    </w:p>
    <w:p>
      <w:pPr>
        <w:jc w:val="both"/>
        <w:ind w:firstLine="8"/>
        <w:spacing w:after="0" w:line="258" w:lineRule="auto"/>
        <w:tabs>
          <w:tab w:leader="none" w:pos="2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exercise price of this Warrant, except for a nominal exercise price of $0.01 per Warrant Share, was pre-funded to the Company on or prior to the Original Issue Date and, consequently, no additional consideration (other than the nominal Exercise Price)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Expiration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ind w:left="180" w:hanging="172"/>
        <w:spacing w:after="0"/>
        <w:tabs>
          <w:tab w:leader="none" w:pos="1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52" w:lineRule="auto"/>
        <w:tabs>
          <w:tab w:leader="none" w:pos="24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upon exercise of this Warrant, the Company shall promptly (but no later than two (2) Trading Days after the Exercise Date (or three (3) Trading Days after the Exercise Date if the last of the Exercise Notice, the Exercise Price (if applicable) and the opinion of counsel referred to below in this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(if applicable) is delivered after 5:00 P.M., New York City time, on the Exercise Date) or as soon as reasonably practicable in the event that a certificate is requested) issue or cause to be issued and cause to be delivered to or upon the written order of the Holder and in such name or names as the Holder may designate (provided that, if the Holder directs the Company to deliver a certificate for the Warrant Shares in a name other than that of the Holder or an Affiliate of the Holder, it shall deliver to the Company on the Exercise Date an opinion of counsel reasonably satisfactory to the Company to the effect that the issuance of such Warrant Shares in such other name may be made pursuant to an available exemption from the registration requirements of the Securities Act and all applicable state securities or blue sky laws), (i) an electronic delivery of the Warrant Shares to the Holder’s account at the Depository Trust Company (“</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or a similar organization, or (ii), if requested by the Holder, a certificate for the Warrant Shares issuable upon such exercise, free of restrictive legends, unless in the case of clause (i) and (ii) a registration statement covering the resale of the Warrant Shares and naming the Holder as a selling stockholder thereunder is not then effective or the Warrant Shares are not freely transferable without volume and manner of sale restrictions pursuant to Rule 144 under the Securities Act, in which case such Holder shall receive a book-entry notation for the Warrant Shares issuable upon such exercise with appropriate restrictive legends. The Holder, or any Person permissibly so designated by the Holder to receive Warrant Shares, shall be deemed to have become the holder of record of such Warrant Shares as of the Exercise Date. If the Warrant Shares are to be issued free of all restrictive legends, the Company shall, upon the written request of the Holder, use its commercially reasonable efforts to deliver, or cause to be delivered, Warrant Shares hereunder electronically through DTC or another established clearing corporation performing similar functions, if available; provided, that, the Company may, but will not be required to, change its transfer agent if its current transfer agent cannot deliver Warrant Shares electronically through such a clearing corporation.</w:t>
      </w:r>
    </w:p>
    <w:p>
      <w:pPr>
        <w:spacing w:after="0" w:line="191" w:lineRule="exact"/>
        <w:rPr>
          <w:rFonts w:ascii="Times New Roman" w:cs="Times New Roman" w:eastAsia="Times New Roman" w:hAnsi="Times New Roman"/>
          <w:sz w:val="18"/>
          <w:szCs w:val="18"/>
          <w:color w:val="auto"/>
        </w:rPr>
      </w:pPr>
    </w:p>
    <w:p>
      <w:pPr>
        <w:jc w:val="both"/>
        <w:ind w:firstLine="8"/>
        <w:spacing w:after="0" w:line="266" w:lineRule="auto"/>
        <w:tabs>
          <w:tab w:leader="none" w:pos="27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law, the Company’s obligations to issue and deliver Warrant Shares in accordance with and subject to the terms hereof (including the limitations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w:t>
      </w:r>
    </w:p>
    <w:p>
      <w:pPr>
        <w:spacing w:after="0" w:line="175" w:lineRule="exact"/>
        <w:rPr>
          <w:rFonts w:ascii="Times New Roman" w:cs="Times New Roman" w:eastAsia="Times New Roman" w:hAnsi="Times New Roman"/>
          <w:sz w:val="18"/>
          <w:szCs w:val="18"/>
          <w:color w:val="auto"/>
        </w:rPr>
      </w:pPr>
    </w:p>
    <w:p>
      <w:pPr>
        <w:jc w:val="both"/>
        <w:ind w:firstLine="8"/>
        <w:spacing w:after="0" w:line="252" w:lineRule="auto"/>
        <w:tabs>
          <w:tab w:leader="none" w:pos="25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rights available to the Holder, if the Company fails to cause its transfer agent to transmit to the Holder the Warrant Shares in accordance with the provisions of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above pursuant to an exercise on or before the deadline set forth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and if, after such date, the Holder is required by its broker to purchase (in an open market transaction or otherwise) or the Holder’s brokerage firm otherwise purchases,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i w:val="1"/>
          <w:iCs w:val="1"/>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Warrant Shares upon exercise of the Warrant as required pursuant to the terms hereof.</w:t>
      </w:r>
    </w:p>
    <w:p>
      <w:pPr>
        <w:spacing w:after="0" w:line="197" w:lineRule="exact"/>
        <w:rPr>
          <w:sz w:val="20"/>
          <w:szCs w:val="20"/>
          <w:color w:val="auto"/>
        </w:rPr>
      </w:pPr>
    </w:p>
    <w:p>
      <w:pPr>
        <w:jc w:val="both"/>
        <w:ind w:firstLine="8"/>
        <w:spacing w:after="0" w:line="258" w:lineRule="auto"/>
        <w:tabs>
          <w:tab w:leader="none" w:pos="1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and delivery of the Warrant Shares upon exercise of this Warrant shall be made without charge to the Holder for any issue or transfer tax, transfer agent fee or other incidental tax or expense in respect of the issuance of the Warrant Shares, all of which taxes and expenses shall be paid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pay any tax that may be payable in respect of any transfer involved in the registration Warrant Shares or the Warrants in a name other than that of the Holder or an Affiliate thereof. The Holder shall be responsible for all other tax liabilities that may arise as a result of holding or transferring this Warrant or receiving Warrant Shares upon exercise 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jc w:val="both"/>
        <w:ind w:firstLine="8"/>
        <w:spacing w:after="0" w:line="255" w:lineRule="auto"/>
        <w:tabs>
          <w:tab w:leader="none" w:pos="20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Warrant</w:t>
      </w:r>
      <w:r>
        <w:rPr>
          <w:rFonts w:ascii="Times New Roman" w:cs="Times New Roman" w:eastAsia="Times New Roman" w:hAnsi="Times New Roman"/>
          <w:sz w:val="18"/>
          <w:szCs w:val="18"/>
          <w:color w:val="auto"/>
        </w:rPr>
        <w: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and surety bond, if requested by the Company.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w:t>
      </w:r>
    </w:p>
    <w:p>
      <w:pPr>
        <w:spacing w:after="0" w:line="188" w:lineRule="exact"/>
        <w:rPr>
          <w:rFonts w:ascii="Times New Roman" w:cs="Times New Roman" w:eastAsia="Times New Roman" w:hAnsi="Times New Roman"/>
          <w:sz w:val="18"/>
          <w:szCs w:val="18"/>
          <w:color w:val="auto"/>
        </w:rPr>
      </w:pPr>
    </w:p>
    <w:p>
      <w:pPr>
        <w:jc w:val="both"/>
        <w:ind w:firstLine="8"/>
        <w:spacing w:after="0" w:line="254" w:lineRule="auto"/>
        <w:tabs>
          <w:tab w:leader="none" w:pos="19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Warrant Shares</w:t>
      </w:r>
      <w:r>
        <w:rPr>
          <w:rFonts w:ascii="Times New Roman" w:cs="Times New Roman" w:eastAsia="Times New Roman" w:hAnsi="Times New Roman"/>
          <w:sz w:val="18"/>
          <w:szCs w:val="18"/>
          <w:color w:val="auto"/>
        </w:rPr>
        <w:t xml:space="preserve">. The Company covenants that it will at all times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The Company covenants that all Warrant Shares so issuable and deliverable shall, upon issuance and the payment of the applicable Exercise Price (or upon a “cashless exercise”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in accordance with the terms hereof, be duly and validly authorized, issued and fully paid and nonassessable. The Company will take all commercially reasonable actions as may be necessary to assure that such shares of Common Stock may be issued as provided herein without violation of any applicable law or regulation, or of any requirements of any securities exchange or automated quotation system upon which the Common Stock may be listed.</w:t>
      </w:r>
    </w:p>
    <w:p>
      <w:pPr>
        <w:spacing w:after="0" w:line="188" w:lineRule="exact"/>
        <w:rPr>
          <w:rFonts w:ascii="Times New Roman" w:cs="Times New Roman" w:eastAsia="Times New Roman" w:hAnsi="Times New Roman"/>
          <w:sz w:val="18"/>
          <w:szCs w:val="18"/>
          <w:color w:val="auto"/>
        </w:rPr>
      </w:pPr>
    </w:p>
    <w:p>
      <w:pPr>
        <w:ind w:firstLine="8"/>
        <w:spacing w:after="0" w:line="282" w:lineRule="auto"/>
        <w:tabs>
          <w:tab w:leader="none" w:pos="19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 xml:space="preserve">. The Exercise Price and number of Warrant Shares issuable upon exercise of this Warrant are subject to adjustment from time to time as set forth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8"/>
        <w:spacing w:after="0" w:line="254" w:lineRule="auto"/>
        <w:tabs>
          <w:tab w:leader="none" w:pos="24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on its Common Stock or otherwise makes a distribution on any class of capital stock that is payable in shares of Common Stock, (ii) subdivides its outstanding shares of Common Stock into a larger number of shares, or (iii) combines its outstanding shares of Common Stock into a smaller number of shares, then in each such case, the Exercise Price shall be multiplied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and any adjustment pursuant to clause (ii) or (iii) of this paragraph shall become effective immediately after the effective date of such subdivision or combination.</w:t>
      </w:r>
    </w:p>
    <w:p>
      <w:pPr>
        <w:spacing w:after="0" w:line="19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If the Company, at any time while this Warrant is outstanding, distributes to all holders of Common Stock for no consideration</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4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evidences of its indebtedness, (ii) any security (other than a distribution of Common Stock covered by the preceding paragraph) or (iii) rights or warrants to subscribe for or purchase any security, or (iv) any other asset (in each case, “</w:t>
      </w:r>
      <w:r>
        <w:rPr>
          <w:rFonts w:ascii="Times New Roman" w:cs="Times New Roman" w:eastAsia="Times New Roman" w:hAnsi="Times New Roman"/>
          <w:sz w:val="18"/>
          <w:szCs w:val="18"/>
          <w:i w:val="1"/>
          <w:iCs w:val="1"/>
          <w:color w:val="auto"/>
        </w:rPr>
        <w:t>Distributed Property</w:t>
      </w:r>
      <w:r>
        <w:rPr>
          <w:rFonts w:ascii="Times New Roman" w:cs="Times New Roman" w:eastAsia="Times New Roman" w:hAnsi="Times New Roman"/>
          <w:sz w:val="18"/>
          <w:szCs w:val="18"/>
          <w:color w:val="auto"/>
        </w:rPr>
        <w:t xml:space="preserve">”), then, upon any exercise of this Warrant that occurs after the record date fixed for determination of stockholders entitled to receive such distribution, the Holder shall be entitled to receive, in addition to the Warrant Shares otherwise issuable upon such exercise (if applicable), the Distributed Property that such Holder would have been entitled to receive in respect of such number of Warrant Shares had the Holder been the record holder of such Warrant Shares immediately prior to such record date without regard to any limitation on exercise contained therein. Notwithstanding anything herein to the contrary, the foregoing provisions in this </w:t>
      </w:r>
      <w:r>
        <w:rPr>
          <w:rFonts w:ascii="Times New Roman" w:cs="Times New Roman" w:eastAsia="Times New Roman" w:hAnsi="Times New Roman"/>
          <w:sz w:val="18"/>
          <w:szCs w:val="18"/>
          <w:u w:val="single" w:color="auto"/>
          <w:color w:val="auto"/>
        </w:rPr>
        <w:t>Section 9(b)</w:t>
      </w:r>
      <w:r>
        <w:rPr>
          <w:rFonts w:ascii="Times New Roman" w:cs="Times New Roman" w:eastAsia="Times New Roman" w:hAnsi="Times New Roman"/>
          <w:sz w:val="18"/>
          <w:szCs w:val="18"/>
          <w:color w:val="auto"/>
        </w:rPr>
        <w:t xml:space="preserve"> shall not apply to, or be triggered by, any rights issued by the Company (either separately or that attach to any securities of the Company) in connection with any stockholders rights agreement, poison pill or other similar anti-takeover provision under the Company’s certificate of incorporation, bylaws or other documents.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4" w:name="page155"/>
    <w:bookmarkEnd w:id="154"/>
    <w:p>
      <w:pPr>
        <w:jc w:val="both"/>
        <w:ind w:firstLine="8"/>
        <w:spacing w:after="0" w:line="252" w:lineRule="auto"/>
        <w:tabs>
          <w:tab w:leader="none" w:pos="25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If, at any time while this Warrant is outstanding, the Company effects a “</w:t>
      </w:r>
      <w:r>
        <w:rPr>
          <w:rFonts w:ascii="Times New Roman" w:cs="Times New Roman" w:eastAsia="Times New Roman" w:hAnsi="Times New Roman"/>
          <w:sz w:val="18"/>
          <w:szCs w:val="18"/>
          <w:i w:val="1"/>
          <w:iCs w:val="1"/>
          <w:color w:val="auto"/>
        </w:rPr>
        <w:t>Fundamental Transaction</w:t>
      </w:r>
      <w:r>
        <w:rPr>
          <w:rFonts w:ascii="Times New Roman" w:cs="Times New Roman" w:eastAsia="Times New Roman" w:hAnsi="Times New Roman"/>
          <w:sz w:val="18"/>
          <w:szCs w:val="18"/>
          <w:color w:val="auto"/>
        </w:rPr>
        <w:t>” (defined as (i) any merger or consolidation of the Company with or into another Person, including, for avoidance of doubt, the Merger, (ii) any sale of all or substantially all of the Company’s and its subsidiaries’ assets, taken as a whole, in one or a series of related transactions, (iii) any reclassification of the Common Stock (other than a change to par value, or from par value to no par value or changes resulting from a combination or subdivision), (iv) any tender offer or exchange offer (whether by the Company or another Person) that is accepted by holders of capital stock representing more than 50% of the outstanding Common Stock of the Company and the Company or such other Person, as applicable, accepts such tender for payment, (v) any business combination (including, without limitation, a reorganization, recapitalization, spin-off or scheme of arrangement) with another Person whereby such other Person acquires more than the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(vi) any statutory exchange of the outstanding shares of Common Stock, as a result of which, the holders of the Common Stock would be entitled to receive, or their Common Stock would be converted into, or exchanged for, shares, stock, other securities, or other property or assets (including cash or any combination thereof)), then, to the extent then permitted under applicable laws, rules and regulations (including the rules of the Nasdaq Stock Market or any exchange on which the Common Stock is then listed), upon any subsequent exercise of this Warrant, the Holder shall have the right to receive, for each Warrant Share that would have been issuable upon such exercise immediately prior to the occurrence of such Fundamental Transaction, the same kind and amount of securities, cash, assets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 w:cs="Times New Roman" w:eastAsia="Times New Roman" w:hAnsi="Times New Roman"/>
          <w:sz w:val="18"/>
          <w:szCs w:val="18"/>
          <w:i w:val="1"/>
          <w:iCs w:val="1"/>
          <w:color w:val="auto"/>
        </w:rPr>
        <w:t>Alternate Consideration</w:t>
      </w:r>
      <w:r>
        <w:rPr>
          <w:rFonts w:ascii="Times New Roman" w:cs="Times New Roman" w:eastAsia="Times New Roman" w:hAnsi="Times New Roman"/>
          <w:sz w:val="18"/>
          <w:szCs w:val="18"/>
          <w:color w:val="auto"/>
        </w:rPr>
        <w:t xml:space="preserve">”). Except for the Merger pursuant to the Merger Agreement, the Company shall not effect any such Fundamental Transaction unless prior to or simultaneously with the consummation thereof, any successor to the Company or surviving entity shall assume the obligation to deliver to the Holder, such Alternate Consideration as, in accordance with the foregoing provisions, the Holder may be entitled to receive, and the other obligations under this Warrant. The provisions of this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shall similarly apply to subsequent transactions analogous of a Fundamental Transaction type.</w:t>
      </w:r>
    </w:p>
    <w:p>
      <w:pPr>
        <w:spacing w:after="0" w:line="189" w:lineRule="exact"/>
        <w:rPr>
          <w:rFonts w:ascii="Times New Roman" w:cs="Times New Roman" w:eastAsia="Times New Roman" w:hAnsi="Times New Roman"/>
          <w:sz w:val="18"/>
          <w:szCs w:val="18"/>
          <w:color w:val="auto"/>
        </w:rPr>
      </w:pPr>
    </w:p>
    <w:p>
      <w:pPr>
        <w:jc w:val="both"/>
        <w:ind w:firstLine="8"/>
        <w:spacing w:after="0" w:line="261" w:lineRule="auto"/>
        <w:tabs>
          <w:tab w:leader="none" w:pos="2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xml:space="preserve">. Simultaneously with any adjustment to the Exercise Price pursuant to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w:t>
      </w:r>
    </w:p>
    <w:p>
      <w:pPr>
        <w:spacing w:after="0" w:line="17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rounded down to the nearest whole cent or the nearest whole share, as applicable.</w:t>
      </w:r>
    </w:p>
    <w:p>
      <w:pPr>
        <w:spacing w:after="0" w:line="225" w:lineRule="exact"/>
        <w:rPr>
          <w:rFonts w:ascii="Times New Roman" w:cs="Times New Roman" w:eastAsia="Times New Roman" w:hAnsi="Times New Roman"/>
          <w:sz w:val="18"/>
          <w:szCs w:val="18"/>
          <w:color w:val="auto"/>
        </w:rPr>
      </w:pPr>
    </w:p>
    <w:p>
      <w:pPr>
        <w:jc w:val="both"/>
        <w:ind w:firstLine="8"/>
        <w:spacing w:after="0" w:line="258" w:lineRule="auto"/>
        <w:tabs>
          <w:tab w:leader="none" w:pos="22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xml:space="preserve">. Upon the occurrence of each adjustment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183" w:lineRule="exact"/>
        <w:rPr>
          <w:rFonts w:ascii="Times New Roman" w:cs="Times New Roman" w:eastAsia="Times New Roman" w:hAnsi="Times New Roman"/>
          <w:sz w:val="18"/>
          <w:szCs w:val="18"/>
          <w:color w:val="auto"/>
        </w:rPr>
      </w:pPr>
    </w:p>
    <w:p>
      <w:pPr>
        <w:jc w:val="both"/>
        <w:ind w:firstLine="8"/>
        <w:spacing w:after="0" w:line="253" w:lineRule="auto"/>
        <w:tabs>
          <w:tab w:leader="none" w:pos="2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Corporate Events</w:t>
      </w:r>
      <w:r>
        <w:rPr>
          <w:rFonts w:ascii="Times New Roman" w:cs="Times New Roman" w:eastAsia="Times New Roman" w:hAnsi="Times New Roman"/>
          <w:sz w:val="18"/>
          <w:szCs w:val="18"/>
          <w:color w:val="auto"/>
        </w:rPr>
        <w:t>.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(ii)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three (3) Trading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To the extent that any notice provided hereunder constitutes, or contains, material, non-public information regarding the Company or any of its subsidiaries and the Company is subject to the reporting requirements of the Exchange Act, the Company shall use commercially reasonable efforts to promptly file the information contained in such notice with the Commission pursuant to a Current Report on Form 8-K.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5" w:name="page156"/>
    <w:bookmarkEnd w:id="155"/>
    <w:p>
      <w:pPr>
        <w:jc w:val="both"/>
        <w:ind w:firstLine="8"/>
        <w:spacing w:after="0" w:line="261" w:lineRule="auto"/>
        <w:tabs>
          <w:tab w:leader="none" w:pos="28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Exercise Price</w:t>
      </w:r>
      <w:r>
        <w:rPr>
          <w:rFonts w:ascii="Times New Roman" w:cs="Times New Roman" w:eastAsia="Times New Roman" w:hAnsi="Times New Roman"/>
          <w:sz w:val="18"/>
          <w:szCs w:val="18"/>
          <w:color w:val="auto"/>
        </w:rPr>
        <w:t>. The Holder shall pay the Exercise Price in immediately available funds by wire transfer to an account designated by the Company; provided, however, that the Holder may, in its sole discretion, satisfy its obligation to pay the Exercise Price at such time through a “cashless exercise”, in which event the Company shall issue to the Holder the number of Warrant Shares equal to the quotient obtained by dividing [(A-B) (X)] by (A), where:</w:t>
      </w:r>
    </w:p>
    <w:p>
      <w:pPr>
        <w:spacing w:after="0" w:line="179" w:lineRule="exact"/>
        <w:rPr>
          <w:rFonts w:ascii="Times New Roman" w:cs="Times New Roman" w:eastAsia="Times New Roman" w:hAnsi="Times New Roman"/>
          <w:sz w:val="18"/>
          <w:szCs w:val="18"/>
          <w:color w:val="auto"/>
        </w:rPr>
      </w:pPr>
    </w:p>
    <w:p>
      <w:pPr>
        <w:ind w:left="1960" w:hanging="656"/>
        <w:spacing w:after="0" w:line="282" w:lineRule="auto"/>
        <w:tabs>
          <w:tab w:leader="none" w:pos="1697"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VWAP per share of Common Stock on the National Exchange on the Trading Day immediately preceding the Exercise Date (the “</w:t>
      </w:r>
      <w:r>
        <w:rPr>
          <w:rFonts w:ascii="Times New Roman" w:cs="Times New Roman" w:eastAsia="Times New Roman" w:hAnsi="Times New Roman"/>
          <w:sz w:val="18"/>
          <w:szCs w:val="18"/>
          <w:i w:val="1"/>
          <w:iCs w:val="1"/>
          <w:color w:val="auto"/>
        </w:rPr>
        <w:t>Closing Sale Price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left="1960" w:right="20" w:hanging="656"/>
        <w:spacing w:after="0" w:line="282" w:lineRule="auto"/>
        <w:tabs>
          <w:tab w:leader="none" w:pos="165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Warrant:</w:t>
      </w:r>
    </w:p>
    <w:p>
      <w:pPr>
        <w:spacing w:after="0" w:line="223"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National Exchange, the daily volume weighted average price of a share of Common Stock for such date (or the nearest preceding date) on the National Exchange on which the Common Stock is then listed or quoted as reported by Bloomberg L.P. (based on a Trading Day from 9:30 a.m. (New York City time) to 4:02 p.m. (New York City time)), or (b) if the Common Stock is not then listed on any National Exchange,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and the holding period of the Warrant Shares being issued may be tacked on to the holding period of this Warrant, the Warrant Shares shall take on the characteristics of the Warrants being exercised. The Company agrees not to take any position to the contrary.</w:t>
      </w:r>
    </w:p>
    <w:p>
      <w:pPr>
        <w:spacing w:after="0" w:line="176" w:lineRule="exact"/>
        <w:rPr>
          <w:sz w:val="20"/>
          <w:szCs w:val="20"/>
          <w:color w:val="auto"/>
        </w:rPr>
      </w:pPr>
    </w:p>
    <w:p>
      <w:pPr>
        <w:jc w:val="both"/>
        <w:ind w:firstLine="8"/>
        <w:spacing w:after="0" w:line="270" w:lineRule="auto"/>
        <w:tabs>
          <w:tab w:leader="none" w:pos="263"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Company-Elected Conversion</w:t>
      </w:r>
      <w:r>
        <w:rPr>
          <w:rFonts w:ascii="Times New Roman" w:cs="Times New Roman" w:eastAsia="Times New Roman" w:hAnsi="Times New Roman"/>
          <w:sz w:val="17"/>
          <w:szCs w:val="17"/>
          <w:color w:val="auto"/>
        </w:rPr>
        <w:t>. The Company shall provide to the Holder prompt written notice if after the Original Issue Date the Company is unable to issue the Warrant Shares without restrictive legend, because the Commission has issued a stop order with respect to, or the Commission or Company has otherwise suspended or withdrawn, a registration statement covering the resale of the Warrant Shares, either temporarily or permanently, or otherwise (each a “</w:t>
      </w:r>
      <w:r>
        <w:rPr>
          <w:rFonts w:ascii="Times New Roman" w:cs="Times New Roman" w:eastAsia="Times New Roman" w:hAnsi="Times New Roman"/>
          <w:sz w:val="17"/>
          <w:szCs w:val="17"/>
          <w:i w:val="1"/>
          <w:iCs w:val="1"/>
          <w:color w:val="auto"/>
        </w:rPr>
        <w:t>Restrictive Legend Event</w:t>
      </w:r>
      <w:r>
        <w:rPr>
          <w:rFonts w:ascii="Times New Roman" w:cs="Times New Roman" w:eastAsia="Times New Roman" w:hAnsi="Times New Roman"/>
          <w:sz w:val="17"/>
          <w:szCs w:val="17"/>
          <w:color w:val="auto"/>
        </w:rPr>
        <w:t>”). To the extent that (A) a Restrictive Legend Event occurs, (B) at such time the Warrant Shares would be saleable under Rule</w:t>
      </w:r>
    </w:p>
    <w:p>
      <w:pPr>
        <w:spacing w:after="0" w:line="2" w:lineRule="exact"/>
        <w:rPr>
          <w:rFonts w:ascii="Times New Roman" w:cs="Times New Roman" w:eastAsia="Times New Roman" w:hAnsi="Times New Roman"/>
          <w:sz w:val="17"/>
          <w:szCs w:val="17"/>
          <w:color w:val="auto"/>
        </w:rPr>
      </w:pPr>
    </w:p>
    <w:p>
      <w:pPr>
        <w:jc w:val="both"/>
        <w:ind w:firstLine="8"/>
        <w:spacing w:after="0" w:line="252" w:lineRule="auto"/>
        <w:tabs>
          <w:tab w:leader="none" w:pos="32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compliance with the manner of sale or volume restrictions, (C) the Company has delivered the notice described in the immediately preceding sentence, and (D) the Holder attempts to exercise the Warrant after receipt of such notice by paying cash, the Company shall (i) if the Fair Market Value (as calculated above) of the Warrant Shares is greater than the Exercise Price, provide written notice to the Holder that the Company will deliver that number of Warrant Shares to the Holder as should be delivered in a cashless exercise in accordance with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and return to the Holder all consideration paid to the Company in connection with the Holder’s attempted exercise of this Warrant (a “</w:t>
      </w:r>
      <w:r>
        <w:rPr>
          <w:rFonts w:ascii="Times New Roman" w:cs="Times New Roman" w:eastAsia="Times New Roman" w:hAnsi="Times New Roman"/>
          <w:sz w:val="18"/>
          <w:szCs w:val="18"/>
          <w:i w:val="1"/>
          <w:iCs w:val="1"/>
          <w:color w:val="auto"/>
        </w:rPr>
        <w:t>Company-Elected Conversion</w:t>
      </w:r>
      <w:r>
        <w:rPr>
          <w:rFonts w:ascii="Times New Roman" w:cs="Times New Roman" w:eastAsia="Times New Roman" w:hAnsi="Times New Roman"/>
          <w:sz w:val="18"/>
          <w:szCs w:val="18"/>
          <w:color w:val="auto"/>
        </w:rPr>
        <w:t>”), or (ii) at the election of the Holder to be given within five (5) days of receipt of notice of a Company-Elected Conversion, the Holder shall be entitled to rescind the previously submitted Exercise Notice and the Company shall return all consideration paid by Holder for such Warrant Shares upon such rescission.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jc w:val="both"/>
        <w:ind w:firstLine="8"/>
        <w:spacing w:after="0" w:line="251" w:lineRule="auto"/>
        <w:tabs>
          <w:tab w:leader="none" w:pos="27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Exercise</w:t>
      </w:r>
      <w:r>
        <w:rPr>
          <w:rFonts w:ascii="Times New Roman" w:cs="Times New Roman" w:eastAsia="Times New Roman" w:hAnsi="Times New Roman"/>
          <w:sz w:val="18"/>
          <w:szCs w:val="18"/>
          <w:color w:val="auto"/>
        </w:rPr>
        <w:t>. Notwithstanding anything to the contrary contained herein, the number of Warrant Shares that may be acquired by the Holder upon any exercise of this Warrant (or otherwise in respect hereof) shall be limited to the extent necessary to ensure that, following such exercise (or other issuance), the total number of shares of Common Stock then beneficially owned by the Holder and its Attribution Parties as determined in accordance with Section 13(d) of the Exchange Act, does not exceed 9.9999% (the “</w:t>
      </w:r>
      <w:r>
        <w:rPr>
          <w:rFonts w:ascii="Times New Roman" w:cs="Times New Roman" w:eastAsia="Times New Roman" w:hAnsi="Times New Roman"/>
          <w:sz w:val="18"/>
          <w:szCs w:val="18"/>
          <w:i w:val="1"/>
          <w:iCs w:val="1"/>
          <w:color w:val="auto"/>
        </w:rPr>
        <w:t>Maximum Percentage</w:t>
      </w:r>
      <w:r>
        <w:rPr>
          <w:rFonts w:ascii="Times New Roman" w:cs="Times New Roman" w:eastAsia="Times New Roman" w:hAnsi="Times New Roman"/>
          <w:sz w:val="18"/>
          <w:szCs w:val="18"/>
          <w:color w:val="auto"/>
        </w:rPr>
        <w:t xml:space="preserve">”) of the total number of then issued and outstanding shares of Common Stock (including for such purpose the shares of Common Stock issuable upon such exercise). For purposes of the foregoing sentence, the aggregate number of shares of Common Stock beneficially owned by the Holder and its Attribution Parties shall include the number of shares of Common Stock issuable upon exercise of this Warrant with respect to which the determination of such sentence is being made, but shall exclude shares of Common Stock which would be issuable upon (i) exercise of the remaining, unexercised portion of this Warrant beneficially owned by such Person and its Attribution Parties and (ii) exercise or conversion of the unexercised or unconverted portion of any other securities of the Company beneficially owned by the Holder and its Attribution Parties (including, without limitation, any convertible notes or convertible preferred stock or warrants) subject to a limitation on conversion or exercise analogous to the limitation contained herein; provided that in no event shall the aggregate number of shares beneficially owned by the Holder and its Affiliates, calculated in accordance with Section 13(d) of the Exchange Act, exceed the Maximum Percentage. Except as set forth in the preceding sentence (other than the proviso thereto), for purposes of this paragraph (including the proviso in the immediately preceding sentence), beneficial ownership shall be calculated in accordance with Section 13(d) of the Exchange Act; it being acknowledged by the Holder that the Company is not representing to such Holder that such calculation is in compliance with Section 13(d) of the Exchange Act and the rules promulgated thereunder and such Holder is solely responsible for any schedules required to be filed in accordance therewith. To the extent that the limitation contained in this </w:t>
      </w:r>
      <w:r>
        <w:rPr>
          <w:rFonts w:ascii="Times New Roman" w:cs="Times New Roman" w:eastAsia="Times New Roman" w:hAnsi="Times New Roman"/>
          <w:sz w:val="18"/>
          <w:szCs w:val="18"/>
          <w:u w:val="single" w:color="auto"/>
          <w:color w:val="auto"/>
        </w:rPr>
        <w:t>Section</w:t>
      </w:r>
    </w:p>
    <w:p>
      <w:pPr>
        <w:spacing w:after="0" w:line="10" w:lineRule="exact"/>
        <w:rPr>
          <w:rFonts w:ascii="Times New Roman" w:cs="Times New Roman" w:eastAsia="Times New Roman" w:hAnsi="Times New Roman"/>
          <w:sz w:val="18"/>
          <w:szCs w:val="18"/>
          <w:color w:val="auto"/>
        </w:rPr>
      </w:pPr>
    </w:p>
    <w:p>
      <w:pPr>
        <w:jc w:val="both"/>
        <w:ind w:firstLine="8"/>
        <w:spacing w:after="0" w:line="250" w:lineRule="auto"/>
        <w:tabs>
          <w:tab w:leader="none" w:pos="237" w:val="left"/>
        </w:tabs>
        <w:numPr>
          <w:ilvl w:val="0"/>
          <w:numId w:val="9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applies, the determination of whether this Warrant is exercisable (in relation to other securities owned by such Holder) and of which a portion of this Warrant is exercisable shall be in the sole discretion of a Holder, and the submission of a Notice of Exercise shall be deemed to be the Holder’s determination of whether this Warrant is exercisable (in relation to other securities owned by such Holder and its Attribution Parties) and of which portion of this Warrant is exercisable, in each case subject to such aggregate percentage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in determining the number of outstanding shares of Common Stock, the Holder may rely on the number of outstanding shares of Common Stock as reflected in (x) if the Company is subject to the reporting requirements of the Exchange Act, the Company’s most recent Form 10-Q or Form 10-K, as the case may be, (y) a more recent public announcement by the Company or (z) any other notice by the Company or its transfer agent setting forth the number of shares of Common Stock outstanding. Upon the written request of the Holder, the Company shall within three (3) Trading Days confirm in writing to such Holder the number of shares of Common Stock then outstanding. In any case, the number of outstanding shares Common Stock shall be determined after giving effect to the conversion or exercise of securities of the Company, including the Warrants, by the Holder and its Affiliates since the date as of which such number of outstanding shares of Common Stock was reported. By written notice to the Company, the Holder may from time to time increase or decrease the Maximum Percentage to any other percentage not in excess of 9.9999% specified in such notice; provided, that (i) any such increase will not be effective until the sixty-first (61st) day after such notice is delivered to the Company, and (ii) any such increase or decrease will apply only to the Holder and not to any other holder of Warrants. The provisions of this paragraph shall not apply to the Holder if the aggregate number of shares beneficially owned by the Holder and its Affiliates, calculated in accordance with Section 13(d) of the Exchange Act, exceed 9.9999% immediately prior to the Closing. The provisions of this paragraph shall be construed and implemented in a manner otherwise than in strict conformity with the terms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to correct this paragraph (or any portion hereof) which may be defective or inconsistent with the intended beneficial ownership limitation herein contained or to make changes or supplements necessary or desirable to properly give effect to such limitation. Any purported delivery of any number of shares of Common Stock or any other security upon exercise of this Warrant shall be void and have no effect to the extent, but only to the extent, that before or after such delivery, the exercising Holder, together with its Attribution Parties, would have beneficial ownership in excess of the Maximum Percentage. For purposes hereof, “</w:t>
      </w:r>
      <w:r>
        <w:rPr>
          <w:rFonts w:ascii="Times New Roman" w:cs="Times New Roman" w:eastAsia="Times New Roman" w:hAnsi="Times New Roman"/>
          <w:sz w:val="18"/>
          <w:szCs w:val="18"/>
          <w:i w:val="1"/>
          <w:iCs w:val="1"/>
          <w:color w:val="auto"/>
        </w:rPr>
        <w:t>Attribution Parties</w:t>
      </w:r>
      <w:r>
        <w:rPr>
          <w:rFonts w:ascii="Times New Roman" w:cs="Times New Roman" w:eastAsia="Times New Roman" w:hAnsi="Times New Roman"/>
          <w:sz w:val="18"/>
          <w:szCs w:val="18"/>
          <w:color w:val="auto"/>
        </w:rPr>
        <w:t>” means, collectively, the following Persons and entities: (i) any direct or indirect Affiliates of the Holder, (ii) any Person acting or who reasonably could be deemed to be acting as a group together with the Holder or any of the foregoing and (iii) any other Persons whose beneficial ownership of Common Stock reasonably could be aggregated with the Holder’s and the other Attribution Parties for purposes of Section 13(d) or Section 16 of the Exchange Act (for clarity, the purpose of the foregoing is to subject collectively the Holder and all other Attribution Parties to the Maximum Percentage).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7" w:name="page158"/>
    <w:bookmarkEnd w:id="157"/>
    <w:p>
      <w:pPr>
        <w:jc w:val="both"/>
        <w:ind w:firstLine="8"/>
        <w:spacing w:after="0" w:line="266" w:lineRule="auto"/>
        <w:tabs>
          <w:tab w:leader="none" w:pos="27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175" w:lineRule="exact"/>
        <w:rPr>
          <w:rFonts w:ascii="Times New Roman" w:cs="Times New Roman" w:eastAsia="Times New Roman" w:hAnsi="Times New Roman"/>
          <w:sz w:val="18"/>
          <w:szCs w:val="18"/>
          <w:color w:val="auto"/>
        </w:rPr>
      </w:pPr>
    </w:p>
    <w:p>
      <w:pPr>
        <w:jc w:val="both"/>
        <w:ind w:firstLine="8"/>
        <w:spacing w:after="0" w:line="254" w:lineRule="auto"/>
        <w:tabs>
          <w:tab w:leader="none" w:pos="27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and all notices or other communications or deliveries hereunder (including, without limitation, any Exercise Notice) shall be in writing and shall be deemed given and effective on the earliest of (i) the date of transmission, if such notice or communication is delivered via email at the email address specified in the Purchase Agreement prior to 5:30 P.M., New York City time, on a Trading Day, (ii) the next Trading Day after the date of transmission, if such notice or communication is delivered via email at the email address specified in the Purchase Agreement on a day that is not a Trading Day or later than 5:30 P.M., New York City time, on any Trading Day, (iii) the Trading Day following the date of mailing, if sent by nationally recognized overnight courier service specifying next business day delivery, and (iv) upon actual receipt by the Person to whom such notice is required to be given, if by hand delivery. The address and email address of a Person for such notices or communications shall be as set forth in the Purchase Agreement unless changed by such Person by two (2) Trading Days’ prior written notice to the other Persons in accordance with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8"/>
        <w:spacing w:after="0" w:line="256" w:lineRule="auto"/>
        <w:tabs>
          <w:tab w:leader="none" w:pos="28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The Company shall serve as warrant agent under this Warrant. Upon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stockholders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8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54" w:lineRule="auto"/>
        <w:tabs>
          <w:tab w:leader="none" w:pos="24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(except upon exercise of this Warrant or otherwise) or as a stockholder of the Company, whether such liabilities are asserted by the Company or by creditors of the Company.</w:t>
      </w:r>
    </w:p>
    <w:p>
      <w:pPr>
        <w:spacing w:after="0" w:line="191" w:lineRule="exact"/>
        <w:rPr>
          <w:rFonts w:ascii="Times New Roman" w:cs="Times New Roman" w:eastAsia="Times New Roman" w:hAnsi="Times New Roman"/>
          <w:sz w:val="18"/>
          <w:szCs w:val="18"/>
          <w:color w:val="auto"/>
        </w:rPr>
      </w:pPr>
    </w:p>
    <w:p>
      <w:pPr>
        <w:jc w:val="both"/>
        <w:ind w:firstLine="8"/>
        <w:spacing w:after="0" w:line="254" w:lineRule="auto"/>
        <w:tabs>
          <w:tab w:leader="none" w:pos="2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Avoidance</w:t>
      </w:r>
      <w:r>
        <w:rPr>
          <w:rFonts w:ascii="Times New Roman" w:cs="Times New Roman" w:eastAsia="Times New Roman" w:hAnsi="Times New Roman"/>
          <w:sz w:val="18"/>
          <w:szCs w:val="18"/>
          <w:color w:val="auto"/>
        </w:rPr>
        <w:t>.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p>
      <w:pPr>
        <w:jc w:val="both"/>
        <w:ind w:firstLine="8"/>
        <w:spacing w:after="0" w:line="256" w:lineRule="auto"/>
        <w:tabs>
          <w:tab w:leader="none" w:pos="24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the restrictions on transfer set forth in this Warrant and in Section 7.01 of the Purchase Agreement, and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permitted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spacing w:after="0" w:line="187" w:lineRule="exact"/>
        <w:rPr>
          <w:rFonts w:ascii="Times New Roman" w:cs="Times New Roman" w:eastAsia="Times New Roman" w:hAnsi="Times New Roman"/>
          <w:sz w:val="18"/>
          <w:szCs w:val="18"/>
          <w:color w:val="auto"/>
        </w:rPr>
      </w:pPr>
    </w:p>
    <w:p>
      <w:pPr>
        <w:jc w:val="both"/>
        <w:ind w:firstLine="8"/>
        <w:spacing w:after="0" w:line="255" w:lineRule="auto"/>
        <w:tabs>
          <w:tab w:leader="none" w:pos="25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National Exchange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88" w:lineRule="exact"/>
        <w:rPr>
          <w:rFonts w:ascii="Times New Roman" w:cs="Times New Roman" w:eastAsia="Times New Roman" w:hAnsi="Times New Roman"/>
          <w:sz w:val="18"/>
          <w:szCs w:val="18"/>
          <w:color w:val="auto"/>
        </w:rPr>
      </w:pPr>
    </w:p>
    <w:p>
      <w:pPr>
        <w:jc w:val="both"/>
        <w:ind w:firstLine="8"/>
        <w:spacing w:after="0" w:line="261" w:lineRule="auto"/>
        <w:tabs>
          <w:tab w:leader="none" w:pos="24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and subject to the restrictions set forth in Section 9.01 of the Purchase Agreement, the provisions of the Warrants may be amended and the Company may take any action herein prohibited, or omit to perform any act herein required to be performed by it, only if the Company has obtained the written consent of the Holders of Warrants representing no less than a majority of the Warrant Shares obtainable upon exercise of the Warrants then outstanding.</w:t>
      </w:r>
    </w:p>
    <w:p>
      <w:pPr>
        <w:spacing w:after="0" w:line="17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Receipt of this Warrant by the Holder shall constitute acceptance of and agreement to all of the terms and conditions contained herein.</w:t>
      </w:r>
    </w:p>
    <w:p>
      <w:pPr>
        <w:spacing w:after="0" w:line="225" w:lineRule="exact"/>
        <w:rPr>
          <w:rFonts w:ascii="Times New Roman" w:cs="Times New Roman" w:eastAsia="Times New Roman" w:hAnsi="Times New Roman"/>
          <w:sz w:val="18"/>
          <w:szCs w:val="18"/>
          <w:color w:val="auto"/>
        </w:rPr>
      </w:pPr>
    </w:p>
    <w:p>
      <w:pPr>
        <w:jc w:val="both"/>
        <w:ind w:firstLine="8"/>
        <w:spacing w:after="0" w:line="253" w:lineRule="auto"/>
        <w:tabs>
          <w:tab w:leader="none" w:pos="25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and County of New York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courts.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under the purchase agreement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94" w:lineRule="exact"/>
        <w:rPr>
          <w:rFonts w:ascii="Times New Roman" w:cs="Times New Roman" w:eastAsia="Times New Roman" w:hAnsi="Times New Roman"/>
          <w:sz w:val="18"/>
          <w:szCs w:val="18"/>
          <w:color w:val="auto"/>
        </w:rPr>
      </w:pPr>
    </w:p>
    <w:p>
      <w:pPr>
        <w:ind w:right="20" w:firstLine="8"/>
        <w:spacing w:after="0" w:line="282" w:lineRule="auto"/>
        <w:tabs>
          <w:tab w:leader="none" w:pos="25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Warrant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21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color w:val="auto"/>
        </w:rPr>
        <w:t>IN WITNESS WHEREOF, the Company has caused this Warrant to be duly executed by its authorized officer as of the date first indicated above.</w:t>
      </w:r>
    </w:p>
    <w:p>
      <w:pPr>
        <w:spacing w:after="0" w:line="23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ORUKA THERAPEUTICS,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Lawrence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320" w:top="904" w:right="1079" w:bottom="1440" w:gutter="0" w:footer="0" w:header="0"/>
        </w:sectPr>
      </w:pPr>
    </w:p>
    <w:bookmarkStart w:id="160" w:name="page161"/>
    <w:bookmarkEnd w:id="160"/>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SCHEDULE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 EXERCISE NOTICE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by the Holder to purchase shares of Common Stock under the Warrant]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3" w:lineRule="exact"/>
        <w:rPr>
          <w:sz w:val="20"/>
          <w:szCs w:val="20"/>
          <w:color w:val="auto"/>
        </w:rPr>
      </w:pPr>
    </w:p>
    <w:p>
      <w:pPr>
        <w:ind w:right="20" w:firstLine="8"/>
        <w:spacing w:after="0" w:line="284" w:lineRule="auto"/>
        <w:tabs>
          <w:tab w:leader="none" w:pos="29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Holder of Warrant No. __________ (the “</w:t>
      </w:r>
      <w:r>
        <w:rPr>
          <w:rFonts w:ascii="Times New Roman" w:cs="Times New Roman" w:eastAsia="Times New Roman" w:hAnsi="Times New Roman"/>
          <w:sz w:val="18"/>
          <w:szCs w:val="18"/>
          <w:i w:val="1"/>
          <w:iCs w:val="1"/>
          <w:color w:val="auto"/>
        </w:rPr>
        <w:t>Warrant</w:t>
      </w:r>
      <w:r>
        <w:rPr>
          <w:rFonts w:ascii="Times New Roman" w:cs="Times New Roman" w:eastAsia="Times New Roman" w:hAnsi="Times New Roman"/>
          <w:sz w:val="18"/>
          <w:szCs w:val="18"/>
          <w:color w:val="auto"/>
        </w:rPr>
        <w:t>”) issued by Oruka Therapeutics,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Capitalized terms used herein and not otherwise defined herein have the respective meanings set forth in the Warrant.</w:t>
      </w:r>
    </w:p>
    <w:p>
      <w:pPr>
        <w:spacing w:after="0" w:line="160"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exercises its right to purchase __________ Warrant Shares pursuant to the Warrant.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intends that payment of the Exercise Price shall be made as (check one):</w:t>
      </w:r>
    </w:p>
    <w:p>
      <w:pPr>
        <w:spacing w:after="0" w:line="225" w:lineRule="exact"/>
        <w:rPr>
          <w:rFonts w:ascii="Times New Roman" w:cs="Times New Roman" w:eastAsia="Times New Roman" w:hAnsi="Times New Roman"/>
          <w:sz w:val="18"/>
          <w:szCs w:val="18"/>
          <w:color w:val="auto"/>
        </w:rPr>
      </w:pPr>
    </w:p>
    <w:p>
      <w:pPr>
        <w:ind w:left="980" w:hanging="320"/>
        <w:spacing w:after="0"/>
        <w:tabs>
          <w:tab w:leader="none" w:pos="980" w:val="left"/>
        </w:tabs>
        <w:numPr>
          <w:ilvl w:val="1"/>
          <w:numId w:val="10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 Exercise</w:t>
      </w:r>
    </w:p>
    <w:p>
      <w:pPr>
        <w:spacing w:after="0" w:line="225" w:lineRule="exact"/>
        <w:rPr>
          <w:rFonts w:ascii="MS PGothic" w:cs="MS PGothic" w:eastAsia="MS PGothic" w:hAnsi="MS PGothic"/>
          <w:sz w:val="18"/>
          <w:szCs w:val="18"/>
          <w:color w:val="auto"/>
        </w:rPr>
      </w:pPr>
    </w:p>
    <w:p>
      <w:pPr>
        <w:ind w:left="980" w:hanging="320"/>
        <w:spacing w:after="0"/>
        <w:tabs>
          <w:tab w:leader="none" w:pos="980" w:val="left"/>
        </w:tabs>
        <w:numPr>
          <w:ilvl w:val="1"/>
          <w:numId w:val="10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“Cashless Exercise”</w:t>
      </w:r>
    </w:p>
    <w:p>
      <w:pPr>
        <w:spacing w:after="0" w:line="225" w:lineRule="exact"/>
        <w:rPr>
          <w:rFonts w:ascii="MS PGothic" w:cs="MS PGothic" w:eastAsia="MS PGothic" w:hAnsi="MS PGothic"/>
          <w:sz w:val="18"/>
          <w:szCs w:val="18"/>
          <w:color w:val="auto"/>
        </w:rPr>
      </w:pPr>
    </w:p>
    <w:p>
      <w:pPr>
        <w:ind w:right="20" w:firstLine="8"/>
        <w:spacing w:after="0" w:line="282" w:lineRule="auto"/>
        <w:tabs>
          <w:tab w:leader="none" w:pos="25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has elected a Cash Exercise, the Holder shall pay the sum of $___________ in immediately available funds to the Company in accordance with the terms of the Warrant.</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Exercise Notice, the Company shall deliver to the Holder Warrant Shares determined in accordance with the terms of the Warrant.</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26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permitted to be owned under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of the Warrant to which this notice relates.</w:t>
      </w:r>
    </w:p>
    <w:p>
      <w:pPr>
        <w:spacing w:after="0" w:line="175" w:lineRule="exact"/>
        <w:rPr>
          <w:rFonts w:ascii="Times New Roman" w:cs="Times New Roman" w:eastAsia="Times New Roman" w:hAnsi="Times New Roman"/>
          <w:sz w:val="18"/>
          <w:szCs w:val="18"/>
          <w:color w:val="auto"/>
        </w:rPr>
      </w:pPr>
    </w:p>
    <w:p>
      <w:pPr>
        <w:jc w:val="both"/>
        <w:ind w:firstLine="8"/>
        <w:spacing w:after="0" w:line="261" w:lineRule="auto"/>
        <w:tabs>
          <w:tab w:leader="none" w:pos="26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delivery of this Exercise Notice and pursuant to Section 4(b) of the Warrant, the undersigned certifies to the Company that its representations listed in Section 4(b) of the Warrant are true and correct as of the date hereof as if remade in their entirety (or, in the case of any transferee Holder that is not a party to the Purchase Agreement, such transferee Holder’s certification to the Company that such representations are true and correct as to such transferee Holder as of the date hereof).</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Dated:______________________</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of Holder: _____________________</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249428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SCHEDULE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ASSIGNMENT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completed and executed by the Holder only upon transfer of the Warrant]</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VALUE RECEIVED, the undersigned hereby sells, assigns and transfers unto (the “</w:t>
      </w:r>
      <w:r>
        <w:rPr>
          <w:rFonts w:ascii="Times New Roman" w:cs="Times New Roman" w:eastAsia="Times New Roman" w:hAnsi="Times New Roman"/>
          <w:sz w:val="18"/>
          <w:szCs w:val="18"/>
          <w:i w:val="1"/>
          <w:iCs w:val="1"/>
          <w:color w:val="auto"/>
        </w:rPr>
        <w:t>Transferee</w:t>
      </w:r>
      <w:r>
        <w:rPr>
          <w:rFonts w:ascii="Times New Roman" w:cs="Times New Roman" w:eastAsia="Times New Roman" w:hAnsi="Times New Roman"/>
          <w:sz w:val="18"/>
          <w:szCs w:val="18"/>
          <w:color w:val="auto"/>
        </w:rPr>
        <w:t>”) the right represented by the within Warrant to purchase shares of Common Stock of Oruka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to which the within Warrant relates and appoints attorney to transfer said right on the books of the Company with full power of substitution in the premises. In connection therewith, the undersigned represents, warrants, covenants and agrees to and with the Company that:</w:t>
      </w:r>
    </w:p>
    <w:p>
      <w:pPr>
        <w:spacing w:after="0" w:line="182" w:lineRule="exact"/>
        <w:rPr>
          <w:sz w:val="20"/>
          <w:szCs w:val="20"/>
          <w:color w:val="auto"/>
        </w:rPr>
      </w:pPr>
    </w:p>
    <w:p>
      <w:pPr>
        <w:jc w:val="both"/>
        <w:ind w:left="460" w:hanging="448"/>
        <w:spacing w:after="0" w:line="266"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and sale of the Warrant contemplated hereby is being made in compliance with Section 4(a)(2) of the United States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or another valid exemption from the registration requirements of Section 5 of the Securities Act and in compliance with all applicable securities laws of the states of the United States;</w:t>
      </w:r>
    </w:p>
    <w:p>
      <w:pPr>
        <w:spacing w:after="0" w:line="175" w:lineRule="exact"/>
        <w:rPr>
          <w:rFonts w:ascii="Times New Roman" w:cs="Times New Roman" w:eastAsia="Times New Roman" w:hAnsi="Times New Roman"/>
          <w:sz w:val="18"/>
          <w:szCs w:val="18"/>
          <w:color w:val="auto"/>
        </w:rPr>
      </w:pPr>
    </w:p>
    <w:p>
      <w:pPr>
        <w:jc w:val="both"/>
        <w:ind w:left="460" w:hanging="448"/>
        <w:spacing w:after="0" w:line="266"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not offered to sell the Warrant by any form of general solicitation or general advertising, including, but not limited to, any advertisement, article, notice or other communication published in any newspaper, magazine or similar media or broadcast over television or radio, and any seminar or meeting whose attendees have been invited by any general solicitation or general advertising;</w:t>
      </w:r>
    </w:p>
    <w:p>
      <w:pPr>
        <w:spacing w:after="0" w:line="175" w:lineRule="exact"/>
        <w:rPr>
          <w:rFonts w:ascii="Times New Roman" w:cs="Times New Roman" w:eastAsia="Times New Roman" w:hAnsi="Times New Roman"/>
          <w:sz w:val="18"/>
          <w:szCs w:val="18"/>
          <w:color w:val="auto"/>
        </w:rPr>
      </w:pPr>
    </w:p>
    <w:p>
      <w:pPr>
        <w:ind w:left="460" w:hanging="448"/>
        <w:spacing w:after="0" w:line="282"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read the Transferee’s investment letter included herewith, and to its actual knowledge, the statements made therein are true and correct; and</w:t>
      </w:r>
    </w:p>
    <w:p>
      <w:pPr>
        <w:spacing w:after="0" w:line="161" w:lineRule="exact"/>
        <w:rPr>
          <w:rFonts w:ascii="Times New Roman" w:cs="Times New Roman" w:eastAsia="Times New Roman" w:hAnsi="Times New Roman"/>
          <w:sz w:val="18"/>
          <w:szCs w:val="18"/>
          <w:color w:val="auto"/>
        </w:rPr>
      </w:pPr>
    </w:p>
    <w:p>
      <w:pPr>
        <w:jc w:val="both"/>
        <w:ind w:left="460" w:hanging="448"/>
        <w:spacing w:after="0" w:line="261"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understands that the Company may condition the transfer of the Warrant contemplated hereby upon the delivery to the Company by the undersigned or the Transferee, as the case may be, of a written opinion of counsel (which opinion shall be in form, substance and scope customary for opinions of counsel in comparable transactions) to the effect that such transfer may be made without registration under the Securities Act and under applicable securities laws of the states of the United States.</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300355</wp:posOffset>
            </wp:positionV>
            <wp:extent cx="35661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7">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17145</wp:posOffset>
            </wp:positionV>
            <wp:extent cx="285432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face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280035</wp:posOffset>
            </wp:positionV>
            <wp:extent cx="3566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Address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582930</wp:posOffset>
            </wp:positionV>
            <wp:extent cx="356616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291465</wp:posOffset>
            </wp:positionV>
            <wp:extent cx="3566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291465</wp:posOffset>
            </wp:positionV>
            <wp:extent cx="321437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2">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71750" cy="8572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4">
                      <a:extLst>
                        <a:ext uri="{28A0092B-C50C-407E-A947-70E740481C1C}"/>
                      </a:extLst>
                    </a:blip>
                    <a:srcRect/>
                    <a:stretch>
                      <a:fillRect/>
                    </a:stretch>
                  </pic:blipFill>
                  <pic:spPr bwMode="auto">
                    <a:xfrm>
                      <a:off x="0" y="0"/>
                      <a:ext cx="257175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Quinlan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Oruka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855 Oak Grove Avenue, 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Amended and Restated Employment Letter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Paul:</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behalf of Oruka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 am pleased to offer you a continuing position as General Counsel (the “</w:t>
      </w:r>
      <w:r>
        <w:rPr>
          <w:rFonts w:ascii="Times New Roman" w:cs="Times New Roman" w:eastAsia="Times New Roman" w:hAnsi="Times New Roman"/>
          <w:sz w:val="18"/>
          <w:szCs w:val="18"/>
          <w:u w:val="single" w:color="auto"/>
          <w:color w:val="auto"/>
        </w:rPr>
        <w:t>Role</w:t>
      </w:r>
      <w:r>
        <w:rPr>
          <w:rFonts w:ascii="Times New Roman" w:cs="Times New Roman" w:eastAsia="Times New Roman" w:hAnsi="Times New Roman"/>
          <w:sz w:val="18"/>
          <w:szCs w:val="18"/>
          <w:color w:val="auto"/>
        </w:rPr>
        <w:t>”) pursuant to this letter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Your Role commenced on April 30, 2024 pursuant to your letter agreement dated April 12, 2024. This Agreement will amend and restate that April 12, 2024 letter agreement, provided you accept this offer as indicated by your signature below, to be effective as of the date hereof.</w:t>
      </w:r>
    </w:p>
    <w:p>
      <w:pPr>
        <w:spacing w:after="0" w:line="176" w:lineRule="exact"/>
        <w:rPr>
          <w:sz w:val="20"/>
          <w:szCs w:val="20"/>
          <w:color w:val="auto"/>
        </w:rPr>
      </w:pPr>
    </w:p>
    <w:p>
      <w:pPr>
        <w:jc w:val="both"/>
        <w:ind w:firstLine="8"/>
        <w:spacing w:after="0" w:line="259" w:lineRule="auto"/>
        <w:tabs>
          <w:tab w:leader="none" w:pos="2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Position</w:t>
      </w:r>
      <w:r>
        <w:rPr>
          <w:rFonts w:ascii="Times New Roman" w:cs="Times New Roman" w:eastAsia="Times New Roman" w:hAnsi="Times New Roman"/>
          <w:sz w:val="18"/>
          <w:szCs w:val="18"/>
          <w:color w:val="auto"/>
        </w:rPr>
        <w:t>. While serving in the Role, you will report to the Company’s Chief Executive Officer. You will have such duties, authorities,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responsibilities as are customarily associated with the Role. This is a full-time employment position. It is understood and agreed that, while you are employed by the Company, you will not engage in any other employment, consulting or other business activities (whether full-time or part-time), except as expressly authorized in writing by the Company. Notwithstanding the foregoing, you may engage in religious, charitable and other community activities so long as such activities do not unreasonably interfere or conflict with your obligations to the Company.</w:t>
      </w:r>
    </w:p>
    <w:p>
      <w:pPr>
        <w:spacing w:after="0" w:line="179" w:lineRule="exact"/>
        <w:rPr>
          <w:rFonts w:ascii="Times New Roman" w:cs="Times New Roman" w:eastAsia="Times New Roman" w:hAnsi="Times New Roman"/>
          <w:sz w:val="18"/>
          <w:szCs w:val="18"/>
          <w:b w:val="1"/>
          <w:bCs w:val="1"/>
          <w:color w:val="auto"/>
        </w:rPr>
      </w:pPr>
    </w:p>
    <w:p>
      <w:pPr>
        <w:jc w:val="both"/>
        <w:ind w:right="20" w:firstLine="8"/>
        <w:spacing w:after="0" w:line="262" w:lineRule="auto"/>
        <w:tabs>
          <w:tab w:leader="none" w:pos="18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 Upon and following the date hereof, as cash compensation for your services, the Company will pay you an initial base salary of $460,000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year, payable in accordance with the Company’s standard payroll schedule and subject to applicable deductions and withholdings. Your base salary will be subject to periodic review and potential adjustment in the Company’s discretion. Your base salary in effect at any given time is referred to herein as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b w:val="1"/>
          <w:bCs w:val="1"/>
          <w:color w:val="auto"/>
        </w:rPr>
      </w:pPr>
    </w:p>
    <w:p>
      <w:pPr>
        <w:jc w:val="both"/>
        <w:ind w:firstLine="8"/>
        <w:spacing w:after="0" w:line="259" w:lineRule="auto"/>
        <w:tabs>
          <w:tab w:leader="none" w:pos="18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Bonus</w:t>
      </w:r>
      <w:r>
        <w:rPr>
          <w:rFonts w:ascii="Times New Roman" w:cs="Times New Roman" w:eastAsia="Times New Roman" w:hAnsi="Times New Roman"/>
          <w:sz w:val="18"/>
          <w:szCs w:val="18"/>
          <w:color w:val="auto"/>
        </w:rPr>
        <w:t>. You will continue to be eligible to receive an annual performance bonus targeted at 40% of your Base Salary. The target annual bonus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at any given time is referred to herein as “</w:t>
      </w:r>
      <w:r>
        <w:rPr>
          <w:rFonts w:ascii="Times New Roman" w:cs="Times New Roman" w:eastAsia="Times New Roman" w:hAnsi="Times New Roman"/>
          <w:sz w:val="18"/>
          <w:szCs w:val="18"/>
          <w:u w:val="single" w:color="auto"/>
          <w:color w:val="auto"/>
        </w:rPr>
        <w:t>Target Bonus</w:t>
      </w:r>
      <w:r>
        <w:rPr>
          <w:rFonts w:ascii="Times New Roman" w:cs="Times New Roman" w:eastAsia="Times New Roman" w:hAnsi="Times New Roman"/>
          <w:sz w:val="18"/>
          <w:szCs w:val="18"/>
          <w:color w:val="auto"/>
        </w:rPr>
        <w:t>.” Your 2024 annual bonus will be prorated based on your period of employment following April 30, 2024. The actual bonus amount is discretionary and may be subject to achievement of performance targets established by the Company for such year. To earn an annual bonus, you must be employed by the Company as of the payment date of such bonus. Any annual bonus will be paid no later than March 15th of the calendar year following the calendar year to which such bonus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3" w:name="page164"/>
    <w:bookmarkEnd w:id="163"/>
    <w:p>
      <w:pPr>
        <w:jc w:val="both"/>
        <w:ind w:firstLine="8"/>
        <w:spacing w:after="0" w:line="259" w:lineRule="auto"/>
        <w:tabs>
          <w:tab w:leader="none" w:pos="193"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Benefits/Paid Time Off. </w:t>
      </w:r>
      <w:r>
        <w:rPr>
          <w:rFonts w:ascii="Times New Roman" w:cs="Times New Roman" w:eastAsia="Times New Roman" w:hAnsi="Times New Roman"/>
          <w:sz w:val="18"/>
          <w:szCs w:val="18"/>
          <w:color w:val="auto"/>
        </w:rPr>
        <w:t>You will continue to be eligible, subject to the terms of the applicable plans and programs, to participate in the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and insurance programs generally made available to the Company’s full-time employees. Details of such benefits programs, including applicable employee contributions and waiting periods, if applicable, will be made available to you as such benefit(s) become available. You will be entitled to paid time off consistent with the terms of the Company’s paid time off policy, as in effect from time to time. The Company reserves the right to modify, limit, amend or cancel any of its benefits plans or programs at any time.</w:t>
      </w:r>
    </w:p>
    <w:p>
      <w:pPr>
        <w:spacing w:after="0" w:line="179"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18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 Reimbursement. </w:t>
      </w:r>
      <w:r>
        <w:rPr>
          <w:rFonts w:ascii="Times New Roman" w:cs="Times New Roman" w:eastAsia="Times New Roman" w:hAnsi="Times New Roman"/>
          <w:sz w:val="18"/>
          <w:szCs w:val="18"/>
          <w:color w:val="auto"/>
        </w:rPr>
        <w:t>The Company will reimburse you for all reasonable and necessary expenses incurred by you in connection with performing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duties as an employee of the Company and that are pre-approved by the Company, provided that you comply with any Company policy or practice on incurring, submitting, accounting for and documenting such expenses.</w:t>
      </w:r>
    </w:p>
    <w:p>
      <w:pPr>
        <w:spacing w:after="0" w:line="170" w:lineRule="exact"/>
        <w:rPr>
          <w:rFonts w:ascii="Times New Roman" w:cs="Times New Roman" w:eastAsia="Times New Roman" w:hAnsi="Times New Roman"/>
          <w:sz w:val="18"/>
          <w:szCs w:val="18"/>
          <w:b w:val="1"/>
          <w:bCs w:val="1"/>
          <w:color w:val="auto"/>
        </w:rPr>
      </w:pPr>
    </w:p>
    <w:p>
      <w:pPr>
        <w:ind w:right="20" w:firstLine="8"/>
        <w:spacing w:after="0" w:line="286" w:lineRule="auto"/>
        <w:tabs>
          <w:tab w:leader="none" w:pos="193"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Location</w:t>
      </w:r>
      <w:r>
        <w:rPr>
          <w:rFonts w:ascii="Times New Roman" w:cs="Times New Roman" w:eastAsia="Times New Roman" w:hAnsi="Times New Roman"/>
          <w:sz w:val="18"/>
          <w:szCs w:val="18"/>
          <w:color w:val="auto"/>
        </w:rPr>
        <w:t>. Your primary work location will continue to be in Menlo Park, CA, provided that you may be required to engage in reasonable travel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consistent with the Company’s business needs.</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59" w:lineRule="auto"/>
        <w:tabs>
          <w:tab w:leader="none" w:pos="193"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At-Will Employment; Resignation from Subsidiaries</w:t>
      </w:r>
      <w:r>
        <w:rPr>
          <w:rFonts w:ascii="Times New Roman" w:cs="Times New Roman" w:eastAsia="Times New Roman" w:hAnsi="Times New Roman"/>
          <w:sz w:val="18"/>
          <w:szCs w:val="18"/>
          <w:color w:val="auto"/>
        </w:rPr>
        <w:t>. At all times, your employment with the Company is “at will,” meaning you 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terminate it at any time for any or no reason, subject to the terms of this Agreement. Although your job duties, title, reporting structure, compensation and benefits, as well as the Company’s benefit plans and personnel policies and procedures, may change from time to time (subject to the terms of this Agreement), the “at will” nature of your employment may only be changed in an express written agreement signed by you and an authorized executive officer of the Company. Your last day of employment for any reason is referred to herein as the “Date of Termination.”</w:t>
      </w:r>
    </w:p>
    <w:p>
      <w:pPr>
        <w:spacing w:after="0" w:line="18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To the extent applicable, you shall be deemed to have resigned from all officer and board member positions that you hold with the Company or any of its respective subsidiaries and affiliates upon the termination of your employment for any reason. You shall execute any documents in reasonable form as may be requested to confirm or effectuate any such resignations.</w:t>
      </w:r>
    </w:p>
    <w:p>
      <w:pPr>
        <w:spacing w:after="0" w:line="1" w:lineRule="exact"/>
        <w:rPr>
          <w:sz w:val="20"/>
          <w:szCs w:val="20"/>
          <w:color w:val="auto"/>
        </w:rPr>
      </w:pPr>
    </w:p>
    <w:p>
      <w:pPr>
        <w:jc w:val="both"/>
        <w:ind w:firstLine="8"/>
        <w:spacing w:after="0" w:line="255" w:lineRule="auto"/>
        <w:tabs>
          <w:tab w:leader="none" w:pos="18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Obligations</w:t>
      </w:r>
      <w:r>
        <w:rPr>
          <w:rFonts w:ascii="Times New Roman" w:cs="Times New Roman" w:eastAsia="Times New Roman" w:hAnsi="Times New Roman"/>
          <w:sz w:val="18"/>
          <w:szCs w:val="18"/>
          <w:color w:val="auto"/>
        </w:rPr>
        <w:t>. In the event of the ending of your employment for any reason, the Company shall pay you (i) your Base Salary and, if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accrued but unused vacation, through the Date of Termination, and (ii) the amount of any documented expenses properly incurred by you on behalf of the Company prior to any such termination and not yet reimbursed. (the “</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193"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Severance Pay and Benefits Outside of the Change in Control Period</w:t>
      </w:r>
      <w:r>
        <w:rPr>
          <w:rFonts w:ascii="Times New Roman" w:cs="Times New Roman" w:eastAsia="Times New Roman" w:hAnsi="Times New Roman"/>
          <w:sz w:val="18"/>
          <w:szCs w:val="18"/>
          <w:color w:val="auto"/>
        </w:rPr>
        <w:t>. If the Company terminates your employment without Cause (and not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result of your death or Disability) or you resign with Good Reason, in each case, outside of the Change in Control Period (as such capitalized terms are defined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then, in addition to the Accrued Obligations, and subject to (i) your execution and non-revocation of a separation agreement and release in a form acceptable to the Company, which shall include a general release of claims against the Company and all related persons and entities and a reaffirmation of the Continuing Obligations (as defined below) and shall provide that if you breach the Continuing Obligations, all payments of the following severance pay and benefits shall immediately cease (the “</w:t>
      </w:r>
      <w:r>
        <w:rPr>
          <w:rFonts w:ascii="Times New Roman" w:cs="Times New Roman" w:eastAsia="Times New Roman" w:hAnsi="Times New Roman"/>
          <w:sz w:val="18"/>
          <w:szCs w:val="18"/>
          <w:u w:val="single" w:color="auto"/>
          <w:color w:val="auto"/>
        </w:rPr>
        <w:t>Separation Agreement and Release</w:t>
      </w:r>
      <w:r>
        <w:rPr>
          <w:rFonts w:ascii="Times New Roman" w:cs="Times New Roman" w:eastAsia="Times New Roman" w:hAnsi="Times New Roman"/>
          <w:sz w:val="18"/>
          <w:szCs w:val="18"/>
          <w:color w:val="auto"/>
        </w:rPr>
        <w:t>”), and (ii) the Separation Agreement and Release becoming irrevocable, all within 60 days after the Date of Termination (or such shorter period as set forth in the Separation Agreement and Release), which shall include a seven-day revocation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4" w:name="page165"/>
    <w:bookmarkEnd w:id="164"/>
    <w:p>
      <w:pPr>
        <w:jc w:val="both"/>
        <w:ind w:left="1300" w:hanging="644"/>
        <w:spacing w:after="0" w:line="258" w:lineRule="auto"/>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you an amount equal to 12 months of your Base Salary (the “</w:t>
      </w:r>
      <w:r>
        <w:rPr>
          <w:rFonts w:ascii="Times New Roman" w:cs="Times New Roman" w:eastAsia="Times New Roman" w:hAnsi="Times New Roman"/>
          <w:sz w:val="18"/>
          <w:szCs w:val="18"/>
          <w:u w:val="single" w:color="auto"/>
          <w:color w:val="auto"/>
        </w:rPr>
        <w:t>Severance Amount</w:t>
      </w:r>
      <w:r>
        <w:rPr>
          <w:rFonts w:ascii="Times New Roman" w:cs="Times New Roman" w:eastAsia="Times New Roman" w:hAnsi="Times New Roman"/>
          <w:sz w:val="18"/>
          <w:szCs w:val="18"/>
          <w:color w:val="auto"/>
        </w:rPr>
        <w:t>”), payable in substantially equal installments over the 12-month period following the Date of Termination in accordance with the Company’s regular payroll practices beginning on the Company’s first regularly scheduled payroll date following the date that is 60 days after the Date of Termination; provided, however, that the first installment shall include any amounts that would have been paid following the Date of Termination had such installments commenced on the first regularly scheduled payroll date following the Date of Termination.</w:t>
      </w:r>
    </w:p>
    <w:p>
      <w:pPr>
        <w:spacing w:after="0" w:line="210"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your copayment of premium amounts at the applicable active employees’ rate and your proper election to receive benefits under the Consolidated Omnibus Budget Reconciliation Act of 1985, as amended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the Company shall pay to the group health plan provider(s), the COBRA provider or you a monthly payment equal to the monthly employer contribution that the Company would have made to provide health insurance to you if you had remained employed by the Company until the earliest of (A) the 12-month anniversary of the Date of Termination; (B) your eligibility for group health plan benefits under any other employer’s group health plan; or (C) the cessation of your continuation rights under COBRA; provided, however, that if the Company reasonably determines that it cannot pay such amounts to the group health plan provider(s)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if to you, shall be subject to tax-related deductions and withholdings and paid on the Company’s regular payroll dates.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anything to the contrary in this Agreement, for the avoidance of doubt:</w:t>
      </w:r>
    </w:p>
    <w:p>
      <w:pPr>
        <w:spacing w:after="0" w:line="225" w:lineRule="exact"/>
        <w:rPr>
          <w:sz w:val="20"/>
          <w:szCs w:val="20"/>
          <w:color w:val="auto"/>
        </w:rPr>
      </w:pPr>
    </w:p>
    <w:p>
      <w:pPr>
        <w:ind w:left="1300" w:hanging="644"/>
        <w:spacing w:after="0" w:line="282" w:lineRule="auto"/>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employment ends as a result of a termination by the Company for Cause or a resignation by you without Good Reason, you will be entitled to the Accrued Obligations and will not be entitled to any further compensation from the Company;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employment ends due to your death or Disability, (i) you will receive the Accrued Obligations and (ii) all outstanding equity-based awards subject to time-based vesting (the “</w:t>
      </w:r>
      <w:r>
        <w:rPr>
          <w:rFonts w:ascii="Times New Roman" w:cs="Times New Roman" w:eastAsia="Times New Roman" w:hAnsi="Times New Roman"/>
          <w:sz w:val="18"/>
          <w:szCs w:val="18"/>
          <w:u w:val="single" w:color="auto"/>
          <w:color w:val="auto"/>
        </w:rPr>
        <w:t>Time-Based Equity Awards</w:t>
      </w:r>
      <w:r>
        <w:rPr>
          <w:rFonts w:ascii="Times New Roman" w:cs="Times New Roman" w:eastAsia="Times New Roman" w:hAnsi="Times New Roman"/>
          <w:sz w:val="18"/>
          <w:szCs w:val="18"/>
          <w:color w:val="auto"/>
        </w:rPr>
        <w:t xml:space="preserve">”) as of the Termination Date shall immediately accelerate and become vested or nonforfeitable as of the Date of Termination, but you will not be eligible for any other severance pay or benefits, whether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5" w:name="page166"/>
    <w:bookmarkEnd w:id="165"/>
    <w:p>
      <w:pPr>
        <w:jc w:val="both"/>
        <w:ind w:firstLine="8"/>
        <w:spacing w:after="0" w:line="259" w:lineRule="auto"/>
        <w:tabs>
          <w:tab w:leader="none" w:pos="27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Severance Pay and Benefits Within the Change in Control Period</w:t>
      </w:r>
      <w:r>
        <w:rPr>
          <w:rFonts w:ascii="Times New Roman" w:cs="Times New Roman" w:eastAsia="Times New Roman" w:hAnsi="Times New Roman"/>
          <w:sz w:val="18"/>
          <w:szCs w:val="18"/>
          <w:color w:val="auto"/>
        </w:rPr>
        <w:t>. If the Company terminates your employment without Cause (and not as a result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your death or Disability) or you resign with Good Reason, in each case, within the Change in Control Period, then, in addition to you being entitled to the Accrued Obligations, and subject to your execution and non-revocation of the Separation Agreement and Release and it becoming fully effective, all within 60 days after the Date of Termination (or such shorter period as set forth in the Separation Agreement and Release), which shall include a seven-day revocation period:</w:t>
      </w:r>
    </w:p>
    <w:p>
      <w:pPr>
        <w:spacing w:after="0" w:line="183" w:lineRule="exact"/>
        <w:rPr>
          <w:rFonts w:ascii="Times New Roman" w:cs="Times New Roman" w:eastAsia="Times New Roman" w:hAnsi="Times New Roman"/>
          <w:sz w:val="18"/>
          <w:szCs w:val="18"/>
          <w:b w:val="1"/>
          <w:bCs w:val="1"/>
          <w:color w:val="auto"/>
        </w:rPr>
      </w:pPr>
    </w:p>
    <w:p>
      <w:pPr>
        <w:jc w:val="both"/>
        <w:ind w:left="1300" w:hanging="644"/>
        <w:spacing w:after="0" w:line="254" w:lineRule="auto"/>
        <w:tabs>
          <w:tab w:leader="none" w:pos="13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you an amount equal 1.0 times the sum of (i) your Base Salary and (ii) your Target Bonus for the year in which the termination occurs (in each case, calculated by reference to your Base Salary rate and Target Bonus as in effect immediately prior to your termination, but without giving effect to any prior reduction in Base Salary or Target Bonus by the Company that would give rise to your right to resign for Good Reason) (such salary and bonuses together, the “</w:t>
      </w:r>
      <w:r>
        <w:rPr>
          <w:rFonts w:ascii="Times New Roman" w:cs="Times New Roman" w:eastAsia="Times New Roman" w:hAnsi="Times New Roman"/>
          <w:sz w:val="18"/>
          <w:szCs w:val="18"/>
          <w:u w:val="single" w:color="auto"/>
          <w:color w:val="auto"/>
        </w:rPr>
        <w:t>CIC Severance Amount</w:t>
      </w:r>
      <w:r>
        <w:rPr>
          <w:rFonts w:ascii="Times New Roman" w:cs="Times New Roman" w:eastAsia="Times New Roman" w:hAnsi="Times New Roman"/>
          <w:sz w:val="18"/>
          <w:szCs w:val="18"/>
          <w:color w:val="auto"/>
        </w:rPr>
        <w:t>”), payable in substantially equal installments over the 12-month period following the Date of Termination in accordance with the Company’s regular payroll practices beginning on the Company’s first regularly scheduled payroll date following the date that is 60 days after the Date of Termination; provided, however, that the first installment shall include any amounts that would have been paid following the Date of Termination had such installments commenced on the first regularly scheduled payroll date following the Date of Termination.</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any applicable equity-based award agreement or plan, all of the unvested portion of your then outstanding Time-Based Equity Awards as of the Termination Date shall immediately accelerate and become vested or nonforfeitable as of the later of (i) the Date of Termination or (ii) the effective date of the Separation Agreement and Release (such later date being the “</w:t>
      </w:r>
      <w:r>
        <w:rPr>
          <w:rFonts w:ascii="Times New Roman" w:cs="Times New Roman" w:eastAsia="Times New Roman" w:hAnsi="Times New Roman"/>
          <w:sz w:val="18"/>
          <w:szCs w:val="18"/>
          <w:u w:val="single" w:color="auto"/>
          <w:color w:val="auto"/>
        </w:rPr>
        <w:t>Accelerated Vesting Date</w:t>
      </w:r>
      <w:r>
        <w:rPr>
          <w:rFonts w:ascii="Times New Roman" w:cs="Times New Roman" w:eastAsia="Times New Roman" w:hAnsi="Times New Roman"/>
          <w:sz w:val="18"/>
          <w:szCs w:val="18"/>
          <w:color w:val="auto"/>
        </w:rPr>
        <w:t>”); and provided further that any termination or forfeiture of the unvested portion of such Time-Based Equity Awards that would otherwise occur on the Date of Termination in the absence of this Agreement will be delayed until the effective date of the Separation Agreement and Release and will only occur if the vesting pursuant to this subsection does not occur due to the absence of the Separation Agreement and Release becoming fully effective within the time period set forth therein. Notwithstanding the foregoing, no additional vesting of the Time-Based Equity Awards shall occur during the period between the Date of Termination and the Accelerated Vesting Date.</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your outstanding equity-based awards subject to performance-based vesting (the “</w:t>
      </w:r>
      <w:r>
        <w:rPr>
          <w:rFonts w:ascii="Times New Roman" w:cs="Times New Roman" w:eastAsia="Times New Roman" w:hAnsi="Times New Roman"/>
          <w:sz w:val="18"/>
          <w:szCs w:val="18"/>
          <w:u w:val="single" w:color="auto"/>
          <w:color w:val="auto"/>
        </w:rPr>
        <w:t>Performance-Based Equity Awards</w:t>
      </w:r>
      <w:r>
        <w:rPr>
          <w:rFonts w:ascii="Times New Roman" w:cs="Times New Roman" w:eastAsia="Times New Roman" w:hAnsi="Times New Roman"/>
          <w:sz w:val="18"/>
          <w:szCs w:val="18"/>
          <w:color w:val="auto"/>
        </w:rPr>
        <w:t xml:space="preserve">”) shall immediately accelerate and become vested or nonforfeitable as of the Accelerated Vesting Date with the performance criteria being deemed to have been met based on the greater of target or, if determinable, actual performance; provided, however, that the applicable award agreement for any Performance-Based Equity Award may provide for alternative treatment upon a termination covered by this </w:t>
      </w:r>
      <w:r>
        <w:rPr>
          <w:rFonts w:ascii="Times New Roman" w:cs="Times New Roman" w:eastAsia="Times New Roman" w:hAnsi="Times New Roman"/>
          <w:sz w:val="18"/>
          <w:szCs w:val="18"/>
          <w:u w:val="single" w:color="auto"/>
          <w:color w:val="auto"/>
        </w:rPr>
        <w:t>Section 10.</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to the group health plan provider(s), the COBRA provider or you a monthly payment equal to the monthly COBRA continuation premiums until the earliest of (A) the 12-month anniversary of the Date of Termination; (B) your eligibility for group health plan benefits under any other employer’s group health plan; or (C) the cessation of your continuation rights under COBRA; provided, however, that if the Company reasonably determines that it cannot pay such amounts to the group health plan provider(s)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if to you, shall be subject to tax-related deductions and withholdings and paid on the Company’s regular payroll dates.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6" w:name="page167"/>
    <w:bookmarkEnd w:id="166"/>
    <w:p>
      <w:pPr>
        <w:spacing w:after="0" w:line="282" w:lineRule="auto"/>
        <w:rPr>
          <w:sz w:val="20"/>
          <w:szCs w:val="20"/>
          <w:color w:val="auto"/>
        </w:rPr>
      </w:pPr>
      <w:r>
        <w:rPr>
          <w:rFonts w:ascii="Times New Roman" w:cs="Times New Roman" w:eastAsia="Times New Roman" w:hAnsi="Times New Roman"/>
          <w:sz w:val="18"/>
          <w:szCs w:val="18"/>
          <w:color w:val="auto"/>
        </w:rPr>
        <w:t xml:space="preserve">For the avoidance of doubt,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this Agreement are mutually exclusive and in no event shall you be entitled to payments or benefits pursuant to both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this Agreement.</w:t>
      </w:r>
    </w:p>
    <w:p>
      <w:pPr>
        <w:spacing w:after="0" w:line="158"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Continuing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1300" w:hanging="644"/>
        <w:spacing w:after="0" w:line="262" w:lineRule="auto"/>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Business Protection Agreement</w:t>
      </w:r>
      <w:r>
        <w:rPr>
          <w:rFonts w:ascii="Times New Roman" w:cs="Times New Roman" w:eastAsia="Times New Roman" w:hAnsi="Times New Roman"/>
          <w:sz w:val="18"/>
          <w:szCs w:val="18"/>
          <w:color w:val="auto"/>
        </w:rPr>
        <w:t>. You have previously entered into an Invention Assignment, Non-Disclosure and Business Protection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u w:val="single" w:color="auto"/>
          <w:color w:val="auto"/>
        </w:rPr>
        <w:t>Business Protection Agreement</w:t>
      </w:r>
      <w:r>
        <w:rPr>
          <w:rFonts w:ascii="Times New Roman" w:cs="Times New Roman" w:eastAsia="Times New Roman" w:hAnsi="Times New Roman"/>
          <w:sz w:val="18"/>
          <w:szCs w:val="18"/>
          <w:color w:val="auto"/>
        </w:rPr>
        <w:t xml:space="preserve">”). For purposes of this Agreement, the obligations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and those that arise in the Business Protection Agreement and any other agreement relating to confidentiality, assignment of inventions, or other restrictive covenants shall collectively be referred to as the “</w:t>
      </w:r>
      <w:r>
        <w:rPr>
          <w:rFonts w:ascii="Times New Roman" w:cs="Times New Roman" w:eastAsia="Times New Roman" w:hAnsi="Times New Roman"/>
          <w:sz w:val="18"/>
          <w:szCs w:val="18"/>
          <w:u w:val="single" w:color="auto"/>
          <w:color w:val="auto"/>
        </w:rPr>
        <w:t>Continuing Obligations</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Third Party Agreements and Rights</w:t>
      </w:r>
      <w:r>
        <w:rPr>
          <w:rFonts w:ascii="Times New Roman" w:cs="Times New Roman" w:eastAsia="Times New Roman" w:hAnsi="Times New Roman"/>
          <w:sz w:val="18"/>
          <w:szCs w:val="18"/>
          <w:color w:val="auto"/>
        </w:rPr>
        <w:t>. You hereby confirm that you are not bound by the terms of any agreement with any previous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employer or other party that would prevent you from performing your obligations hereunder. You represent to the Company that your execution of this Agreement, your employment with the Company and the performance of your proposed duties for the Company will not violate any obligations you may have to any such previous employer or other party. In your work for the Company, you will not disclose or make use of any information in violation of any agreements with or rights of any such previous employer or other party, and you will not bring to the premises of the Company or load or access on any electronic system of the Company, any copies or other tangible embodiments of non-public information belonging to or obtained from any such previous employment or other party.</w:t>
      </w:r>
    </w:p>
    <w:p>
      <w:pPr>
        <w:spacing w:after="0" w:line="182"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Litigation and Regulatory Cooperation</w:t>
      </w:r>
      <w:r>
        <w:rPr>
          <w:rFonts w:ascii="Times New Roman" w:cs="Times New Roman" w:eastAsia="Times New Roman" w:hAnsi="Times New Roman"/>
          <w:sz w:val="18"/>
          <w:szCs w:val="18"/>
          <w:color w:val="auto"/>
        </w:rPr>
        <w:t>. You shall reasonably cooperate with the Company in (i) the defense or prosecution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claims or actions now in existence or that may be brought in the future against or on behalf of the Company that relate to events or occurrences that transpired while you were engaged or employed by the Company, and (ii) the investigation, whether internal or external, of any matters about which the Company believes you may have knowledge or information. Your full cooperation in connection with such claims, actions or investigations shall include, but not be limited to, being reasonably available to meet with counsel to answer questions or to prepare for discovery or trial and to act as a witness on behalf of the Company at mutually convenient times. During and after your engagement and employment, you also shall reasonably cooperate with the Company in connection with any investigation or review of any federal, state or local regulatory authority as any such investigation or review relates to events or occurrences that transpired while you were employed by the Company. The Company shall reimburse you for any reasonable out-of-pocket expenses incurred in connection with your performance of obligations pursuant to this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left="1300" w:hanging="644"/>
        <w:spacing w:after="0" w:line="259" w:lineRule="auto"/>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Relief</w:t>
      </w:r>
      <w:r>
        <w:rPr>
          <w:rFonts w:ascii="Times New Roman" w:cs="Times New Roman" w:eastAsia="Times New Roman" w:hAnsi="Times New Roman"/>
          <w:sz w:val="18"/>
          <w:szCs w:val="18"/>
          <w:color w:val="auto"/>
        </w:rPr>
        <w:t>. You agree that it would be difficult to measure any damages caused to the Company that might result from your breach of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Continuing Obligations, and that in any event money damages may be an inadequate remedy for any such breach. Accordingly, you agree that if you breach, or propose to breach, any portion of the Continuing Obligations, the Company shall be entitled, in addition to all other remedies that it may have, to seek an injunction or other appropriate equitable relief to restrain any such breach without showing or proving any actual damage to the Company or posting any bond.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7" w:name="page168"/>
    <w:bookmarkEnd w:id="167"/>
    <w:p>
      <w:pPr>
        <w:ind w:left="660" w:hanging="652"/>
        <w:spacing w:after="0"/>
        <w:tabs>
          <w:tab w:leader="none" w:pos="66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Golden Parachute Taxes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1300" w:hanging="644"/>
        <w:spacing w:after="0" w:line="252" w:lineRule="auto"/>
        <w:tabs>
          <w:tab w:leader="none" w:pos="13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Best After-Tax Result</w:t>
      </w:r>
      <w:r>
        <w:rPr>
          <w:rFonts w:ascii="Times New Roman" w:cs="Times New Roman" w:eastAsia="Times New Roman" w:hAnsi="Times New Roman"/>
          <w:sz w:val="18"/>
          <w:szCs w:val="18"/>
          <w:color w:val="auto"/>
        </w:rPr>
        <w:t>. In the event that any payment or benefit received or to be received by you pursuant to this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would (i) constitute a “parachute payment” within the meaning of Section 280G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(ii) but for this subsection (a), be subject to the excise tax imposed by Section 4999 of the Code, any successor provisions, or any comparable federal, state, local or foreign excise tax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then, subject to the provisions of Section 14, such Payments shall be either (A) provided in full pursuant to the terms of this Agreement or any other applicable agreement, or (B) provided as to such lesser extent that would result in the Payments being $1.00 less than the amount at which any portion of the Payments would be subject to the Excise Tax, whichever of the foregoing amounts, taking into account the applicable federal, state, local and foreign income, employment and other taxes and the Excise Tax (including, without limitation, any interest or penalties on such taxes), results in the receipt, on an after-tax basis, of the greatest amount of payments and benefits provided for hereunder or otherwise, notwithstanding that all or some portion of such Payments may be subject to the Excise Tax. Unless the Company and you otherwise agree in writing, any determination required under this Section shall be made by independent tax counsel designated by the Company and reasonably acceptable to you (“</w:t>
      </w:r>
      <w:r>
        <w:rPr>
          <w:rFonts w:ascii="Times New Roman" w:cs="Times New Roman" w:eastAsia="Times New Roman" w:hAnsi="Times New Roman"/>
          <w:sz w:val="18"/>
          <w:szCs w:val="18"/>
          <w:u w:val="single" w:color="auto"/>
          <w:color w:val="auto"/>
        </w:rPr>
        <w:t>Independent Tax Counsel</w:t>
      </w:r>
      <w:r>
        <w:rPr>
          <w:rFonts w:ascii="Times New Roman" w:cs="Times New Roman" w:eastAsia="Times New Roman" w:hAnsi="Times New Roman"/>
          <w:sz w:val="18"/>
          <w:szCs w:val="18"/>
          <w:color w:val="auto"/>
        </w:rPr>
        <w:t xml:space="preserve">”), whose determination shall be conclusive and binding upon you and the Company for all purposes. For purposes of making the calculations required under this Section, Independent Tax Counsel may make reasonable assumptions and approximations concerning applicable taxes and may rely on reasonable, good faith interpretations concerning the application of Sections 280G and 4999 of the Code; provided that Independent Tax Counsel shall assume that you pay all taxes at the highest marginal rate. The Company and you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w:t>
      </w:r>
      <w:r>
        <w:rPr>
          <w:rFonts w:ascii="Times New Roman" w:cs="Times New Roman" w:eastAsia="Times New Roman" w:hAnsi="Times New Roman"/>
          <w:sz w:val="18"/>
          <w:szCs w:val="18"/>
          <w:u w:val="single" w:color="auto"/>
          <w:color w:val="auto"/>
        </w:rPr>
        <w:t>Section 13(a)(ii)(B)</w:t>
      </w:r>
      <w:r>
        <w:rPr>
          <w:rFonts w:ascii="Times New Roman" w:cs="Times New Roman" w:eastAsia="Times New Roman" w:hAnsi="Times New Roman"/>
          <w:sz w:val="18"/>
          <w:szCs w:val="18"/>
          <w:color w:val="auto"/>
        </w:rPr>
        <w:t xml:space="preserve"> above applies, then based on the information provided to you and the Company by Independent Tax Counsel, the cutback described hereunder will apply as to compensation not subject to Section 409A of the Code prior to compensation subject to Section 409A of the Code and will otherwise apply on a reverse chronological basis from payments latest in time. If the Internal Revenue Service (the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xml:space="preserve">”) determines that any Payment is subject to the Excise Tax, then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 xml:space="preserve"> hereof shall apply, and the enforcement of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 xml:space="preserve"> shall be the exclusive remedy to the Company.</w:t>
      </w:r>
    </w:p>
    <w:p>
      <w:pPr>
        <w:spacing w:after="0" w:line="212"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18"/>
          <w:szCs w:val="18"/>
          <w:color w:val="auto"/>
        </w:rPr>
        <w:t>. If, notwithstanding any reduction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(or in the absence of any such reduction), the IRS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determines that you are liable for the Excise Tax as a result of the receipt of one or more Payments, then you shall be obligated to surrender or pay back to the Company within one-hundred 120 days after a final IRS determination, an amount of such payments or benefits equal to the “</w:t>
      </w:r>
      <w:r>
        <w:rPr>
          <w:rFonts w:ascii="Times New Roman" w:cs="Times New Roman" w:eastAsia="Times New Roman" w:hAnsi="Times New Roman"/>
          <w:sz w:val="18"/>
          <w:szCs w:val="18"/>
          <w:u w:val="single" w:color="auto"/>
          <w:color w:val="auto"/>
        </w:rPr>
        <w:t>Repayment Amount</w:t>
      </w:r>
      <w:r>
        <w:rPr>
          <w:rFonts w:ascii="Times New Roman" w:cs="Times New Roman" w:eastAsia="Times New Roman" w:hAnsi="Times New Roman"/>
          <w:sz w:val="18"/>
          <w:szCs w:val="18"/>
          <w:color w:val="auto"/>
        </w:rPr>
        <w:t xml:space="preserve">.” The Repayment Amount with respect to such Payments shall be the smallest such amount, if any, as shall be required to be surrendered or paid to the Company so that your net proceeds with respect to such Payments (after taking into account the payment of the Excise Tax imposed on such Payments) shall be maximized. Notwithstanding the foregoing, the Repayment Amount with respect to such Payments shall be zero if a Repayment Amount of more than zero would not eliminate the Excise Tax imposed on such Payments or if a Repayment Amount of more than zero would not maximize the net amount received from the Payments. If the Excise Tax is not eliminated pursuant to this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 you shall pay the Excise Tax.</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8" w:name="page169"/>
    <w:bookmarkEnd w:id="168"/>
    <w:p>
      <w:pPr>
        <w:ind w:left="660" w:hanging="652"/>
        <w:spacing w:after="0"/>
        <w:tabs>
          <w:tab w:leader="none" w:pos="6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1300" w:hanging="644"/>
        <w:spacing w:after="0" w:line="254" w:lineRule="auto"/>
        <w:tabs>
          <w:tab w:leader="none" w:pos="13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if at the time of your separation from service within the meaning of Section 409A of the Code, the Company determines that you are a “specified employee” within the meaning of Section 409A(a)(2)(B)(i) of the Code, then to the extent any payment or benefit that you become entitled to under this Agreement or otherwise on account of your separation from service would be considered deferred compensation otherwise subject to the additional tax imposed pursuant to Section 409A(a) of the Code as a result of the application of Section 409A(a)(2)(B)(i) of the Code, such payment shall not be payable and such benefit shall not be provided until the date that is the earlier of (A) six months and one day after your separation from service, or (B) your death. If any such delayed cash payment is otherwise payable on an installment basis, the first payment shall include a catch- up payment covering amounts that would otherwise have been paid during the six- month period but for the application of this provision (without interest), and the balance of the installments shall be payable in accordance with their original schedule.</w:t>
      </w:r>
    </w:p>
    <w:p>
      <w:pPr>
        <w:spacing w:after="0" w:line="215"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in-kind benefits provided and expenses eligible for reimbursement under this Agreement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 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payment or benefit described in this Agreement constitutes “non- qualified deferred compensation” under Section 409A of the Code, and to the extent that such payment or benefit is payable upon the termination of your employment, then such payments or benefits shall be payable only upon your “separation from service.” The determination of whether and when a separation from service has occurred shall be made in accordance with the presumptions set forth in Treasury Regulation Section 1.409A-l(h).</w:t>
      </w:r>
    </w:p>
    <w:p>
      <w:pPr>
        <w:spacing w:after="0" w:line="206"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9" w:name="page170"/>
    <w:bookmarkEnd w:id="169"/>
    <w:p>
      <w:pPr>
        <w:jc w:val="both"/>
        <w:ind w:left="1300" w:hanging="644"/>
        <w:spacing w:after="0" w:line="266" w:lineRule="auto"/>
        <w:tabs>
          <w:tab w:leader="none" w:pos="13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such Section.</w:t>
      </w:r>
    </w:p>
    <w:p>
      <w:pPr>
        <w:spacing w:after="0" w:line="171" w:lineRule="exact"/>
        <w:rPr>
          <w:rFonts w:ascii="Times New Roman" w:cs="Times New Roman" w:eastAsia="Times New Roman" w:hAnsi="Times New Roman"/>
          <w:sz w:val="18"/>
          <w:szCs w:val="18"/>
          <w:color w:val="auto"/>
        </w:rPr>
      </w:pPr>
    </w:p>
    <w:p>
      <w:pPr>
        <w:jc w:val="both"/>
        <w:ind w:firstLine="8"/>
        <w:spacing w:after="0" w:line="262" w:lineRule="auto"/>
        <w:tabs>
          <w:tab w:leader="none" w:pos="283"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Tax Effect</w:t>
      </w:r>
      <w:r>
        <w:rPr>
          <w:rFonts w:ascii="Times New Roman" w:cs="Times New Roman" w:eastAsia="Times New Roman" w:hAnsi="Times New Roman"/>
          <w:sz w:val="18"/>
          <w:szCs w:val="18"/>
          <w:color w:val="auto"/>
        </w:rPr>
        <w:t>. All forms of compensation referred to in this Agreement are subject to reduction to reflect applicable withholding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payroll taxes and other deductions required by law. You hereby acknowledge that the Company does not have a duty to design its compensation policies in a manner that minimizes your tax liabilities, and you will not make any claim against the Company or the Board related to tax liabilities arising from your compensation.</w:t>
      </w:r>
    </w:p>
    <w:p>
      <w:pPr>
        <w:spacing w:after="0" w:line="176"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27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Recoupment</w:t>
      </w:r>
      <w:r>
        <w:rPr>
          <w:rFonts w:ascii="Times New Roman" w:cs="Times New Roman" w:eastAsia="Times New Roman" w:hAnsi="Times New Roman"/>
          <w:sz w:val="18"/>
          <w:szCs w:val="18"/>
          <w:color w:val="auto"/>
        </w:rPr>
        <w:t>. Amounts paid or payable under this Agreement shall be subject to the provisions of any applicable clawback or recoupment policies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procedures adopted by the Company, which clawback or recoupment policies may provide for forfeiture and/or recoupment of amounts paid or payable under this Agreement. No forfeiture or recoupment under such policies or procedures will give rise to a right to resign for Good Reason under this Agreement or under any other agreement between you and the Company.</w:t>
      </w:r>
    </w:p>
    <w:p>
      <w:pPr>
        <w:spacing w:after="0" w:line="176" w:lineRule="exact"/>
        <w:rPr>
          <w:rFonts w:ascii="Times New Roman" w:cs="Times New Roman" w:eastAsia="Times New Roman" w:hAnsi="Times New Roman"/>
          <w:sz w:val="18"/>
          <w:szCs w:val="18"/>
          <w:b w:val="1"/>
          <w:bCs w:val="1"/>
          <w:color w:val="auto"/>
        </w:rPr>
      </w:pPr>
    </w:p>
    <w:p>
      <w:pPr>
        <w:jc w:val="both"/>
        <w:ind w:firstLine="8"/>
        <w:spacing w:after="0" w:line="254" w:lineRule="auto"/>
        <w:tabs>
          <w:tab w:leader="none" w:pos="27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 and Enforcement</w:t>
      </w:r>
      <w:r>
        <w:rPr>
          <w:rFonts w:ascii="Times New Roman" w:cs="Times New Roman" w:eastAsia="Times New Roman" w:hAnsi="Times New Roman"/>
          <w:sz w:val="18"/>
          <w:szCs w:val="18"/>
          <w:color w:val="auto"/>
        </w:rPr>
        <w:t>. This Agreement, together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the Business Protection Agreement and any award agreement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and the Company constitute the complete agreement between you and the Company, contains all of the terms of your employment with the Company and supersedes any prior agreements, representations or understandings (whether written, oral or implied) between you and the Company. The terms of this Agreement and the resolution of any disputes as to the meaning, effect, performance or validity of this Agreement or arising out of, related to, or in any way connected with this Agreement, your employment with the Company or any other relationship between you and the Company (the “</w:t>
      </w: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will be governed by federal law to the extent applicable and otherwise by California law, excluding laws relating to conflicts or choice of law and excluding Disputes arising in connection with any equity incentive plan, which shall be governed by the terms of the applicable equity incentive plan. You and the Company submit to the exclusive personal jurisdiction of the federal and state courts located in the County of San Mateo and State of California in connection with any Dispute or any claim related to any Dispute, except for Disputes arising under any equity incentive plan, which shall be governed by the terms of the applicable equity incentive plan.</w:t>
      </w:r>
    </w:p>
    <w:p>
      <w:pPr>
        <w:spacing w:after="0" w:line="185" w:lineRule="exact"/>
        <w:rPr>
          <w:rFonts w:ascii="Times New Roman" w:cs="Times New Roman" w:eastAsia="Times New Roman" w:hAnsi="Times New Roman"/>
          <w:sz w:val="18"/>
          <w:szCs w:val="18"/>
          <w:b w:val="1"/>
          <w:bCs w:val="1"/>
          <w:color w:val="auto"/>
        </w:rPr>
      </w:pPr>
    </w:p>
    <w:p>
      <w:pPr>
        <w:jc w:val="both"/>
        <w:ind w:firstLine="8"/>
        <w:spacing w:after="0" w:line="256" w:lineRule="auto"/>
        <w:tabs>
          <w:tab w:leader="none" w:pos="27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Neither you nor the Company may make any assignment of this Agreement or any interest in it, by operation of law or otherwise,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prior written consent of the other;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may assign its rights and obligations under this Agreement without your consent to any affiliate or to any person or entity with whom the Company shall hereafter effect a reorganization, consolidate with, or merge into or to whom it transfers all or substantially all of its properties or assets; provided further, that if you remain employed or become employed by the Company, the purchaser or any of their affiliates in connection with any such transaction, then you shall not be entitled to any payments, benefits or vesting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or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this Agreement solely as a result of such transaction. This Agreement shall inure to the benefit of and be binding upon you and the Company, and each of your and its respective successors, executors, administrators, heirs and permitted assigns.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0" w:name="page171"/>
    <w:bookmarkEnd w:id="170"/>
    <w:p>
      <w:pPr>
        <w:jc w:val="both"/>
        <w:ind w:firstLine="8"/>
        <w:spacing w:after="0" w:line="262" w:lineRule="auto"/>
        <w:tabs>
          <w:tab w:leader="none" w:pos="27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Waiver; Amendment</w:t>
      </w:r>
      <w:r>
        <w:rPr>
          <w:rFonts w:ascii="Times New Roman" w:cs="Times New Roman" w:eastAsia="Times New Roman" w:hAnsi="Times New Roman"/>
          <w:sz w:val="18"/>
          <w:szCs w:val="18"/>
          <w:color w:val="auto"/>
        </w:rPr>
        <w:t>. No waiver of any provision hereof shall be effective unless made in writing and signed by the waiving party. The failure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to require the performance of any term or obligation of this Agreement, or the waiver by any party of any breach of this Agreement, shall not prevent any subsequent enforcement of such term or obligation or be deemed a waiver of any subsequent breach. This Agreement may be amended or modified only by a written instrument signed by you and by a duly authorized executive officer of the Company.</w:t>
      </w:r>
    </w:p>
    <w:p>
      <w:pPr>
        <w:spacing w:after="0" w:line="176"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27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Enforceability</w:t>
      </w:r>
      <w:r>
        <w:rPr>
          <w:rFonts w:ascii="Times New Roman" w:cs="Times New Roman" w:eastAsia="Times New Roman" w:hAnsi="Times New Roman"/>
          <w:sz w:val="18"/>
          <w:szCs w:val="18"/>
          <w:color w:val="auto"/>
        </w:rPr>
        <w:t>. If any portion or provision of this Agreement (including, without limitation, any portion or provision of any section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6"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283"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w:t>
      </w:r>
      <w:r>
        <w:rPr>
          <w:rFonts w:ascii="Times New Roman" w:cs="Times New Roman" w:eastAsia="Times New Roman" w:hAnsi="Times New Roman"/>
          <w:sz w:val="18"/>
          <w:szCs w:val="18"/>
          <w:color w:val="auto"/>
        </w:rPr>
        <w:t>. You must submit satisfactory proof of your identity, successfully complete a criminal background check, which you hereby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 by your execution of this Agreement, and provide documentation of your legal authorization to work in the United States.</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54" w:lineRule="auto"/>
        <w:tabs>
          <w:tab w:leader="none" w:pos="27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Representations</w:t>
      </w:r>
      <w:r>
        <w:rPr>
          <w:rFonts w:ascii="Times New Roman" w:cs="Times New Roman" w:eastAsia="Times New Roman" w:hAnsi="Times New Roman"/>
          <w:sz w:val="18"/>
          <w:szCs w:val="18"/>
          <w:color w:val="auto"/>
        </w:rPr>
        <w:t>. It is the policy of the Company not to solicit or accept proprietary information and/or trade secrets of other companies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parties. If you have or have had access to trade secrets or other confidential, proprietary information from your former employer or another third party, the use of such information in performing your duties at the Company is prohibited. This may include, but is not limited to, confidential or proprietary information in the form of documents, magnetic media, software, customer lists, and business plans or strategies. In making this employment offer, the Company has relied on your representation that: (a) you are not currently a party to any agreement that would restrict your ability to accept this offer or to perform services for the Company; (b) you are not subject to any noncompetition or non-solicitation agreement or other restrictive covenants that might restrict your employment by the Company as contemplated by this offer; (c) you have the full right, power and authority to execute and deliver the Agreement and to perform all of your obligations thereunder; and (d) you will not bring with you to the Company or use in the performance of your responsibilities at the Company any materials, documents or work product of a former employer or other third party that are not generally available to the public, unless you have obtained written authorization from such former employer or third party for their possession and use and have provided the Company with a copy of same.</w:t>
      </w:r>
    </w:p>
    <w:p>
      <w:pPr>
        <w:spacing w:after="0" w:line="182" w:lineRule="exact"/>
        <w:rPr>
          <w:rFonts w:ascii="Times New Roman" w:cs="Times New Roman" w:eastAsia="Times New Roman" w:hAnsi="Times New Roman"/>
          <w:sz w:val="18"/>
          <w:szCs w:val="18"/>
          <w:b w:val="1"/>
          <w:bCs w:val="1"/>
          <w:color w:val="auto"/>
        </w:rPr>
      </w:pPr>
    </w:p>
    <w:p>
      <w:pPr>
        <w:jc w:val="both"/>
        <w:ind w:firstLine="8"/>
        <w:spacing w:after="0" w:line="257" w:lineRule="auto"/>
        <w:tabs>
          <w:tab w:leader="none" w:pos="283"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Terms</w:t>
      </w:r>
      <w:r>
        <w:rPr>
          <w:rFonts w:ascii="Times New Roman" w:cs="Times New Roman" w:eastAsia="Times New Roman" w:hAnsi="Times New Roman"/>
          <w:sz w:val="18"/>
          <w:szCs w:val="18"/>
          <w:color w:val="auto"/>
        </w:rPr>
        <w:t>. The provisions of this Agreement shall survive the termination of this Agreement and/or the termination of your employment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necessary to effectuate the terms contained herein. The headings and other captions in this Agreement are for convenience and reference only and shall not be used in interpreting, construing or enforcing any of the provisions of this Agreement. This Agreement may be executed in separate counterparts. When both counterparts are signed, they shall be treated together as one and the same document. PDF copies of signed counterparts shall be equally effective as originals. This Agreement may also be executed electronically by any means that satisfies applicable electronic signature laws (e.g., DocuSign).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1" w:name="page172"/>
    <w:bookmarkEnd w:id="171"/>
    <w:p>
      <w:pPr>
        <w:spacing w:after="0" w:line="282" w:lineRule="auto"/>
        <w:rPr>
          <w:sz w:val="20"/>
          <w:szCs w:val="20"/>
          <w:color w:val="auto"/>
        </w:rPr>
      </w:pPr>
      <w:r>
        <w:rPr>
          <w:rFonts w:ascii="Times New Roman" w:cs="Times New Roman" w:eastAsia="Times New Roman" w:hAnsi="Times New Roman"/>
          <w:sz w:val="18"/>
          <w:szCs w:val="18"/>
          <w:color w:val="auto"/>
        </w:rPr>
        <w:t>To indicate your acceptance of the Company’s offer, please sign this Agreement in the space provided below and return it to me. If you have any questions regarding this letter agreement, feel free to contact 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look forward to working with you to make the Company a great success.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Lawrence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 Klein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acknowledged: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Paul Quinlan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Quinlan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29" w:lineRule="exact"/>
        <w:rPr>
          <w:sz w:val="20"/>
          <w:szCs w:val="20"/>
          <w:color w:val="auto"/>
        </w:rPr>
      </w:pPr>
    </w:p>
    <w:p>
      <w:pPr>
        <w:jc w:val="both"/>
        <w:ind w:left="660" w:hanging="328"/>
        <w:spacing w:after="0" w:line="254"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(i) your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 (ii) your conviction or plea of no contest to: (A) a felony or (B) any misdemeanor involving moral turpitude, deceit, dishonesty or fraud; (iii) your failure to perform in all material respects your lawful assigned duties and responsibilities to the reasonable satisfaction of the Board, which failure continues, in the reasonable judgment of the Board, for 30 days after written notice given to you describing such failure; (iv) your gross negligence, willful misconduct that results in or is reasonably anticipated to result in material harm to the Company; or (v) your violation of any material violation of any agreement(s) between you and the Company or any written Company policies including, without limitation, agreements relating to non-solicitation, non-disclosure and/or assignment of inventions or policies related to ethics or workplace conduct.</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have the meaning set forth in the Company’s 2024 Stock Incentive Plan (or the meaning provided to any word of similar import under any successor plan).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 Period</w:t>
      </w:r>
      <w:r>
        <w:rPr>
          <w:rFonts w:ascii="Times New Roman" w:cs="Times New Roman" w:eastAsia="Times New Roman" w:hAnsi="Times New Roman"/>
          <w:sz w:val="18"/>
          <w:szCs w:val="18"/>
          <w:color w:val="auto"/>
        </w:rPr>
        <w:t>” shall mean the period commencing three months prior to the first event constituting a Change in Control and ending 12 months following the first event constituting a Change in Control.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mean a permanent and total disability as defined in Section 22(e) (3) of the Code.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that you have complied with the Good Reason Process (hereinafter defined) following the occurrence, without your written consent, of any of the following events: (i) a material diminution in your base salary or Target Bonus except for across-the-board salary and target bonus reductions of no more than 10% based on the Company’s financial performance similarly affecting all or substantially all senior management employees of the Company; (ii) a material change in the geographic location at which you are required to provide services to the Company or a requirement that you change your remote location from your then-current residence; (iii) a material reduction in your duties, authority or responsibilities; (iv) the failure of the Company to obtain the assumption of this Agreement by a successor; or (v) the material breach of this Agreement (or any other agreements with you) by the Company.</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 Process</w:t>
      </w:r>
      <w:r>
        <w:rPr>
          <w:rFonts w:ascii="Times New Roman" w:cs="Times New Roman" w:eastAsia="Times New Roman" w:hAnsi="Times New Roman"/>
          <w:sz w:val="18"/>
          <w:szCs w:val="18"/>
          <w:color w:val="auto"/>
        </w:rPr>
        <w:t>” shall mean that (i) you reasonably determine in good faith that a “Good Reason” condition has occurred; (ii) you notify the Company in writing of the first occurrence of the Good Reason condition within 60 days of the first occurrence of such condition; (iii) you cooperate in good faith with the Company’s efforts, for a period not less than 30 days following such notice (the “</w:t>
      </w:r>
      <w:r>
        <w:rPr>
          <w:rFonts w:ascii="Times New Roman" w:cs="Times New Roman" w:eastAsia="Times New Roman" w:hAnsi="Times New Roman"/>
          <w:sz w:val="18"/>
          <w:szCs w:val="18"/>
          <w:u w:val="single" w:color="auto"/>
          <w:color w:val="auto"/>
        </w:rPr>
        <w:t>Cure Period</w:t>
      </w:r>
      <w:r>
        <w:rPr>
          <w:rFonts w:ascii="Times New Roman" w:cs="Times New Roman" w:eastAsia="Times New Roman" w:hAnsi="Times New Roman"/>
          <w:sz w:val="18"/>
          <w:szCs w:val="18"/>
          <w:color w:val="auto"/>
        </w:rPr>
        <w:t>”), to remedy the condition; (iv) notwithstanding such efforts, the Good Reason condition continues to exist; and (v) you terminate your employment within 30 days after the end of the Cure Period. If the Company cures the Good Reason condition during the Cure Period, Good Reason shall be deemed not to have occurred.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156845</wp:posOffset>
            </wp:positionV>
            <wp:extent cx="2571750" cy="9258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8">
                      <a:extLst>
                        <a:ext uri="{28A0092B-C50C-407E-A947-70E740481C1C}"/>
                      </a:extLst>
                    </a:blip>
                    <a:srcRect/>
                    <a:stretch>
                      <a:fillRect/>
                    </a:stretch>
                  </pic:blipFill>
                  <pic:spPr bwMode="auto">
                    <a:xfrm>
                      <a:off x="0" y="0"/>
                      <a:ext cx="257175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Joana Goncalves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Oruka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855 Oak Grove Avenue, 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Amended and Restated Employment Letter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Jo:</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behalf of Oruka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 am pleased to offer you a continuing position as Chief Medical Officer (the “</w:t>
      </w:r>
      <w:r>
        <w:rPr>
          <w:rFonts w:ascii="Times New Roman" w:cs="Times New Roman" w:eastAsia="Times New Roman" w:hAnsi="Times New Roman"/>
          <w:sz w:val="18"/>
          <w:szCs w:val="18"/>
          <w:u w:val="single" w:color="auto"/>
          <w:color w:val="auto"/>
        </w:rPr>
        <w:t>Role</w:t>
      </w:r>
      <w:r>
        <w:rPr>
          <w:rFonts w:ascii="Times New Roman" w:cs="Times New Roman" w:eastAsia="Times New Roman" w:hAnsi="Times New Roman"/>
          <w:sz w:val="18"/>
          <w:szCs w:val="18"/>
          <w:color w:val="auto"/>
        </w:rPr>
        <w:t>”) pursuant to this letter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Your Role commenced on April 18, 2024 pursuant to your letter agreement dated March 15, 2024. This Agreement will amend and restate that March 15, 2024 letter agreement, provided you accept this offer as indicated by your signature below, to be effective as of the date hereof.</w:t>
      </w:r>
    </w:p>
    <w:p>
      <w:pPr>
        <w:spacing w:after="0" w:line="176" w:lineRule="exact"/>
        <w:rPr>
          <w:sz w:val="20"/>
          <w:szCs w:val="20"/>
          <w:color w:val="auto"/>
        </w:rPr>
      </w:pPr>
    </w:p>
    <w:p>
      <w:pPr>
        <w:jc w:val="both"/>
        <w:ind w:firstLine="8"/>
        <w:spacing w:after="0" w:line="259" w:lineRule="auto"/>
        <w:tabs>
          <w:tab w:leader="none" w:pos="22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Position</w:t>
      </w:r>
      <w:r>
        <w:rPr>
          <w:rFonts w:ascii="Times New Roman" w:cs="Times New Roman" w:eastAsia="Times New Roman" w:hAnsi="Times New Roman"/>
          <w:sz w:val="18"/>
          <w:szCs w:val="18"/>
          <w:color w:val="auto"/>
        </w:rPr>
        <w:t>. While serving in the Role, you will report to the Company’s Chief Executive Officer. You will have such duties, authorities,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responsibilities as are customarily associated with the Role. This is a full-time employment position. It is understood and agreed that, while you are employed by the Company, you will not engage in any other employment, consulting or other business activities (whether full-time or part-time), except as expressly authorized in writing by the Company. Notwithstanding the foregoing, you may engage in religious, charitable and other community activities so long as such activities do not unreasonably interfere or conflict with your obligations to the Company.</w:t>
      </w:r>
    </w:p>
    <w:p>
      <w:pPr>
        <w:spacing w:after="0" w:line="179" w:lineRule="exact"/>
        <w:rPr>
          <w:rFonts w:ascii="Times New Roman" w:cs="Times New Roman" w:eastAsia="Times New Roman" w:hAnsi="Times New Roman"/>
          <w:sz w:val="18"/>
          <w:szCs w:val="18"/>
          <w:b w:val="1"/>
          <w:bCs w:val="1"/>
          <w:color w:val="auto"/>
        </w:rPr>
      </w:pPr>
    </w:p>
    <w:p>
      <w:pPr>
        <w:jc w:val="both"/>
        <w:ind w:right="20" w:firstLine="8"/>
        <w:spacing w:after="0" w:line="262" w:lineRule="auto"/>
        <w:tabs>
          <w:tab w:leader="none" w:pos="18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 Upon and following the date hereof, as cash compensation for your services, the Company will pay you an initial base salary of $460,000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year, payable in accordance with the Company’s standard payroll schedule and subject to applicable deductions and withholdings. Your base salary will be subject to periodic review and potential adjustment in the Company’s discretion. Your base salary in effect at any given time is referred to herein as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Bonus Compensation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660" w:hanging="328"/>
        <w:spacing w:after="0" w:line="259" w:lineRule="auto"/>
        <w:tabs>
          <w:tab w:leader="none" w:pos="66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Signing Bonus</w:t>
      </w:r>
      <w:r>
        <w:rPr>
          <w:rFonts w:ascii="Times New Roman" w:cs="Times New Roman" w:eastAsia="Times New Roman" w:hAnsi="Times New Roman"/>
          <w:sz w:val="18"/>
          <w:szCs w:val="18"/>
          <w:color w:val="auto"/>
        </w:rPr>
        <w:t>. In connection with your commencement of employment with the Company on April 18, 2024, the Company advanced you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signing bonus of $100,000, less applicable deductions and withholdings, which was paid to you in the first payroll after your employment commencement. If you resign your employment with the Company for any reason or the Company terminates your employment for Cause, in either case prior to April 18, 2025, you agree to repay the Company, within 30 days following your separation date, a prorated portion of the signing bonus (based on the number of full months you worked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4" w:name="page175"/>
    <w:bookmarkEnd w:id="174"/>
    <w:p>
      <w:pPr>
        <w:jc w:val="both"/>
        <w:ind w:left="660" w:hanging="328"/>
        <w:spacing w:after="0" w:line="259" w:lineRule="auto"/>
        <w:tabs>
          <w:tab w:leader="none" w:pos="6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Bonus</w:t>
      </w:r>
      <w:r>
        <w:rPr>
          <w:rFonts w:ascii="Times New Roman" w:cs="Times New Roman" w:eastAsia="Times New Roman" w:hAnsi="Times New Roman"/>
          <w:sz w:val="18"/>
          <w:szCs w:val="18"/>
          <w:color w:val="auto"/>
        </w:rPr>
        <w:t>. You will continue to be eligible to receive an annual performance bonus targeted at 40% of your Base Salary. The target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bonus in effect at any given time is referred to herein as “</w:t>
      </w:r>
      <w:r>
        <w:rPr>
          <w:rFonts w:ascii="Times New Roman" w:cs="Times New Roman" w:eastAsia="Times New Roman" w:hAnsi="Times New Roman"/>
          <w:sz w:val="18"/>
          <w:szCs w:val="18"/>
          <w:u w:val="single" w:color="auto"/>
          <w:color w:val="auto"/>
        </w:rPr>
        <w:t>Target Bonus</w:t>
      </w:r>
      <w:r>
        <w:rPr>
          <w:rFonts w:ascii="Times New Roman" w:cs="Times New Roman" w:eastAsia="Times New Roman" w:hAnsi="Times New Roman"/>
          <w:sz w:val="18"/>
          <w:szCs w:val="18"/>
          <w:color w:val="auto"/>
        </w:rPr>
        <w:t>.” Your 2024 annual bonus will be prorated based on your period of employment following April 18, 2024. The actual bonus amount is discretionary and may be subject to achievement of performance targets established by the Company for such year. To earn an annual bonus, you must be employed by the Company as of the payment date of such bonus. Any annual bonus will be paid no later than March 15th of the calendar year following the calendar year to which such bonus relates.</w:t>
      </w:r>
    </w:p>
    <w:p>
      <w:pPr>
        <w:spacing w:after="0" w:line="179" w:lineRule="exact"/>
        <w:rPr>
          <w:rFonts w:ascii="Times New Roman" w:cs="Times New Roman" w:eastAsia="Times New Roman" w:hAnsi="Times New Roman"/>
          <w:sz w:val="18"/>
          <w:szCs w:val="18"/>
          <w:color w:val="auto"/>
        </w:rPr>
      </w:pPr>
    </w:p>
    <w:p>
      <w:pPr>
        <w:jc w:val="both"/>
        <w:ind w:firstLine="8"/>
        <w:spacing w:after="0" w:line="259" w:lineRule="auto"/>
        <w:tabs>
          <w:tab w:leader="none" w:pos="193"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Benefits/Paid Time Off. </w:t>
      </w:r>
      <w:r>
        <w:rPr>
          <w:rFonts w:ascii="Times New Roman" w:cs="Times New Roman" w:eastAsia="Times New Roman" w:hAnsi="Times New Roman"/>
          <w:sz w:val="18"/>
          <w:szCs w:val="18"/>
          <w:color w:val="auto"/>
        </w:rPr>
        <w:t>You will continue to be eligible, subject to the terms of the applicable plans and programs, to participate in the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and insurance programs generally made available to the Company’s full-time employees. Details of such benefits programs, including applicable employee contributions and waiting periods, if applicable, will be made available to you as such benefit(s) become available. You will be entitled to paid time off consistent with the terms of the Company’s paid time off policy, as in effect from time to time. The Company reserves the right to modify, limit, amend or cancel any of its benefits plans or programs at any time.</w:t>
      </w:r>
    </w:p>
    <w:p>
      <w:pPr>
        <w:spacing w:after="0" w:line="179"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18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 Reimbursement. </w:t>
      </w:r>
      <w:r>
        <w:rPr>
          <w:rFonts w:ascii="Times New Roman" w:cs="Times New Roman" w:eastAsia="Times New Roman" w:hAnsi="Times New Roman"/>
          <w:sz w:val="18"/>
          <w:szCs w:val="18"/>
          <w:color w:val="auto"/>
        </w:rPr>
        <w:t>The Company will reimburse you for all reasonable and necessary expenses incurred by you in connection with performing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duties as an employee of the Company and that are pre-approved by the Company, provided that you comply with any Company policy or practice on incurring, submitting, accounting for and documenting such expenses.</w:t>
      </w:r>
    </w:p>
    <w:p>
      <w:pPr>
        <w:spacing w:after="0" w:line="170" w:lineRule="exact"/>
        <w:rPr>
          <w:rFonts w:ascii="Times New Roman" w:cs="Times New Roman" w:eastAsia="Times New Roman" w:hAnsi="Times New Roman"/>
          <w:sz w:val="18"/>
          <w:szCs w:val="18"/>
          <w:b w:val="1"/>
          <w:bCs w:val="1"/>
          <w:color w:val="auto"/>
        </w:rPr>
      </w:pPr>
    </w:p>
    <w:p>
      <w:pPr>
        <w:jc w:val="both"/>
        <w:ind w:right="20" w:firstLine="8"/>
        <w:spacing w:after="0" w:line="268" w:lineRule="auto"/>
        <w:tabs>
          <w:tab w:leader="none" w:pos="18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Location</w:t>
      </w:r>
      <w:r>
        <w:rPr>
          <w:rFonts w:ascii="Times New Roman" w:cs="Times New Roman" w:eastAsia="Times New Roman" w:hAnsi="Times New Roman"/>
          <w:sz w:val="18"/>
          <w:szCs w:val="18"/>
          <w:color w:val="auto"/>
        </w:rPr>
        <w:t>. Your primary work location will continue to be remote in Connecticut, provided that you may be required to engage in reasonable travel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consistent with the Company’s business needs. You may change your remote work location with prior written notice to and approval from the Company.</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259" w:lineRule="auto"/>
        <w:tabs>
          <w:tab w:leader="none" w:pos="193"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At-Will Employment; Resignation from Subsidiaries</w:t>
      </w:r>
      <w:r>
        <w:rPr>
          <w:rFonts w:ascii="Times New Roman" w:cs="Times New Roman" w:eastAsia="Times New Roman" w:hAnsi="Times New Roman"/>
          <w:sz w:val="18"/>
          <w:szCs w:val="18"/>
          <w:color w:val="auto"/>
        </w:rPr>
        <w:t>. At all times, your employment with the Company is “at will,” meaning you 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terminate it at any time for any or no reason, subject to the terms of this Agreement. Although your job duties, title, reporting structure, compensation and benefits, as well as the Company’s benefit plans and personnel policies and procedures, may change from time to time (subject to the terms of this Agreement), the “at will” nature of your employment may only be changed in an express written agreement signed by you and an authorized executive officer of the Company. Your last day of employment for any reason is referred to herein as the “Date of Termination.”</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 the extent applicable, you shall be deemed to have resigned from all officer and board member positions that you hold with the Company or any of its respective subsidiaries and affiliates upon the termination of your employment for any reason. You shall execute any documents in reasonable form as may be requested to confirm or effectuate any such resignations.</w:t>
      </w:r>
    </w:p>
    <w:p>
      <w:pPr>
        <w:spacing w:after="0" w:line="172" w:lineRule="exact"/>
        <w:rPr>
          <w:sz w:val="20"/>
          <w:szCs w:val="20"/>
          <w:color w:val="auto"/>
        </w:rPr>
      </w:pPr>
    </w:p>
    <w:p>
      <w:pPr>
        <w:jc w:val="both"/>
        <w:ind w:firstLine="8"/>
        <w:spacing w:after="0" w:line="268" w:lineRule="auto"/>
        <w:tabs>
          <w:tab w:leader="none" w:pos="18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Obligations</w:t>
      </w:r>
      <w:r>
        <w:rPr>
          <w:rFonts w:ascii="Times New Roman" w:cs="Times New Roman" w:eastAsia="Times New Roman" w:hAnsi="Times New Roman"/>
          <w:sz w:val="18"/>
          <w:szCs w:val="18"/>
          <w:color w:val="auto"/>
        </w:rPr>
        <w:t>. In the event of the ending of your employment for any reason, the Company shall pay you (i) your Base Salary and, if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accrued but unused vacation, through the Date of Termination, and (ii) the amount of any documented expenses properly incurred by you on behalf of the Company prior to any such termination and not yet reimbursed. (the “</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5" w:name="page176"/>
    <w:bookmarkEnd w:id="175"/>
    <w:p>
      <w:pPr>
        <w:jc w:val="both"/>
        <w:ind w:firstLine="8"/>
        <w:spacing w:after="0" w:line="255" w:lineRule="auto"/>
        <w:tabs>
          <w:tab w:leader="none" w:pos="193"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Severance Pay and Benefits Outside of the Change in Control Period</w:t>
      </w:r>
      <w:r>
        <w:rPr>
          <w:rFonts w:ascii="Times New Roman" w:cs="Times New Roman" w:eastAsia="Times New Roman" w:hAnsi="Times New Roman"/>
          <w:sz w:val="18"/>
          <w:szCs w:val="18"/>
          <w:color w:val="auto"/>
        </w:rPr>
        <w:t>. If the Company terminates your employment without Cause (and not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result of your death or Disability) or you resign with Good Reason, in each case, outside of the Change in Control Period (as such capitalized terms are defined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then, in addition to the Accrued Obligations, and subject to (i) your execution and non-revocation of a separation agreement and release in a form acceptable to the Company, which shall include a general release of claims against the Company and all related persons and entities and a reaffirmation of the Continuing Obligations (as defined below) and shall provide that if you breach the Continuing Obligations, all payments of the following severance pay and benefits shall immediately cease (the “</w:t>
      </w:r>
      <w:r>
        <w:rPr>
          <w:rFonts w:ascii="Times New Roman" w:cs="Times New Roman" w:eastAsia="Times New Roman" w:hAnsi="Times New Roman"/>
          <w:sz w:val="18"/>
          <w:szCs w:val="18"/>
          <w:u w:val="single" w:color="auto"/>
          <w:color w:val="auto"/>
        </w:rPr>
        <w:t>Separation Agreement and Release</w:t>
      </w:r>
      <w:r>
        <w:rPr>
          <w:rFonts w:ascii="Times New Roman" w:cs="Times New Roman" w:eastAsia="Times New Roman" w:hAnsi="Times New Roman"/>
          <w:sz w:val="18"/>
          <w:szCs w:val="18"/>
          <w:color w:val="auto"/>
        </w:rPr>
        <w:t>”), and (ii) the Separation Agreement and Release becoming irrevocable, all within 60 days after the Date of Termination (or such shorter period as set forth in the Separation Agreement and Release), which shall include a seven-day revocation period:</w:t>
      </w:r>
    </w:p>
    <w:p>
      <w:pPr>
        <w:spacing w:after="0" w:line="188" w:lineRule="exact"/>
        <w:rPr>
          <w:rFonts w:ascii="Times New Roman" w:cs="Times New Roman" w:eastAsia="Times New Roman" w:hAnsi="Times New Roman"/>
          <w:sz w:val="18"/>
          <w:szCs w:val="18"/>
          <w:b w:val="1"/>
          <w:bCs w:val="1"/>
          <w:color w:val="auto"/>
        </w:rPr>
      </w:pPr>
    </w:p>
    <w:p>
      <w:pPr>
        <w:jc w:val="both"/>
        <w:ind w:left="660" w:hanging="328"/>
        <w:spacing w:after="0" w:line="258" w:lineRule="auto"/>
        <w:tabs>
          <w:tab w:leader="none" w:pos="6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you an amount equal to 12 months of your Base Salary (the “</w:t>
      </w:r>
      <w:r>
        <w:rPr>
          <w:rFonts w:ascii="Times New Roman" w:cs="Times New Roman" w:eastAsia="Times New Roman" w:hAnsi="Times New Roman"/>
          <w:sz w:val="18"/>
          <w:szCs w:val="18"/>
          <w:u w:val="single" w:color="auto"/>
          <w:color w:val="auto"/>
        </w:rPr>
        <w:t>Severance Amount</w:t>
      </w:r>
      <w:r>
        <w:rPr>
          <w:rFonts w:ascii="Times New Roman" w:cs="Times New Roman" w:eastAsia="Times New Roman" w:hAnsi="Times New Roman"/>
          <w:sz w:val="18"/>
          <w:szCs w:val="18"/>
          <w:color w:val="auto"/>
        </w:rPr>
        <w:t>”), payable in substantially equal installments over the 12-month period following the Date of Termination in accordance with the Company’s regular payroll practices beginning on the Company’s first regularly scheduled payroll date following the date that is 60 days after the Date of Termination; provided, however, that the first installment shall include any amounts that would have been paid following the Date of Termination had such installments commenced on the first regularly scheduled payroll date following the Date of Termination.</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your copayment of premium amounts at the applicable active employees’ rate and your proper election to receive benefits under the Consolidated Omnibus Budget Reconciliation Act of 1985, as amended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the Company shall pay to the group health plan provider(s), the COBRA provider or you a monthly payment equal to the monthly employer contribution that the Company would have made to provide health insurance to you if you had remained employed by the Company until the earliest of (A) the 12-month anniversary of the Date of Termin(A) the 12-month anniversary of the Date of Termination; (B) your eligibility for group health plan benefits under any other employer’s group health plan; or (C) the cessation of your continuation rights under COBRA; provided, however, that if the Company reasonably determines that it cannot pay such amounts to the group health plan provider(s)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if to you, shall be subject to tax-related deductions and withholdings and paid on the Company’s regular payroll dates.ation; (B) your eligibility for group health plan benefits under any other employer’s group health plan; or (C) the cessation of your continuation rights under COBRA; provided, however, that if the Company reasonably determines that it cannot pay such amounts to the group health plan provider(s)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if to you, shall be subject to tax-related deductions and withholdings and paid on the Company’s regular payroll dates.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anything to the contrary in this Agreement, for the avoidance of doubt:</w:t>
      </w:r>
    </w:p>
    <w:p>
      <w:pPr>
        <w:spacing w:after="0" w:line="225" w:lineRule="exact"/>
        <w:rPr>
          <w:sz w:val="20"/>
          <w:szCs w:val="20"/>
          <w:color w:val="auto"/>
        </w:rPr>
      </w:pPr>
    </w:p>
    <w:p>
      <w:pPr>
        <w:ind w:left="660" w:hanging="328"/>
        <w:spacing w:after="0" w:line="282"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employment ends as a result of a termination by the Company for Cause or a resignation by you without Good Reason, you will be entitled to the Accrued Obligations and will not be entitled to any further compensation from the Company;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employment ends due to your death or Disability, (i) you will receive the Accrued Obligations and (ii) all outstanding equity-based awards subject to time-based vesting (the “</w:t>
      </w:r>
      <w:r>
        <w:rPr>
          <w:rFonts w:ascii="Times New Roman" w:cs="Times New Roman" w:eastAsia="Times New Roman" w:hAnsi="Times New Roman"/>
          <w:sz w:val="18"/>
          <w:szCs w:val="18"/>
          <w:u w:val="single" w:color="auto"/>
          <w:color w:val="auto"/>
        </w:rPr>
        <w:t>Time-Based Equity Awards</w:t>
      </w:r>
      <w:r>
        <w:rPr>
          <w:rFonts w:ascii="Times New Roman" w:cs="Times New Roman" w:eastAsia="Times New Roman" w:hAnsi="Times New Roman"/>
          <w:sz w:val="18"/>
          <w:szCs w:val="18"/>
          <w:color w:val="auto"/>
        </w:rPr>
        <w:t xml:space="preserve">”) as of the Termination Date shall immediately accelerate and become vested or nonforfeitable as of the Date of Termination, but you will not be eligible for any other severance pay or benefits, whether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or otherwise.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6" w:name="page177"/>
    <w:bookmarkEnd w:id="176"/>
    <w:p>
      <w:pPr>
        <w:jc w:val="both"/>
        <w:ind w:firstLine="8"/>
        <w:spacing w:after="0" w:line="259" w:lineRule="auto"/>
        <w:tabs>
          <w:tab w:leader="none" w:pos="27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Severance Pay and Benefits Within the Change in Control Period</w:t>
      </w:r>
      <w:r>
        <w:rPr>
          <w:rFonts w:ascii="Times New Roman" w:cs="Times New Roman" w:eastAsia="Times New Roman" w:hAnsi="Times New Roman"/>
          <w:sz w:val="18"/>
          <w:szCs w:val="18"/>
          <w:color w:val="auto"/>
        </w:rPr>
        <w:t>. If the Company terminates your employment without Cause (and not as a result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your death or Disability) or you resign with Good Reason, in each case, within the Change in Control Period, then, in addition to you being entitled to the Accrued Obligations, and subject to your execution and non-revocation of the Separation Agreement and Release and it becoming fully effective, all within 60 days after the Date of Termination (or such shorter period as set forth in the Separation Agreement and Release), which shall include a seven-day revocation period:</w:t>
      </w:r>
    </w:p>
    <w:p>
      <w:pPr>
        <w:spacing w:after="0" w:line="183" w:lineRule="exact"/>
        <w:rPr>
          <w:rFonts w:ascii="Times New Roman" w:cs="Times New Roman" w:eastAsia="Times New Roman" w:hAnsi="Times New Roman"/>
          <w:sz w:val="18"/>
          <w:szCs w:val="18"/>
          <w:b w:val="1"/>
          <w:bCs w:val="1"/>
          <w:color w:val="auto"/>
        </w:rPr>
      </w:pPr>
    </w:p>
    <w:p>
      <w:pPr>
        <w:jc w:val="both"/>
        <w:ind w:left="660" w:hanging="328"/>
        <w:spacing w:after="0" w:line="254" w:lineRule="auto"/>
        <w:tabs>
          <w:tab w:leader="none" w:pos="6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you an amount equal 1.0 times the sum of (i) your Base Salary and (ii) your Target Bonus for the year in which the termination occurs (in each case, calculated by reference to your Base Salary rate and Target Bonus as in effect immediately prior to your termination, but without giving effect to any prior reduction in Base Salary or Target Bonus by the Company that would give rise to your right to resign for Good Reason) (such salary and bonuses together, the “</w:t>
      </w:r>
      <w:r>
        <w:rPr>
          <w:rFonts w:ascii="Times New Roman" w:cs="Times New Roman" w:eastAsia="Times New Roman" w:hAnsi="Times New Roman"/>
          <w:sz w:val="18"/>
          <w:szCs w:val="18"/>
          <w:u w:val="single" w:color="auto"/>
          <w:color w:val="auto"/>
        </w:rPr>
        <w:t>CIC Severance Amount</w:t>
      </w:r>
      <w:r>
        <w:rPr>
          <w:rFonts w:ascii="Times New Roman" w:cs="Times New Roman" w:eastAsia="Times New Roman" w:hAnsi="Times New Roman"/>
          <w:sz w:val="18"/>
          <w:szCs w:val="18"/>
          <w:color w:val="auto"/>
        </w:rPr>
        <w:t>”), payable in substantially equal installments over the 12-month period following the Date of Termination in accordance with the Company’s regular payroll practices beginning on the Company’s first regularly scheduled payroll date following the date that is 60 days after the Date of Termination; provided, however, that the first installment shall include any amounts that would have been paid following the Date of Termination had such installments commenced on the first regularly scheduled payroll date following the Date of Termination.</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any applicable equity-based award agreement or plan, all of the unvested portion of your then outstanding Time-Based Equity Awards as of the Termination Date shall immediately accelerate and become vested or nonforfeitable as of the later of (i) the Date of Termination or (ii) the effective date of the Separation Agreement and Release (such later date being the “</w:t>
      </w:r>
      <w:r>
        <w:rPr>
          <w:rFonts w:ascii="Times New Roman" w:cs="Times New Roman" w:eastAsia="Times New Roman" w:hAnsi="Times New Roman"/>
          <w:sz w:val="18"/>
          <w:szCs w:val="18"/>
          <w:u w:val="single" w:color="auto"/>
          <w:color w:val="auto"/>
        </w:rPr>
        <w:t>Accelerated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Vesting Date</w:t>
      </w:r>
      <w:r>
        <w:rPr>
          <w:rFonts w:ascii="Times New Roman" w:cs="Times New Roman" w:eastAsia="Times New Roman" w:hAnsi="Times New Roman"/>
          <w:sz w:val="18"/>
          <w:szCs w:val="18"/>
          <w:color w:val="auto"/>
        </w:rPr>
        <w:t>”); and provided further that any termination or forfeiture of the unvested portion of such Time- Based Equity Awards that would otherwise occur on the Date of Termination in the absence of this Agreement will be delayed until the effective date of the Separation Agreement and Release and will only occur if the vesting pursuant to this subsection does not occur due to the absence of the Separation Agreement and Release becoming fully effective within the time period set forth therein. Notwithstanding the foregoing, no additional vesting of the Time-Based Equity Awards shall occur during the period between the Date of Termination and the Accelerated Vesting Date.</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your outstanding equity-based awards subject to performance-based vesting (the “</w:t>
      </w:r>
      <w:r>
        <w:rPr>
          <w:rFonts w:ascii="Times New Roman" w:cs="Times New Roman" w:eastAsia="Times New Roman" w:hAnsi="Times New Roman"/>
          <w:sz w:val="18"/>
          <w:szCs w:val="18"/>
          <w:u w:val="single" w:color="auto"/>
          <w:color w:val="auto"/>
        </w:rPr>
        <w:t>Performance-Based Equity Awards</w:t>
      </w:r>
      <w:r>
        <w:rPr>
          <w:rFonts w:ascii="Times New Roman" w:cs="Times New Roman" w:eastAsia="Times New Roman" w:hAnsi="Times New Roman"/>
          <w:sz w:val="18"/>
          <w:szCs w:val="18"/>
          <w:color w:val="auto"/>
        </w:rPr>
        <w:t xml:space="preserve">”) shall immediately accelerate and become vested or nonforfeitable as of the Accelerated Vesting Date with the performance criteria being deemed to have been met based on the greater of target or, if determinable, actual performance; provided, however, that the applicable award agreement for any Performance-Based Equity Award may provide for alternative treatment upon a termination covered by this </w:t>
      </w:r>
      <w:r>
        <w:rPr>
          <w:rFonts w:ascii="Times New Roman" w:cs="Times New Roman" w:eastAsia="Times New Roman" w:hAnsi="Times New Roman"/>
          <w:sz w:val="18"/>
          <w:szCs w:val="18"/>
          <w:u w:val="single" w:color="auto"/>
          <w:color w:val="auto"/>
        </w:rPr>
        <w:t>Section 10.</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7" w:name="page178"/>
    <w:bookmarkEnd w:id="177"/>
    <w:p>
      <w:pPr>
        <w:jc w:val="both"/>
        <w:ind w:left="660" w:hanging="328"/>
        <w:spacing w:after="0" w:line="255"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to the group health plan provider(s), the COBRA provider or you a monthly payment equal to the monthly COBRA continuation premiums until the earliest of (A) the 12-month anniversary of the Date of Termination; (B) your eligibility for group health plan benefits under any other employer’s group health plan; or (C) the cessation of your continuation rights under COBRA; provided, however, that if the Company reasonably determines that it cannot pay such amounts to the group health plan provider(s)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if to you, shall be subject to tax-related deductions and withholdings and paid on the Company’s regular payroll dates.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For the avoidance of doubt,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this Agreement are mutually exclusive and in no event shall you be entitled to payments or benefits pursuant to both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this Agreement.</w:t>
      </w:r>
    </w:p>
    <w:p>
      <w:pPr>
        <w:spacing w:after="0" w:line="158" w:lineRule="exact"/>
        <w:rPr>
          <w:sz w:val="20"/>
          <w:szCs w:val="20"/>
          <w:color w:val="auto"/>
        </w:rPr>
      </w:pPr>
    </w:p>
    <w:p>
      <w:pPr>
        <w:ind w:left="260" w:hanging="252"/>
        <w:spacing w:after="0"/>
        <w:tabs>
          <w:tab w:leader="none" w:pos="26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Continuing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660" w:hanging="328"/>
        <w:spacing w:after="0" w:line="262" w:lineRule="auto"/>
        <w:tabs>
          <w:tab w:leader="none" w:pos="6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Business Protection Agreement</w:t>
      </w:r>
      <w:r>
        <w:rPr>
          <w:rFonts w:ascii="Times New Roman" w:cs="Times New Roman" w:eastAsia="Times New Roman" w:hAnsi="Times New Roman"/>
          <w:sz w:val="18"/>
          <w:szCs w:val="18"/>
          <w:color w:val="auto"/>
        </w:rPr>
        <w:t>. You have previously entered into an Invention Assignment, Non-Disclosure and Business Protection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Business Protection Agreement</w:t>
      </w:r>
      <w:r>
        <w:rPr>
          <w:rFonts w:ascii="Times New Roman" w:cs="Times New Roman" w:eastAsia="Times New Roman" w:hAnsi="Times New Roman"/>
          <w:sz w:val="18"/>
          <w:szCs w:val="18"/>
          <w:color w:val="auto"/>
        </w:rPr>
        <w:t xml:space="preserve">”). For purposes of this Agreement, the obligations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and those that arise in the Business Protection Agreement and any other agreement relating to confidentiality, assignment of inventions, or other restrictive covenants shall collectively be referred to as the “</w:t>
      </w:r>
      <w:r>
        <w:rPr>
          <w:rFonts w:ascii="Times New Roman" w:cs="Times New Roman" w:eastAsia="Times New Roman" w:hAnsi="Times New Roman"/>
          <w:sz w:val="18"/>
          <w:szCs w:val="18"/>
          <w:u w:val="single" w:color="auto"/>
          <w:color w:val="auto"/>
        </w:rPr>
        <w:t>Continuing Obligations</w:t>
      </w:r>
      <w:r>
        <w:rPr>
          <w:rFonts w:ascii="Times New Roman" w:cs="Times New Roman" w:eastAsia="Times New Roman" w:hAnsi="Times New Roman"/>
          <w:sz w:val="18"/>
          <w:szCs w:val="18"/>
          <w:color w:val="auto"/>
        </w:rPr>
        <w:t>.”</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Third Party Agreements and Rights</w:t>
      </w:r>
      <w:r>
        <w:rPr>
          <w:rFonts w:ascii="Times New Roman" w:cs="Times New Roman" w:eastAsia="Times New Roman" w:hAnsi="Times New Roman"/>
          <w:sz w:val="18"/>
          <w:szCs w:val="18"/>
          <w:color w:val="auto"/>
        </w:rPr>
        <w:t>. You hereby confirm that you are not bound by the terms of any agreement with any previous employer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party that would prevent you from performing your obligations hereunder. You represent to the Company that your execution of this Agreement, your employment with the Company and the performance of your proposed duties for the Company will not violate any obligations you may have to any such previous employer or other party. In your work for the Company, you will not disclose or make use of any information in violation of any agreements with or rights of any such previous employer or other party, and you will not bring to the premises of the Company or load or access on any electronic system of the Company, any copies or other tangible embodiments of non-public information belonging to or obtained from any such previous employment or other party.</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Litigation and Regulatory Cooperation</w:t>
      </w:r>
      <w:r>
        <w:rPr>
          <w:rFonts w:ascii="Times New Roman" w:cs="Times New Roman" w:eastAsia="Times New Roman" w:hAnsi="Times New Roman"/>
          <w:sz w:val="18"/>
          <w:szCs w:val="18"/>
          <w:color w:val="auto"/>
        </w:rPr>
        <w:t>. You shall reasonably cooperate with the Company in (i) the defense or prosecution of any claims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actions now in existence or that may be brought in the future against or on behalf of the Company that relate to events or occurrences that transpired while you were engaged or employed by the Company, and (ii) the investigation, whether internal or external, of any matters about which the Company believes you may have knowledge or information. Your full cooperation in connection with such claims, actions or investigations shall include, but not be limited to, being reasonably available to meet with counsel to answer questions or to prepare for discovery or trial and to act as a witness on behalf of the Company at mutually convenient times. During and after your engagement and employment, you also shall reasonably cooperate with the Company in connection with any investigation or review of any federal, state or local regulatory authority as any such investigation or review relates to events or occurrences that transpired while you were employed by the Company. The Company shall reimburse you for any reasonable out-of-pocket expenses incurred in connection with your performance of obligations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8" w:name="page179"/>
    <w:bookmarkEnd w:id="178"/>
    <w:p>
      <w:pPr>
        <w:jc w:val="both"/>
        <w:ind w:left="660" w:hanging="328"/>
        <w:spacing w:after="0" w:line="259" w:lineRule="auto"/>
        <w:tabs>
          <w:tab w:leader="none" w:pos="6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Relief</w:t>
      </w:r>
      <w:r>
        <w:rPr>
          <w:rFonts w:ascii="Times New Roman" w:cs="Times New Roman" w:eastAsia="Times New Roman" w:hAnsi="Times New Roman"/>
          <w:sz w:val="18"/>
          <w:szCs w:val="18"/>
          <w:color w:val="auto"/>
        </w:rPr>
        <w:t>. You agree that it would be difficult to measure any damages caused to the Company that might result from your breach of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 Obligations, and that in any event money damages may be an inadequate remedy for any such breach. Accordingly, you agree that if you breach, or propose to breach, any portion of the Continuing Obligations, the Company shall be entitled, in addition to all other remedies that it may have, to seek an injunction or other appropriate equitable relief to restrain any such breach without showing or proving any actual damage to the Company or posting any bond.</w:t>
      </w:r>
    </w:p>
    <w:p>
      <w:pPr>
        <w:spacing w:after="0" w:line="17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Golden Parachute Taxes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660" w:hanging="328"/>
        <w:spacing w:after="0" w:line="252" w:lineRule="auto"/>
        <w:tabs>
          <w:tab w:leader="none" w:pos="66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Best After-Tax Result</w:t>
      </w:r>
      <w:r>
        <w:rPr>
          <w:rFonts w:ascii="Times New Roman" w:cs="Times New Roman" w:eastAsia="Times New Roman" w:hAnsi="Times New Roman"/>
          <w:sz w:val="18"/>
          <w:szCs w:val="18"/>
          <w:color w:val="auto"/>
        </w:rPr>
        <w:t>. In the event that any payment or benefit received or to be received by you pursuant to this Agreement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would (i) constitute a “parachute payment” within the meaning of Section 280G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(ii) but for this subsection (a), be subject to the excise tax imposed by Section 4999 of the Code, any successor provisions, or any comparable federal, state, local or foreign excise tax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then, subject to the provisions of Section 14, such Payments shall be either (A) provided in full pursuant to the terms of this Agreement or any other applicable agreement, or (B) provided as to such lesser extent that would result in the Payments being $1.00 less than the amount at which any portion of the Payments would be subject to the Excise Tax, whichever of the foregoing amounts, taking into account the applicable federal, state, local and foreign income, employment and other taxes and the Excise Tax (including, without limitation, any interest or penalties on such taxes), results in the receipt, on an after-tax basis, of the greatest amount of payments and benefits provided for hereunder or otherwise, notwithstanding that all or some portion of such Payments may be subject to the Excise Tax. Unless the Company and you otherwise agree in writing, any determination required under this Section shall be made by independent tax counsel designated by the Company and reasonably acceptable to you (“</w:t>
      </w:r>
      <w:r>
        <w:rPr>
          <w:rFonts w:ascii="Times New Roman" w:cs="Times New Roman" w:eastAsia="Times New Roman" w:hAnsi="Times New Roman"/>
          <w:sz w:val="18"/>
          <w:szCs w:val="18"/>
          <w:u w:val="single" w:color="auto"/>
          <w:color w:val="auto"/>
        </w:rPr>
        <w:t>Independent Tax Counsel</w:t>
      </w:r>
      <w:r>
        <w:rPr>
          <w:rFonts w:ascii="Times New Roman" w:cs="Times New Roman" w:eastAsia="Times New Roman" w:hAnsi="Times New Roman"/>
          <w:sz w:val="18"/>
          <w:szCs w:val="18"/>
          <w:color w:val="auto"/>
        </w:rPr>
        <w:t xml:space="preserve">”), whose determination shall be conclusive and binding upon you and the Company for all purposes. For purposes of making the calculations required under this Section, Independent Tax Counsel may make reasonable assumptions and approximations concerning applicable taxes and may rely on reasonable, good faith interpretations concerning the application of Sections 280G and 4999 of the Code; provided that Independent Tax Counsel shall assume that you pay all taxes at the highest marginal rate. The Company and you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(ii)(B)</w:t>
      </w:r>
      <w:r>
        <w:rPr>
          <w:rFonts w:ascii="Times New Roman" w:cs="Times New Roman" w:eastAsia="Times New Roman" w:hAnsi="Times New Roman"/>
          <w:sz w:val="18"/>
          <w:szCs w:val="18"/>
          <w:color w:val="auto"/>
        </w:rPr>
        <w:t xml:space="preserve"> above applies, then based on the information provided to you and the Company by Independent Tax Counsel, the cutback described hereunder will apply as to compensation not subject to Section 409A of the Code prior to compensation subject to Section 409A of the Code and will otherwise apply on a reverse chronological basis from payments latest in time. If the Internal Revenue Service (the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xml:space="preserve">”) determines that any Payment is subject to the Excise Tax, then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 xml:space="preserve"> hereof shall apply, and the enforcement of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 xml:space="preserve"> shall be the exclusive remedy to the Company.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9" w:name="page180"/>
    <w:bookmarkEnd w:id="179"/>
    <w:p>
      <w:pPr>
        <w:jc w:val="both"/>
        <w:ind w:left="660" w:hanging="328"/>
        <w:spacing w:after="0" w:line="254" w:lineRule="auto"/>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18"/>
          <w:szCs w:val="18"/>
          <w:color w:val="auto"/>
        </w:rPr>
        <w:t>. If, notwithstanding any reduction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(or in the absence of any such reduction), the IRS determines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you are liable for the Excise Tax as a result of the receipt of one or more Payments, then you shall be obligated to surrender or pay back to the Company within one-hundred 120 days after a final IRS determination, an amount of such payments or benefits equal to the “</w:t>
      </w:r>
      <w:r>
        <w:rPr>
          <w:rFonts w:ascii="Times New Roman" w:cs="Times New Roman" w:eastAsia="Times New Roman" w:hAnsi="Times New Roman"/>
          <w:sz w:val="18"/>
          <w:szCs w:val="18"/>
          <w:u w:val="single" w:color="auto"/>
          <w:color w:val="auto"/>
        </w:rPr>
        <w:t>Repayment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xml:space="preserve">.” The Repayment Amount with respect to such Payments shall be the smallest such amount, if any, as shall be required to be surrendered or paid to the Company so that your net proceeds with respect to such Payments (after taking into account the payment of the Excise Tax imposed on such Payments) shall be maximized. Notwithstanding the foregoing, the Repayment Amount with respect to such Payments shall be zero if a Repayment Amount of more than zero would not eliminate the Excise Tax imposed on such Payments or if a Repayment Amount of more than zero would not maximize the net amount received from the Payments. If the Excise Tax is not eliminated pursuant to this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 you shall pay the Excise Tax.</w:t>
      </w:r>
    </w:p>
    <w:p>
      <w:pPr>
        <w:spacing w:after="0" w:line="188"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660" w:hanging="328"/>
        <w:spacing w:after="0" w:line="254" w:lineRule="auto"/>
        <w:tabs>
          <w:tab w:leader="none" w:pos="66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if at the time of your separation from service within the meaning of Section 409A of the Code, the Company determines that you are a “specified employee” within the meaning of Section 409A(a)(2)(B)(i) of the Code, then to the extent any payment or benefit that you become entitled to under this Agreement or otherwise on account of your separation from service would be considered deferred compensation otherwise subject to the additional tax imposed pursuant to Section 409A(a) of the Code as a result of the application of Section 409A(a)(2)(B)(i) of the Code, such payment shall not be payable and such benefit shall not be provided until the date that is the earlier of (A) six months and one day after your separation from service, or (B) your death. If any such delayed cash payment is otherwise payable on an installment basis, the first payment shall include a catch- up payment covering amounts that would otherwise have been paid during the six- month period but for the application of this provision (without interest), and the balance of the installments shall be payable in accordance with their original schedule.</w:t>
      </w:r>
    </w:p>
    <w:p>
      <w:pPr>
        <w:spacing w:after="0" w:line="21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in-kind benefits provided and expenses eligible for reimbursement under this Agreement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0" w:name="page181"/>
    <w:bookmarkEnd w:id="180"/>
    <w:p>
      <w:pPr>
        <w:jc w:val="both"/>
        <w:ind w:left="660" w:hanging="328"/>
        <w:spacing w:after="0" w:line="261" w:lineRule="auto"/>
        <w:tabs>
          <w:tab w:leader="none" w:pos="66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payment or benefit described in this Agreement constitutes “non- qualified deferred compensation” under Section 409A of the Code, and to the extent that such payment or benefit is payable upon the termination of your employment, then such payments or benefits shall be payable only upon your “separation from service.” The determination of whether and when a separation from service has occurred shall be made in accordance with the presumptions set forth in Treasury Regulation Section 1.409A-l(h).</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such Section.</w:t>
      </w:r>
    </w:p>
    <w:p>
      <w:pPr>
        <w:spacing w:after="0" w:line="171" w:lineRule="exact"/>
        <w:rPr>
          <w:rFonts w:ascii="Times New Roman" w:cs="Times New Roman" w:eastAsia="Times New Roman" w:hAnsi="Times New Roman"/>
          <w:sz w:val="18"/>
          <w:szCs w:val="18"/>
          <w:color w:val="auto"/>
        </w:rPr>
      </w:pPr>
    </w:p>
    <w:p>
      <w:pPr>
        <w:jc w:val="both"/>
        <w:ind w:firstLine="8"/>
        <w:spacing w:after="0" w:line="262" w:lineRule="auto"/>
        <w:tabs>
          <w:tab w:leader="none" w:pos="283"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Tax Effect</w:t>
      </w:r>
      <w:r>
        <w:rPr>
          <w:rFonts w:ascii="Times New Roman" w:cs="Times New Roman" w:eastAsia="Times New Roman" w:hAnsi="Times New Roman"/>
          <w:sz w:val="18"/>
          <w:szCs w:val="18"/>
          <w:color w:val="auto"/>
        </w:rPr>
        <w:t>. All forms of compensation referred to in this Agreement are subject to reduction to reflect applicable withholding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payroll taxes and other deductions required by law. You hereby acknowledge that the Company does not have a duty to design its compensation policies in a manner that minimizes your tax liabilities, and you will not make any claim against the Company or the Board related to tax liabilities arising from your compensation.</w:t>
      </w:r>
    </w:p>
    <w:p>
      <w:pPr>
        <w:spacing w:after="0" w:line="176"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27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Recoupment</w:t>
      </w:r>
      <w:r>
        <w:rPr>
          <w:rFonts w:ascii="Times New Roman" w:cs="Times New Roman" w:eastAsia="Times New Roman" w:hAnsi="Times New Roman"/>
          <w:sz w:val="18"/>
          <w:szCs w:val="18"/>
          <w:color w:val="auto"/>
        </w:rPr>
        <w:t>. Amounts paid or payable under this Agreement shall be subject to the provisions of any applicable clawback or recoupment policies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procedures adopted by the Company, which clawback or recoupment policies may provide for forfeiture and/or recoupment of amounts paid or payable under this Agreement. No forfeiture or recoupment under such policies or procedures will give rise to a right to resign for Good Reason under this Agreement or under any other agreement between you and the Company.</w:t>
      </w:r>
    </w:p>
    <w:p>
      <w:pPr>
        <w:spacing w:after="0" w:line="176" w:lineRule="exact"/>
        <w:rPr>
          <w:rFonts w:ascii="Times New Roman" w:cs="Times New Roman" w:eastAsia="Times New Roman" w:hAnsi="Times New Roman"/>
          <w:sz w:val="18"/>
          <w:szCs w:val="18"/>
          <w:b w:val="1"/>
          <w:bCs w:val="1"/>
          <w:color w:val="auto"/>
        </w:rPr>
      </w:pPr>
    </w:p>
    <w:p>
      <w:pPr>
        <w:jc w:val="both"/>
        <w:ind w:firstLine="8"/>
        <w:spacing w:after="0" w:line="254" w:lineRule="auto"/>
        <w:tabs>
          <w:tab w:leader="none" w:pos="27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 and Enforcement</w:t>
      </w:r>
      <w:r>
        <w:rPr>
          <w:rFonts w:ascii="Times New Roman" w:cs="Times New Roman" w:eastAsia="Times New Roman" w:hAnsi="Times New Roman"/>
          <w:sz w:val="18"/>
          <w:szCs w:val="18"/>
          <w:color w:val="auto"/>
        </w:rPr>
        <w:t>. This Agreement, together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the Business Protection Agreement and any award agreement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and the Company constitute the complete agreement between you and the Company, contains all of the terms of your employment with the Company and supersedes any prior agreements, representations or understandings (whether written, oral or implied) between you and the Company. The terms of this Agreement and the resolution of any disputes as to the meaning, effect, performance or validity of this Agreement or arising out of, related to, or in any way connected with this Agreement, your employment with the Company or any other relationship between you and the Company (the “</w:t>
      </w: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will be governed by federal law to the extent applicable and otherwise by California law, excluding laws relating to conflicts or choice of law and excluding Disputes arising in connection with any equity incentive plan, which shall be governed by the terms of the applicable equity incentive plan. You and the Company submit to the exclusive personal jurisdiction of the federal and state courts located in the County of San Mateo and State of California in connection with any Dispute or any claim related to any Dispute, except for Disputes arising under any equity incentive plan, which shall be governed by the terms of the applicable equity incentive plan.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1" w:name="page182"/>
    <w:bookmarkEnd w:id="181"/>
    <w:p>
      <w:pPr>
        <w:jc w:val="both"/>
        <w:ind w:firstLine="8"/>
        <w:spacing w:after="0" w:line="256" w:lineRule="auto"/>
        <w:tabs>
          <w:tab w:leader="none" w:pos="27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Neither you nor the Company may make any assignment of this Agreement or any interest in it, by operation of law or otherwise,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prior written consent of the other;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may assign its rights and obligations under this Agreement without your consent to any affiliate or to any person or entity with whom the Company shall hereafter effect a reorganization, consolidate with, or merge into or to whom it transfers all or substantially all of its properties or assets; provided further, that if you remain employed or become employed by the Company, the purchaser or any of their affiliates in connection with any such transaction, then you shall not be entitled to any payments, benefits or vesting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or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this Agreement solely as a result of such transaction. This Agreement shall inure to the benefit of and be binding upon you and the Company, and each of your and its respective successors, executors, administrators, heirs and permitted assigns.</w:t>
      </w:r>
    </w:p>
    <w:p>
      <w:pPr>
        <w:spacing w:after="0" w:line="182"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27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Waiver; Amendment</w:t>
      </w:r>
      <w:r>
        <w:rPr>
          <w:rFonts w:ascii="Times New Roman" w:cs="Times New Roman" w:eastAsia="Times New Roman" w:hAnsi="Times New Roman"/>
          <w:sz w:val="18"/>
          <w:szCs w:val="18"/>
          <w:color w:val="auto"/>
        </w:rPr>
        <w:t>. No waiver of any provision hereof shall be effective unless made in writing and signed by the waiving party. The failure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to require the performance of any term or obligation of this Agreement, or the waiver by any party of any breach of this Agreement, shall not prevent any subsequent enforcement of such term or obligation or be deemed a waiver of any subsequent breach. This Agreement may be amended or modified only by a written instrument signed by you and by a duly authorized executive officer of the Company.</w:t>
      </w:r>
    </w:p>
    <w:p>
      <w:pPr>
        <w:spacing w:after="0" w:line="176"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27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Enforceability</w:t>
      </w:r>
      <w:r>
        <w:rPr>
          <w:rFonts w:ascii="Times New Roman" w:cs="Times New Roman" w:eastAsia="Times New Roman" w:hAnsi="Times New Roman"/>
          <w:sz w:val="18"/>
          <w:szCs w:val="18"/>
          <w:color w:val="auto"/>
        </w:rPr>
        <w:t>. If any portion or provision of this Agreement (including, without limitation, any portion or provision of any section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6"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283"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w:t>
      </w:r>
      <w:r>
        <w:rPr>
          <w:rFonts w:ascii="Times New Roman" w:cs="Times New Roman" w:eastAsia="Times New Roman" w:hAnsi="Times New Roman"/>
          <w:sz w:val="18"/>
          <w:szCs w:val="18"/>
          <w:color w:val="auto"/>
        </w:rPr>
        <w:t>. You must submit satisfactory proof of your identity, successfully complete a criminal background check, which you hereby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 by your execution of this Agreement, and provide documentation of your legal authorization to work in the United States.</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54" w:lineRule="auto"/>
        <w:tabs>
          <w:tab w:leader="none" w:pos="27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Representations</w:t>
      </w:r>
      <w:r>
        <w:rPr>
          <w:rFonts w:ascii="Times New Roman" w:cs="Times New Roman" w:eastAsia="Times New Roman" w:hAnsi="Times New Roman"/>
          <w:sz w:val="18"/>
          <w:szCs w:val="18"/>
          <w:color w:val="auto"/>
        </w:rPr>
        <w:t>. It is the policy of the Company not to solicit or accept proprietary information and/or trade secrets of other companies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parties. If you have or have had access to trade secrets or other confidential, proprietary information from your former employer or another third party, the use of such information in performing your duties at the Company is prohibited. This may include, but is not limited to, confidential or proprietary information in the form of documents, magnetic media, software, customer lists, and business plans or strategies. In making this employment offer, the Company has relied on your representation that: (a) you are not currently a party to any agreement that would restrict your ability to accept this offer or to perform services for the Company; (b) you are not subject to any noncompetition or non-solicitation agreement or other restrictive covenants that might restrict your employment by the Company as contemplated by this offer; (c) you have the full right, power and authority to execute and deliver the Agreement and to perform all of your obligations thereunder; and (d) you will not bring with you to the Company or use in the performance of your responsibilities at the Company any materials, documents or work product of a former employer or other third party that are not generally available to the public, unless you have obtained written authorization from such former employer or third party for their possession and use and have provided the Company with a copy of same.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2" w:name="page183"/>
    <w:bookmarkEnd w:id="182"/>
    <w:p>
      <w:pPr>
        <w:jc w:val="both"/>
        <w:ind w:firstLine="8"/>
        <w:spacing w:after="0" w:line="257" w:lineRule="auto"/>
        <w:tabs>
          <w:tab w:leader="none" w:pos="283"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Terms</w:t>
      </w:r>
      <w:r>
        <w:rPr>
          <w:rFonts w:ascii="Times New Roman" w:cs="Times New Roman" w:eastAsia="Times New Roman" w:hAnsi="Times New Roman"/>
          <w:sz w:val="18"/>
          <w:szCs w:val="18"/>
          <w:color w:val="auto"/>
        </w:rPr>
        <w:t>. The provisions of this Agreement shall survive the termination of this Agreement and/or the termination of your employment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necessary to effectuate the terms contained herein. The headings and other captions in this Agreement are for convenience and reference only and shall not be used in interpreting, construing or enforcing any of the provisions of this Agreement. This Agreement may be executed in separate counterparts. When both counterparts are signed, they shall be treated together as one and the same document. PDF copies of signed counterparts shall be equally effective as originals. This Agreement may also be executed electronically by any means that satisfies applicable electronic signature laws (e.g., DocuSign).</w:t>
      </w:r>
    </w:p>
    <w:p>
      <w:pPr>
        <w:spacing w:after="0" w:line="1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indicate your acceptance of the Company’s offer, please sign this Agreement in the space provided below and return it to me. If you have any questions regarding this letter agreement, feel free to contact 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look forward to working with you to make the Company a great success.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Lawrence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 Klein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acknowledged: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Joana Goncalves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Joana Goncalves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29" w:lineRule="exact"/>
        <w:rPr>
          <w:sz w:val="20"/>
          <w:szCs w:val="20"/>
          <w:color w:val="auto"/>
        </w:rPr>
      </w:pPr>
    </w:p>
    <w:p>
      <w:pPr>
        <w:jc w:val="both"/>
        <w:ind w:left="660" w:hanging="328"/>
        <w:spacing w:after="0" w:line="254"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(i) your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 (ii) your conviction or plea of no contest to: (A) a felony or (B) any misdemeanor involving moral turpitude, deceit, dishonesty or fraud; (iii) your failure to perform in all material respects your lawful assigned duties and responsibilities to the reasonable satisfaction of the Board, which failure continues, in the reasonable judgment of the Board, for 30 days after written notice given to you describing such failure; (iv) your gross negligence, willful misconduct that results in or is reasonably anticipated to result in material harm to the Company; or (v) your violation of any material violation of any agreement(s) between you and the Company or any written Company policies including, without limitation, agreements relating to non-solicitation, non-disclosure and/or assignment of inventions or policies related to ethics or workplace conduct.</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have the meaning set forth in the Company’s 2024 Stock Incentive Plan (or the meaning provided to any word of similar import under any successor plan).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 Period</w:t>
      </w:r>
      <w:r>
        <w:rPr>
          <w:rFonts w:ascii="Times New Roman" w:cs="Times New Roman" w:eastAsia="Times New Roman" w:hAnsi="Times New Roman"/>
          <w:sz w:val="18"/>
          <w:szCs w:val="18"/>
          <w:color w:val="auto"/>
        </w:rPr>
        <w:t>” shall mean the period commencing three months prior to the first event constituting a Change in Control and ending 12 months following the first event constituting a Change in Control.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mean a permanent and total disability as defined in Section 22(e) (3) of the Code.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that you have complied with the Good Reason Process (hereinafter defined) following the occurrence, without your written consent, of any of the following events: (i) a material diminution in your base salary or Target Bonus except for across-the-board salary and target bonus reductions of no more than 10% based on the Company’s financial performance similarly affecting all or substantially all senior management employees of the Company; (ii) a material change in the geographic location at which you are required to provide services to the Company or a requirement that you change your remote location from your then-current residence; (iii) a material reduction in your duties, authority or responsibilities; (iv) the failure of the Company to obtain the assumption of this Agreement by a successor; or (v) the material breach of this Agreement (or any other agreements with you) by the Company.</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 Process</w:t>
      </w:r>
      <w:r>
        <w:rPr>
          <w:rFonts w:ascii="Times New Roman" w:cs="Times New Roman" w:eastAsia="Times New Roman" w:hAnsi="Times New Roman"/>
          <w:sz w:val="18"/>
          <w:szCs w:val="18"/>
          <w:color w:val="auto"/>
        </w:rPr>
        <w:t>” shall mean that (i) you reasonably determine in good faith that a “Good Reason” condition has occurred; (ii) you notify the Company in writing of the first occurrence of the Good Reason condition within 60 days of the first occurrence of such condition; (iii) you cooperate in good faith with the Company’s efforts, for a period not less than 30 days following such notice (the “</w:t>
      </w:r>
      <w:r>
        <w:rPr>
          <w:rFonts w:ascii="Times New Roman" w:cs="Times New Roman" w:eastAsia="Times New Roman" w:hAnsi="Times New Roman"/>
          <w:sz w:val="18"/>
          <w:szCs w:val="18"/>
          <w:u w:val="single" w:color="auto"/>
          <w:color w:val="auto"/>
        </w:rPr>
        <w:t>Cure Period</w:t>
      </w:r>
      <w:r>
        <w:rPr>
          <w:rFonts w:ascii="Times New Roman" w:cs="Times New Roman" w:eastAsia="Times New Roman" w:hAnsi="Times New Roman"/>
          <w:sz w:val="18"/>
          <w:szCs w:val="18"/>
          <w:color w:val="auto"/>
        </w:rPr>
        <w:t>”), to remedy the condition; (iv) notwithstanding such efforts, the Good Reason condition continues to exist; and (v) you terminate your employment within 30 days after the end of the Cure Period. If the Company cures the Good Reason condition during the Cure Period, Good Reason shall be deemed not to have occurred.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Indemnification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__________ by and between Oruka Therapeutics, Inc., a Delaware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__________ (the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and shall be deemed effective upon the earliest date that the Indemnitee is duly elected or appointed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director or officer of the Company.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determined that the inability to attract and retain qualified persons as directors and officers is detrimental to the best interests of the Company’s stockholders and that the Company should act to assure such persons that there shall be adequate certainty of protection through insurance and indemnification against risks of claims and actions against them arising out of their service to and activities on behalf of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WHEREAS, the Company has adopted provisions in its Amended and Restated Bylaws (as may be amended or restated from time to time,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providing for indemnification and advancement of expenses of its directors and officers to the fullest extent authorized by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the Company wishes to clarify and enhance the rights and obligations of the Company and the Indemnitee with respect to indemnification and advancement of expenses;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WHEREAS, in order to induce and encourage highly experienced and capable persons such as the Indemnitee to serve and continue to serve as directors and officers of the Company and in any other capacity with respect to the Company as the Company may request, and to otherwise promote the desirable end that such persons shall resist what they consider unjustified lawsuits and claims made against them in connection with the good faith performance of their duties to the Company, with the knowledge that certain costs, judgments, penalties, fines, liabilities and expenses incurred by them in their defense of such litigation are to be borne by the Company and they shall receive appropriate protection against such risks and liabilities, the Board has determined that the following Agreement is reasonable and prudent to promote and ensure the best interests of the Company and its stockholders; and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WHEREAS, the Company desires to have the Indemnitee serve or continue to serve as a director or officer of the Company and in any other capacity with respect to the Company as the Company may request, as the case may be, free from undue concern for unpredictable, inappropriate, or unreasonable legal risks and personal liabilities by reason of the Indemnitee acting in good faith in the performance of the Indemnitee’s duty to the Company; and the Indemnitee desires to continue so to serve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and on the express condition, that he or she is furnished with the protections set forth hereinafter.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Indemnitee’s service or continued service as a director or officer of the Company, the parties hereto agree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225" w:lineRule="exact"/>
        <w:rPr>
          <w:sz w:val="20"/>
          <w:szCs w:val="20"/>
          <w:color w:val="auto"/>
        </w:rPr>
      </w:pPr>
    </w:p>
    <w:p>
      <w:pPr>
        <w:jc w:val="both"/>
        <w:ind w:firstLine="8"/>
        <w:spacing w:after="0" w:line="255" w:lineRule="auto"/>
        <w:tabs>
          <w:tab w:leader="none" w:pos="24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will be deemed to have occurred if, with respect to any particular 24-month period, the individuals who, at the beginning of such 24-month period, constituted the Board (the “</w:t>
      </w:r>
      <w:r>
        <w:rPr>
          <w:rFonts w:ascii="Times New Roman" w:cs="Times New Roman" w:eastAsia="Times New Roman" w:hAnsi="Times New Roman"/>
          <w:sz w:val="18"/>
          <w:szCs w:val="18"/>
          <w:u w:val="single" w:color="auto"/>
          <w:color w:val="auto"/>
        </w:rPr>
        <w:t>Incumbent Board</w:t>
      </w:r>
      <w:r>
        <w:rPr>
          <w:rFonts w:ascii="Times New Roman" w:cs="Times New Roman" w:eastAsia="Times New Roman" w:hAnsi="Times New Roman"/>
          <w:sz w:val="18"/>
          <w:szCs w:val="18"/>
          <w:color w:val="auto"/>
        </w:rPr>
        <w:t xml:space="preserve">”) cease for any reason to constitute at least a majority of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individual becoming a director subsequent to the beginning of such 24-month period whose election, or nomination for election by the stockholders of the Company,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5" w:name="page186"/>
    <w:bookmarkEnd w:id="185"/>
    <w:p>
      <w:pPr>
        <w:ind w:firstLine="8"/>
        <w:spacing w:after="0" w:line="282" w:lineRule="auto"/>
        <w:tabs>
          <w:tab w:leader="none" w:pos="25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Disinterested Director</w:t>
      </w:r>
      <w:r>
        <w:rPr>
          <w:rFonts w:ascii="Times New Roman" w:cs="Times New Roman" w:eastAsia="Times New Roman" w:hAnsi="Times New Roman"/>
          <w:sz w:val="18"/>
          <w:szCs w:val="18"/>
          <w:color w:val="auto"/>
        </w:rPr>
        <w:t>” means a director of the Company who is not or was not a party to the Proceeding in respect of which indemnification is being sought by the Indemnitee.</w:t>
      </w:r>
    </w:p>
    <w:p>
      <w:pPr>
        <w:spacing w:after="0" w:line="161" w:lineRule="exact"/>
        <w:rPr>
          <w:rFonts w:ascii="Times New Roman" w:cs="Times New Roman" w:eastAsia="Times New Roman" w:hAnsi="Times New Roman"/>
          <w:sz w:val="18"/>
          <w:szCs w:val="18"/>
          <w:color w:val="auto"/>
        </w:rPr>
      </w:pPr>
    </w:p>
    <w:p>
      <w:pPr>
        <w:jc w:val="both"/>
        <w:ind w:firstLine="8"/>
        <w:spacing w:after="0" w:line="254" w:lineRule="auto"/>
        <w:tabs>
          <w:tab w:leader="none" w:pos="25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includes, without limitation, expenses incurred in connection with the defense or settlement of any action, suit, arbitration, alternative dispute resolution mechanism, inquiry, judicial, administrative, or legislative hearing, investigation, or any other threatened, pending, or completed proceeding, whether brought by or in the right of the Company or otherwise, including any and all appeals, whether of a civil, criminal, administrative, legislative, investigative, or other nature, attorneys’ fees, witness fees and expenses, fees and expenses of accountants and other advisors, retainers and disbursements and advances thereon, the premium, security for, and other costs relating to any bond (including cost bonds, appraisal bonds, or their equivalents), and any expenses of establishing a right to indemnification or advancement under this Agreement, but shall not include the amount of judgments, fines, ERISA excise taxes, or penalties actually levied against the Indemnitee, or any amounts paid in settlement by or on behalf of the Indemnitee.</w:t>
      </w:r>
    </w:p>
    <w:p>
      <w:pPr>
        <w:spacing w:after="0" w:line="191" w:lineRule="exact"/>
        <w:rPr>
          <w:rFonts w:ascii="Times New Roman" w:cs="Times New Roman" w:eastAsia="Times New Roman" w:hAnsi="Times New Roman"/>
          <w:sz w:val="18"/>
          <w:szCs w:val="18"/>
          <w:color w:val="auto"/>
        </w:rPr>
      </w:pPr>
    </w:p>
    <w:p>
      <w:pPr>
        <w:jc w:val="both"/>
        <w:ind w:firstLine="8"/>
        <w:spacing w:after="0" w:line="258" w:lineRule="auto"/>
        <w:tabs>
          <w:tab w:leader="none" w:pos="25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Counsel</w:t>
      </w:r>
      <w:r>
        <w:rPr>
          <w:rFonts w:ascii="Times New Roman" w:cs="Times New Roman" w:eastAsia="Times New Roman" w:hAnsi="Times New Roman"/>
          <w:sz w:val="18"/>
          <w:szCs w:val="18"/>
          <w:color w:val="auto"/>
        </w:rPr>
        <w:t>” means a law firm or a member of a law firm that neither is presently nor in the past five years has been retained to represent (i) the Company or the Indemnitee in any matter material to either such party or (ii) any other party to the Proceeding giving rise to a request for indemnification hereunder. Notwithstanding the foregoing, the term “Independent Counsel” shall not include any person who, under the applicable standards of professional conduct then prevailing, would have a conflict of interest in representing either the Company or the Indemnitee in an action to determine the Indemnitee’s right to indemnification under this Agreement.</w:t>
      </w:r>
    </w:p>
    <w:p>
      <w:pPr>
        <w:spacing w:after="0" w:line="183" w:lineRule="exact"/>
        <w:rPr>
          <w:rFonts w:ascii="Times New Roman" w:cs="Times New Roman" w:eastAsia="Times New Roman" w:hAnsi="Times New Roman"/>
          <w:sz w:val="18"/>
          <w:szCs w:val="18"/>
          <w:color w:val="auto"/>
        </w:rPr>
      </w:pPr>
    </w:p>
    <w:p>
      <w:pPr>
        <w:jc w:val="both"/>
        <w:ind w:firstLine="8"/>
        <w:spacing w:after="0" w:line="254" w:lineRule="auto"/>
        <w:tabs>
          <w:tab w:leader="none" w:pos="27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action, suit, arbitration, alternative dispute resolution mechanism, inquiry, judicial, administrative, or legislative hearing, investigation, or any other threatened, pending, or completed proceeding, whether brought by or in the right of the Company or otherwise, including any and all appeals, whether of a civil, criminal, administrative, legislative, investigative, or other nature, to which the Indemnitee was or is a party or is threatened to be made a party or is otherwise involved in by reason of the fact that the Indemnitee is or was a director, officer, employee, agent, or trustee of the Company or while a director, officer, employee, agent, or trustee of the Company is or was serving at the request of the Company as a director, officer, employee, agent, or trustee of another corporation or of a partnership, joint venture, trust, or other enterprise, including service with respect to an employee benefit plan (such status, the Indemnitee’s “</w:t>
      </w:r>
      <w:r>
        <w:rPr>
          <w:rFonts w:ascii="Times New Roman" w:cs="Times New Roman" w:eastAsia="Times New Roman" w:hAnsi="Times New Roman"/>
          <w:sz w:val="18"/>
          <w:szCs w:val="18"/>
          <w:u w:val="single" w:color="auto"/>
          <w:color w:val="auto"/>
        </w:rPr>
        <w:t>Corporate Status</w:t>
      </w:r>
      <w:r>
        <w:rPr>
          <w:rFonts w:ascii="Times New Roman" w:cs="Times New Roman" w:eastAsia="Times New Roman" w:hAnsi="Times New Roman"/>
          <w:sz w:val="18"/>
          <w:szCs w:val="18"/>
          <w:color w:val="auto"/>
        </w:rPr>
        <w:t>”), or by reason of anything done or not done by the Indemnitee in any such capacity, whether or not the Indemnitee is serving in such capacity at the time any expense, liability, or loss is incurred for which indemnification or advancement can be provided under this Agreement.</w:t>
      </w:r>
    </w:p>
    <w:p>
      <w:pPr>
        <w:spacing w:after="0" w:line="188" w:lineRule="exact"/>
        <w:rPr>
          <w:sz w:val="20"/>
          <w:szCs w:val="20"/>
          <w:color w:val="auto"/>
        </w:rPr>
      </w:pPr>
    </w:p>
    <w:p>
      <w:pPr>
        <w:jc w:val="both"/>
        <w:ind w:firstLine="8"/>
        <w:spacing w:after="0" w:line="266" w:lineRule="auto"/>
        <w:tabs>
          <w:tab w:leader="none" w:pos="1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by the Indemnitee</w:t>
      </w:r>
      <w:r>
        <w:rPr>
          <w:rFonts w:ascii="Times New Roman" w:cs="Times New Roman" w:eastAsia="Times New Roman" w:hAnsi="Times New Roman"/>
          <w:sz w:val="18"/>
          <w:szCs w:val="18"/>
          <w:color w:val="auto"/>
        </w:rPr>
        <w:t>. The Indemnitee shall serve and/or continue to serve as a director or officer of the Company faithfully and to the best of the Indemnitee’s ability so long as the Indemnitee is duly elected or appointed and until such time as the Indemnitee’s successor is elected and qualified or the Indemnitee is removed as permitted by applicable law or tenders a resignation in writing.</w:t>
      </w:r>
    </w:p>
    <w:p>
      <w:pPr>
        <w:spacing w:after="0" w:line="3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jc w:val="both"/>
        <w:ind w:firstLine="8"/>
        <w:spacing w:after="0" w:line="256" w:lineRule="auto"/>
        <w:tabs>
          <w:tab w:leader="none" w:pos="19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Advancement of Expenses</w:t>
      </w:r>
      <w:r>
        <w:rPr>
          <w:rFonts w:ascii="Times New Roman" w:cs="Times New Roman" w:eastAsia="Times New Roman" w:hAnsi="Times New Roman"/>
          <w:sz w:val="18"/>
          <w:szCs w:val="18"/>
          <w:color w:val="auto"/>
        </w:rPr>
        <w:t>. The Company shall indemnify and hold harmless the Indemnitee, and shall pay to the Indemnitee in advance of the final disposition of any Proceeding all Expenses incurred by the Indemnitee in defending any such Proceeding, to the fullest extent authorized by the DGCL, as the same exists or may hereafter be amended, all on the terms and conditions set forth in this Agreement. Without diminishing the scope of the rights provided by this Section, the rights of the Indemnitee to indemnification and advancement of Expenses provided hereunder shall include but shall not be limited to those rights hereinafter set forth, except that no indemnification or advancement of Expenses shall be paid to the Indemnitee:</w:t>
      </w:r>
    </w:p>
    <w:p>
      <w:pPr>
        <w:spacing w:after="0" w:line="187" w:lineRule="exact"/>
        <w:rPr>
          <w:sz w:val="20"/>
          <w:szCs w:val="20"/>
          <w:color w:val="auto"/>
        </w:rPr>
      </w:pPr>
    </w:p>
    <w:p>
      <w:pPr>
        <w:ind w:right="20" w:firstLine="8"/>
        <w:spacing w:after="0" w:line="282" w:lineRule="auto"/>
        <w:tabs>
          <w:tab w:leader="none" w:pos="25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expressly prohibited by applicable law or the Amended and Restated Certificate of Incorporation of the Company (as may be amended or restated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and the Bylaws;</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6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and to the extent that payment is actually made to the Indemnitee under a valid and collectible insurance policy or under a valid and enforceable indemnity clause, provision of the certificate of incorporation or bylaws, or agreement of the Company or any other company or other enterprise (and the Indemnitee shall reimburse the Company for any amounts paid by the Company and subsequently so recovered by the Indemnitee); or</w:t>
      </w:r>
    </w:p>
    <w:p>
      <w:pPr>
        <w:spacing w:after="0" w:line="175" w:lineRule="exact"/>
        <w:rPr>
          <w:rFonts w:ascii="Times New Roman" w:cs="Times New Roman" w:eastAsia="Times New Roman" w:hAnsi="Times New Roman"/>
          <w:sz w:val="18"/>
          <w:szCs w:val="18"/>
          <w:color w:val="auto"/>
        </w:rPr>
      </w:pPr>
    </w:p>
    <w:p>
      <w:pPr>
        <w:jc w:val="both"/>
        <w:ind w:firstLine="8"/>
        <w:spacing w:after="0" w:line="258" w:lineRule="auto"/>
        <w:tabs>
          <w:tab w:leader="none" w:pos="25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 action, suit, or proceeding, or part thereof voluntarily initiated by the Indemnitee (including claims and counterclaims, whether such counterclaims are asserted by (i) the Indemnitee, or (ii) the Company in an action, suit, or proceeding initiated by the Indemnitee), except a judicial proceeding pursuant to Section 11 to enforce rights under this Agreement, unless (A) the action, suit, or proceeding, or part thereof, was authorized or ratified by the Board or the Board otherwise determines that indemnification or advancement of Expenses is appropriate or (B) the Company provides the indemnification, in its sole discretion, pursuant to the powers vested in the Company under applicable law.</w:t>
      </w:r>
    </w:p>
    <w:p>
      <w:pPr>
        <w:spacing w:after="0" w:line="183" w:lineRule="exact"/>
        <w:rPr>
          <w:sz w:val="20"/>
          <w:szCs w:val="20"/>
          <w:color w:val="auto"/>
        </w:rPr>
      </w:pPr>
    </w:p>
    <w:p>
      <w:pPr>
        <w:jc w:val="both"/>
        <w:ind w:firstLine="8"/>
        <w:spacing w:after="0" w:line="254" w:lineRule="auto"/>
        <w:tabs>
          <w:tab w:leader="none" w:pos="1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or Proceedings Other than an Action by or in the Right of the Company</w:t>
      </w:r>
      <w:r>
        <w:rPr>
          <w:rFonts w:ascii="Times New Roman" w:cs="Times New Roman" w:eastAsia="Times New Roman" w:hAnsi="Times New Roman"/>
          <w:sz w:val="18"/>
          <w:szCs w:val="18"/>
          <w:color w:val="auto"/>
        </w:rPr>
        <w:t>. Except as limited by Section 3 above, the Indemnitee shall be entitled to the indemnification rights provided in this Section if the Indemnitee was or is a party or is threatened to be made a party to, or was or is otherwise involved in, any Proceeding (other than an action by or in the right of the Company) by reason of the Indemnitee’s Corporate Status, or by reason of anything done or not done by the Indemnitee in any such capacity. Pursuant to this Section, the Indemnitee shall be indemnified against all expense, liability, and loss (including judgments, fines, ERISA excise taxes or penalties, amounts paid in settlement by or on behalf of the Indemnitee, and Expenses) actually and reasonably incurred by the Indemnitee, or on behalf of the Indemnitee, in connection with such Proceeding, if the Indemnitee acted in good faith and in a manner the Indemnitee reasonably believed to be in or not opposed to the best interests of the Company, and with respect to any criminal Proceeding, had no reasonable cause to believe his or her conduct was unlawful.</w:t>
      </w:r>
    </w:p>
    <w:p>
      <w:pPr>
        <w:spacing w:after="0" w:line="191" w:lineRule="exact"/>
        <w:rPr>
          <w:rFonts w:ascii="Times New Roman" w:cs="Times New Roman" w:eastAsia="Times New Roman" w:hAnsi="Times New Roman"/>
          <w:sz w:val="18"/>
          <w:szCs w:val="18"/>
          <w:color w:val="auto"/>
        </w:rPr>
      </w:pPr>
    </w:p>
    <w:p>
      <w:pPr>
        <w:jc w:val="both"/>
        <w:ind w:firstLine="8"/>
        <w:spacing w:after="0" w:line="253" w:lineRule="auto"/>
        <w:tabs>
          <w:tab w:leader="none" w:pos="2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 in Proceedings by or in the Right of the Company</w:t>
      </w:r>
      <w:r>
        <w:rPr>
          <w:rFonts w:ascii="Times New Roman" w:cs="Times New Roman" w:eastAsia="Times New Roman" w:hAnsi="Times New Roman"/>
          <w:sz w:val="18"/>
          <w:szCs w:val="18"/>
          <w:color w:val="auto"/>
        </w:rPr>
        <w:t xml:space="preserve">. Except as limited by Section 3 above, the Indemnitee shall be entitled to the indemnification rights provided in this Section if the Indemnitee was or is a party or is threatened to be made a party to, or was or is otherwise involved in, any Proceeding brought by or in the right of the Company to procure a judgment in its favor by reason of the Indemnitee’s Corporate Status, or by reason of anything done or not done by the Indemnitee in any such capacity. Pursuant to this Section, the Indemnitee shall be indemnified against all Expenses actually and reasonably incurred by the Indemnitee, or on behalf of the Indemnitee, in connection with such Proceeding if the Indemnitee acted in good faith and in a manner the Indemnitee reasonably believed to be in or not opposed to the best interests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indemnification shall be made in respect of any claim, issue, or matter as to which the DGCL expressly prohibits such indemnification by reason of any adjudication of liability of the Indemnitee to the Company, unless and only to the extent that the Court of Chancery of the State of Delaware or the court in which such Proceeding was brought shall determine upon application that, despite the adjudication of liability but in view of all the circumstances of the case, the Indemnitee is entitled to indemnification for such expense, liability, and loss as such court shall deem proper.</w:t>
      </w:r>
    </w:p>
    <w:p>
      <w:pPr>
        <w:spacing w:after="0" w:line="200" w:lineRule="exact"/>
        <w:rPr>
          <w:sz w:val="20"/>
          <w:szCs w:val="20"/>
          <w:color w:val="auto"/>
        </w:rPr>
      </w:pPr>
    </w:p>
    <w:p>
      <w:pPr>
        <w:spacing w:after="0" w:line="20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7" w:name="page188"/>
    <w:bookmarkEnd w:id="187"/>
    <w:p>
      <w:pPr>
        <w:jc w:val="both"/>
        <w:ind w:firstLine="8"/>
        <w:spacing w:after="0" w:line="258" w:lineRule="auto"/>
        <w:tabs>
          <w:tab w:leader="none" w:pos="19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for Costs, Charges, and Expenses of Successful Party</w:t>
      </w:r>
      <w:r>
        <w:rPr>
          <w:rFonts w:ascii="Times New Roman" w:cs="Times New Roman" w:eastAsia="Times New Roman" w:hAnsi="Times New Roman"/>
          <w:sz w:val="18"/>
          <w:szCs w:val="18"/>
          <w:color w:val="auto"/>
        </w:rPr>
        <w:t>. Notwithstanding any limitations of Sections 3(c), 4, and 5 above, to the extent that the Indemnitee has been successful, on the merits or otherwise, in whole or in part, in defense of any Proceeding, or in defense of any claim, issue, or matter therein, including, without limitation, the dismissal of any action without prejudice, or if it is ultimately determined, by final judicial decision of a court of competent jurisdiction from which there is no further right to appeal, that the Indemnitee is otherwise entitled to be indemnified against Expenses, the Indemnitee shall be indemnified against all Expenses actually and reasonably incurred by the Indemnitee in connection therewith.</w:t>
      </w:r>
    </w:p>
    <w:p>
      <w:pPr>
        <w:spacing w:after="0" w:line="183" w:lineRule="exact"/>
        <w:rPr>
          <w:rFonts w:ascii="Times New Roman" w:cs="Times New Roman" w:eastAsia="Times New Roman" w:hAnsi="Times New Roman"/>
          <w:sz w:val="18"/>
          <w:szCs w:val="18"/>
          <w:color w:val="auto"/>
        </w:rPr>
      </w:pPr>
    </w:p>
    <w:p>
      <w:pPr>
        <w:jc w:val="both"/>
        <w:ind w:firstLine="8"/>
        <w:spacing w:after="0" w:line="258" w:lineRule="auto"/>
        <w:tabs>
          <w:tab w:leader="none" w:pos="1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Indemnification</w:t>
      </w:r>
      <w:r>
        <w:rPr>
          <w:rFonts w:ascii="Times New Roman" w:cs="Times New Roman" w:eastAsia="Times New Roman" w:hAnsi="Times New Roman"/>
          <w:sz w:val="18"/>
          <w:szCs w:val="18"/>
          <w:color w:val="auto"/>
        </w:rPr>
        <w:t>. If the Indemnitee is entitled under any provision of this Agreement to indemnification by the Company for some or a portion of the expense, liability, and loss (including judgments, fines, ERISA excise taxes or penalties, amounts paid in settlement by or on behalf of the Indemnitee, and Expenses) actually and reasonably incurred in connection with any Proceeding, or in connection with any judicial proceeding pursuant to Section 11 to enforce rights under this Agreement, but not, however, for all of the total amount thereof, the Company shall nevertheless indemnify the Indemnitee for the portion of such expense, liability, and loss actually and reasonably incurred to which the Indemnitee is entitled.</w:t>
      </w:r>
    </w:p>
    <w:p>
      <w:pPr>
        <w:spacing w:after="0" w:line="183" w:lineRule="exact"/>
        <w:rPr>
          <w:rFonts w:ascii="Times New Roman" w:cs="Times New Roman" w:eastAsia="Times New Roman" w:hAnsi="Times New Roman"/>
          <w:sz w:val="18"/>
          <w:szCs w:val="18"/>
          <w:color w:val="auto"/>
        </w:rPr>
      </w:pPr>
    </w:p>
    <w:p>
      <w:pPr>
        <w:jc w:val="both"/>
        <w:ind w:firstLine="8"/>
        <w:spacing w:after="0" w:line="256" w:lineRule="auto"/>
        <w:tabs>
          <w:tab w:leader="none" w:pos="1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for Expenses of a Witness</w:t>
      </w:r>
      <w:r>
        <w:rPr>
          <w:rFonts w:ascii="Times New Roman" w:cs="Times New Roman" w:eastAsia="Times New Roman" w:hAnsi="Times New Roman"/>
          <w:sz w:val="18"/>
          <w:szCs w:val="18"/>
          <w:color w:val="auto"/>
        </w:rPr>
        <w:t>. Notwithstanding any other provision of this Agreement, to the maximum extent permitted by the DGCL, the Indemnitee shall be entitled to indemnification against all Expenses actually and reasonably incurred by the Indemnitee or on the Indemnitee’s behalf if the Indemnitee appears as a witness or otherwise incurs legal expenses as a result of or related to the Indemnitee’s service as a director or officer of the Company, in any threatened, pending, or completed action, suit, arbitration, alternative dispute resolution mechanism, inquiry, judicial, administrative, or legislative hearing, investigation, or any other threatened, pending, or completed proceeding, whether of a civil, criminal, administrative, legislative, investigative, or other nature, to which the Indemnitee neither is, nor is threatened to be made, a party.</w:t>
      </w:r>
    </w:p>
    <w:p>
      <w:pPr>
        <w:spacing w:after="0" w:line="187" w:lineRule="exact"/>
        <w:rPr>
          <w:rFonts w:ascii="Times New Roman" w:cs="Times New Roman" w:eastAsia="Times New Roman" w:hAnsi="Times New Roman"/>
          <w:sz w:val="18"/>
          <w:szCs w:val="18"/>
          <w:color w:val="auto"/>
        </w:rPr>
      </w:pPr>
    </w:p>
    <w:p>
      <w:pPr>
        <w:jc w:val="both"/>
        <w:ind w:firstLine="8"/>
        <w:spacing w:after="0" w:line="252" w:lineRule="auto"/>
        <w:tabs>
          <w:tab w:leader="none" w:pos="1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of Entitlement to Indemnification</w:t>
      </w:r>
      <w:r>
        <w:rPr>
          <w:rFonts w:ascii="Times New Roman" w:cs="Times New Roman" w:eastAsia="Times New Roman" w:hAnsi="Times New Roman"/>
          <w:sz w:val="18"/>
          <w:szCs w:val="18"/>
          <w:color w:val="auto"/>
        </w:rPr>
        <w:t>. To receive indemnification under this Agreement, the Indemnitee shall submit a written request to the Secretary of the Company. Such request shall include documentation or information that is necessary for such determination and is reasonably available to the Indemnitee. Upon receipt by the Secretary of the Company of a written request by the Indemnitee for indemnification pursuant to this Agreement, the entitlement of the Indemnitee to indemnification, to the extent not provided pursuant to the terms of this Agreement, shall be determined by the following person or persons who shall be empowered to make such determination (as selected by the Board, except with respect to Section 9(e) below): (a) the Board by a majority vote of Disinterested Directors, whether or not such majority constitutes a quorum; (b) a committee of Disinterested Directors designated by a majority vote of such directors, whether or not such majority constitutes a quorum; (c) if there are no Disinterested Directors, or if the Disinterested Directors so direct, by Independent Counsel in a written opinion to the Board, a copy of which shall be delivered to the Indemnitee; (d) the stockholders of the Company; or (e) in the event that a Change in Control has occurred, by Independent Counsel in a written opinion to the Board, a copy of which shall be delivered to the Indemnitee. Such Independent Counsel shall be selected by the Board and approved by the Indemnitee, except that in the event that a Change in Control has occurred, Independent Counsel shall be selected by the Indemnitee. Upon failure of the Board so to select such Independent Counsel or upon failure of the Indemnitee so to approve (or so to select, in the event a Change in Control has occurred), such Independent Counsel shall be selected upon application to a court of competent jurisdiction. The determination of entitlement to indemnification shall be made and, unless a contrary determination is made, such indemnification shall be paid in full by the Company not later than 60 calendar days after receipt by the Secretary of the Company of a written request for indemnification. If the person making such determination shall determine that the Indemnitee is entitled to indemnification as to part (but not all) of the application for indemnification, such person shall reasonably prorate such partial indemnification among the claims, issues, or matters at issue at the time of the determination.</w:t>
      </w:r>
    </w:p>
    <w:p>
      <w:pPr>
        <w:spacing w:after="0" w:line="40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8" w:name="page189"/>
    <w:bookmarkEnd w:id="188"/>
    <w:p>
      <w:pPr>
        <w:jc w:val="both"/>
        <w:ind w:firstLine="8"/>
        <w:spacing w:after="0" w:line="253" w:lineRule="auto"/>
        <w:tabs>
          <w:tab w:leader="none" w:pos="28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Presumptions and Effect of Certain Proceedings</w:t>
      </w:r>
      <w:r>
        <w:rPr>
          <w:rFonts w:ascii="Times New Roman" w:cs="Times New Roman" w:eastAsia="Times New Roman" w:hAnsi="Times New Roman"/>
          <w:sz w:val="18"/>
          <w:szCs w:val="18"/>
          <w:color w:val="auto"/>
        </w:rPr>
        <w:t xml:space="preserve">. The Secretary of the Company shall, promptly upon receipt of the Indemnitee’s written request for indemnification, advise in writing the Board or such other person or persons empowered to make the determination as provided in Section 9 that the Indemnitee has made such request for indemnification. Upon making such request for indemnification, the Indemnitee shall be presumed to be entitled to indemnification hereunder and the Company shall have the burden of proof in making any determination contrary to such presumption. If the person or persons so empowered to make such determination shall have failed to make the requested determination with respect to indemnification within 60 calendar days after receipt by the Secretary of the Company of such request, a requisite determination of entitlement to indemnification shall be deemed to have been made and the Indemnitee shall be absolutely entitled to such indemnification, absent actual fraud in the request for indemnification. The termination of any Proceeding described in Sections 4 or 5 by judgment, order, settlement, or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or its equivalent, shall not, of itself (a) create a presumption that the Indemnitee did not act in good faith and in a manner the Indemnitee reasonably believed to be in or not opposed to the best interests of the Company, or with respect to any criminal Proceeding, had reasonable cause to believe his or her conduct was unlawful or (b) otherwise adversely affect the rights of the Indemnitee to indemnification except as may be provided herein.</w:t>
      </w:r>
    </w:p>
    <w:p>
      <w:pPr>
        <w:spacing w:after="0" w:line="191" w:lineRule="exact"/>
        <w:rPr>
          <w:rFonts w:ascii="Times New Roman" w:cs="Times New Roman" w:eastAsia="Times New Roman" w:hAnsi="Times New Roman"/>
          <w:sz w:val="18"/>
          <w:szCs w:val="18"/>
          <w:color w:val="auto"/>
        </w:rPr>
      </w:pPr>
    </w:p>
    <w:p>
      <w:pPr>
        <w:jc w:val="both"/>
        <w:ind w:firstLine="8"/>
        <w:spacing w:after="0" w:line="251" w:lineRule="auto"/>
        <w:tabs>
          <w:tab w:leader="none" w:pos="26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of the Indemnitee in Cases of Determination Not to Indemnify or to Advance Expenses; Right to Bring Suit</w:t>
      </w:r>
      <w:r>
        <w:rPr>
          <w:rFonts w:ascii="Times New Roman" w:cs="Times New Roman" w:eastAsia="Times New Roman" w:hAnsi="Times New Roman"/>
          <w:sz w:val="18"/>
          <w:szCs w:val="18"/>
          <w:color w:val="auto"/>
        </w:rPr>
        <w:t>. In the event that a determination is made that the Indemnitee is not entitled to indemnification hereunder or if payment is not timely made following a determination of entitlement to indemnification pursuant to Sections 9 and 10, or if an advancement of Expenses is not timely made pursuant to Section 16, the Indemnitee may at any time thereafter bring suit against the Company seeking an adjudication of entitlement to such indemnification or advancement of Expenses, and any such suit shall be brought in the Court of Chancery of the State of Delaware unless, if the Indemnitee is an employee of the Company, otherwise required by the law of the state in which the Indemnitee primarily resides and works. The Company shall not oppose the Indemnitee’s right to seek any such adjudication. In any suit brought by the Indemnitee to enforce a right to indemnification hereunder (but not in a suit brought by the Indemnitee to enforce a right to an advancement of Expenses), it shall be a defense that the Indemnitee has not met any applicable standard of conduct for indemnification set forth in the DGCL, including the standard described in Section 4 or 5, as applicable. Further, in any suit brought by the Company to recover an advancement of Expenses pursuant to the terms of an undertaking, the Company shall be entitled to recover such Expenses upon a final judicial decision of a court of competent jurisdiction from which there is no further right to appeal that the Indemnitee has not met the standard of conduct described above. Neither the failure of the Company (including the Disinterested Directors, a committee of Disinterested Directors, Independent Counsel, or its stockholders) to have made a determination prior to the commencement of such suit that indemnification of the Indemnitee is proper in the circumstances because the Indemnitee has met the standard of conduct described above, nor an actual determination by the Company (including the Disinterested Directors, a committee of Disinterested Directors, Independent Counsel, or its stockholders) that the Indemnitee has not met the standard of conduct described above shall create a presumption that the Indemnitee has not met the standard of conduct described above, or, in the case of such a suit brought by the Indemnitee, be a defense to such suit. In any suit brought by the Indemnitee to enforce a right to indemnification or to an advancement of Expenses hereunder, or brought by the Company to recover an advancement of Expenses pursuant to the terms of an undertaking, the burden of proving that the Indemnitee is not entitled to be indemnified, or to such advancement of Expenses, under this Section 11 or otherwise shall be on the Company. If a determination is made or deemed to have been made pursuant to the terms of Section 9 or 10 that the Indemnitee is entitled to indemnification, the Company shall be bound by such determination and is precluded from asserting that such determination has not been made or that the procedure by which such determination was made is not valid, binding, and enforceable. The Company further agrees to stipulate in any court pursuant to this Section 11 that the Company is bound by all the provisions of this Agreement and is precluded from making any assertions to the contrary. If the court shall determine that the Indemnitee is entitled to any indemnification or advancement of Expenses hereunder, the Company shall pay all Expenses actually and reasonably incurred by the Indemnitee in connection with such adjudication (including, but not limited to, any appellate proceedings) to the fullest extent permitted by law, and in any suit brought by the Company to recover an advancement of Expenses pursuant to the terms of an undertaking, the Company shall pay all Expenses actually and reasonably incurred by the Indemnitee in connection with such suit to the extent the Indemnitee has been successful, on the merits or otherwise, in whole or in part, in defense of such suit, to the fullest extent permitted by law.</w:t>
      </w:r>
    </w:p>
    <w:p>
      <w:pPr>
        <w:spacing w:after="0" w:line="200" w:lineRule="exact"/>
        <w:rPr>
          <w:sz w:val="20"/>
          <w:szCs w:val="20"/>
          <w:color w:val="auto"/>
        </w:rPr>
      </w:pPr>
    </w:p>
    <w:p>
      <w:pPr>
        <w:spacing w:after="0" w:line="2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ind w:left="280" w:hanging="272"/>
        <w:spacing w:after="0"/>
        <w:tabs>
          <w:tab w:leader="none" w:pos="2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of Rights; Survival of Rights; Insurance; Subrogation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53" w:lineRule="auto"/>
        <w:tabs>
          <w:tab w:leader="none" w:pos="25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by this Agreement shall not be deemed exclusive of any other rights to which the Indemnitee may at any time be entitled under applicable law, the Certificate of Incorporation, or Bylaws, any agreement, a vote of stockholders, a resolution of the Board, or otherwise. No amendment, alteration or repeal of this Agreement or of any provision of this Agreement shall limit or restrict any right of the Indemnitee under this Agreement in respect of any action taken or omitted by the Indemnitee in his or her Corporate Status prior to such amendment, alteration or repeal. To the extent that a change in the DGCL, whether by statute or judicial decision, permits greater indemnification than would be afforded under the current Certificate of Incorporation or Bylaws and this Agreement, it is the intent of the parties hereto that the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4" w:lineRule="exact"/>
        <w:rPr>
          <w:rFonts w:ascii="Times New Roman" w:cs="Times New Roman" w:eastAsia="Times New Roman" w:hAnsi="Times New Roman"/>
          <w:sz w:val="18"/>
          <w:szCs w:val="18"/>
          <w:color w:val="auto"/>
        </w:rPr>
      </w:pPr>
    </w:p>
    <w:p>
      <w:pPr>
        <w:jc w:val="both"/>
        <w:ind w:firstLine="8"/>
        <w:spacing w:after="0" w:line="254" w:lineRule="auto"/>
        <w:tabs>
          <w:tab w:leader="none" w:pos="267"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officers, employees, or agents or fiduciaries of the Company or of any other corporation, partnership, joint venture, trust, employee benefit plan or other enterprise that such person serves at the request of the Company, the Company shall obtain coverage for the Indemnitee under such policy or policies in accordance with its or their terms to the maximum extent of the coverage available for any other director (if the Indemnitee is a director) or officer (if the Indemnitee is not a director but is an officer) of the Company under such policy or policies. If, at the time of the receipt of a notice of a claim pursuant to the terms of this Agreement, the Company has director and officer liability insurance in effect, the Company shall give notice of the commencement of such proceeding to the insurers in accordance with the procedures set forth in the respective policies. The Company shall thereafter take all commercially reasonable steps to cause such insurers to pay, on behalf of the Indemnitee, all amounts payable as a result of such proceeding in accordance with the terms of such policies.</w:t>
      </w:r>
    </w:p>
    <w:p>
      <w:pPr>
        <w:spacing w:after="0" w:line="195" w:lineRule="exact"/>
        <w:rPr>
          <w:rFonts w:ascii="Times New Roman" w:cs="Times New Roman" w:eastAsia="Times New Roman" w:hAnsi="Times New Roman"/>
          <w:sz w:val="18"/>
          <w:szCs w:val="18"/>
          <w:color w:val="auto"/>
        </w:rPr>
      </w:pPr>
    </w:p>
    <w:p>
      <w:pPr>
        <w:jc w:val="both"/>
        <w:ind w:firstLine="8"/>
        <w:spacing w:after="0" w:line="225" w:lineRule="auto"/>
        <w:tabs>
          <w:tab w:leader="none" w:pos="25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[subject to the exceptions contained in Section 12(d) below,]</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Company shall be subrogated to the extent of such payment to all of the rights of recovery of the Indemnitee, who shall execute all papers required and take all action necessary to secure such rights, including execution of such documents as are necessary to enable the Company effectively to bring suit to enforce such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78308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10" w:lineRule="exact"/>
        <w:rPr>
          <w:sz w:val="20"/>
          <w:szCs w:val="20"/>
          <w:color w:val="auto"/>
        </w:rPr>
      </w:pPr>
    </w:p>
    <w:p>
      <w:pPr>
        <w:ind w:left="340" w:hanging="332"/>
        <w:spacing w:after="0"/>
        <w:tabs>
          <w:tab w:leader="none" w:pos="340" w:val="left"/>
        </w:tabs>
        <w:numPr>
          <w:ilvl w:val="0"/>
          <w:numId w:val="1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u w:val="single" w:color="auto"/>
          <w:color w:val="auto"/>
        </w:rPr>
        <w:t>Note to Draft</w:t>
      </w:r>
      <w:r>
        <w:rPr>
          <w:rFonts w:ascii="Times New Roman" w:cs="Times New Roman" w:eastAsia="Times New Roman" w:hAnsi="Times New Roman"/>
          <w:sz w:val="18"/>
          <w:szCs w:val="18"/>
          <w:color w:val="auto"/>
        </w:rPr>
        <w:t>: This clause will only apply to directors who are separately indemnified by an entity in connection with their appointment to the Board.</w:t>
      </w: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0" w:name="page191"/>
    <w:bookmarkEnd w:id="190"/>
    <w:p>
      <w:pPr>
        <w:ind w:left="280" w:hanging="272"/>
        <w:spacing w:after="0"/>
        <w:tabs>
          <w:tab w:leader="none" w:pos="2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acknowledges that Indemnitee has certain rights to indemnification, advancement of expenses and/or insurance provided by</w:t>
      </w:r>
    </w:p>
    <w:p>
      <w:pPr>
        <w:spacing w:after="0" w:line="27" w:lineRule="exact"/>
        <w:rPr>
          <w:rFonts w:ascii="Times New Roman" w:cs="Times New Roman" w:eastAsia="Times New Roman" w:hAnsi="Times New Roman"/>
          <w:sz w:val="18"/>
          <w:szCs w:val="18"/>
          <w:color w:val="auto"/>
        </w:rPr>
      </w:pPr>
    </w:p>
    <w:p>
      <w:pPr>
        <w:jc w:val="both"/>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 and/or [their/its] affiliates (collectively, the “</w:t>
      </w:r>
      <w:r>
        <w:rPr>
          <w:rFonts w:ascii="Times New Roman" w:cs="Times New Roman" w:eastAsia="Times New Roman" w:hAnsi="Times New Roman"/>
          <w:sz w:val="18"/>
          <w:szCs w:val="18"/>
          <w:u w:val="single" w:color="auto"/>
          <w:color w:val="auto"/>
        </w:rPr>
        <w:t>Designee Indemnitors</w:t>
      </w:r>
      <w:r>
        <w:rPr>
          <w:rFonts w:ascii="Times New Roman" w:cs="Times New Roman" w:eastAsia="Times New Roman" w:hAnsi="Times New Roman"/>
          <w:sz w:val="18"/>
          <w:szCs w:val="18"/>
          <w:color w:val="auto"/>
        </w:rPr>
        <w:t>”). The Company hereby agrees (i) that it is the indemnitor of first resort vis-à-vis the Designee Indemnitors (i.e., its obligations to Indemnitee are primary and any obligation of the Designee Indemnitors to advance expenses or to provide indemnification for the same expenses or liabilities incurred by Indemnitee are secondary), (ii) that it shall be required to advance the full amount of Expenses incurred by Indemnitee and shall be liable for the full amount of all indemnity amounts to the extent required by the terms of this Agreement and the Bylaws, without regard to any rights Indemnitee may have against the Designee Indemnitors, and (iii) notwithstanding any other provision in this Agreement or the Bylaws, that it irrevocably waives, relinquishes and releases the Designee Indemnitors from any and all claims against the Designee Indemnitors for contribution, subrogation or any other recovery of any kind in respect thereof. The Company further agrees that no advancement or payment by the Designee Indemnitors on behalf of Indemnitee with respect to any claim for which Indemnitee has sought indemnification from the Company shall affect the foregoing and the Designee Indemnitors shall have a right of contribution and/or be subrogated to the extent of such advancement or payment to all of the rights of recovery of Indemnitee against the Company. The Designee Indemnitors are express third-party beneficiaries of this Section 12(d).]</w:t>
      </w:r>
      <w:r>
        <w:rPr>
          <w:rFonts w:ascii="Times New Roman" w:cs="Times New Roman" w:eastAsia="Times New Roman" w:hAnsi="Times New Roman"/>
          <w:sz w:val="29"/>
          <w:szCs w:val="29"/>
          <w:color w:val="auto"/>
          <w:vertAlign w:val="superscript"/>
        </w:rPr>
        <w:t>2</w:t>
      </w:r>
    </w:p>
    <w:p>
      <w:pPr>
        <w:spacing w:after="0" w:line="70" w:lineRule="exact"/>
        <w:rPr>
          <w:rFonts w:ascii="Times New Roman" w:cs="Times New Roman" w:eastAsia="Times New Roman" w:hAnsi="Times New Roman"/>
          <w:sz w:val="18"/>
          <w:szCs w:val="18"/>
          <w:color w:val="auto"/>
        </w:rPr>
      </w:pPr>
    </w:p>
    <w:p>
      <w:pPr>
        <w:ind w:firstLine="8"/>
        <w:spacing w:after="0" w:line="282" w:lineRule="auto"/>
        <w:tabs>
          <w:tab w:leader="none" w:pos="24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liable under this Agreement to make any payment of amounts otherwise indemnifiable hereunder if and to the extent that the Indemnitee has otherwise actually received such payment under any insurance policy, contract, agreement or otherwise.</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23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or advance Expenses hereunder to the Indemnitee who is or was serving at the request of the Company as a director, officer, employee or agent of any other corporation, partnership, joint venture, trust, employee benefit plan or other enterprise shall be reduced by any amount the Indemnitee has actually received as indemnification or advancement of expenses from such other corporation, partnership, joint venture, trust, employee benefit plan or other enterprise.</w:t>
      </w:r>
    </w:p>
    <w:p>
      <w:pPr>
        <w:spacing w:after="0" w:line="180" w:lineRule="exact"/>
        <w:rPr>
          <w:sz w:val="20"/>
          <w:szCs w:val="20"/>
          <w:color w:val="auto"/>
        </w:rPr>
      </w:pPr>
    </w:p>
    <w:p>
      <w:pPr>
        <w:jc w:val="both"/>
        <w:ind w:firstLine="8"/>
        <w:spacing w:after="0" w:line="261" w:lineRule="auto"/>
        <w:tabs>
          <w:tab w:leader="none" w:pos="27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 to Enforce Agreement</w:t>
      </w:r>
      <w:r>
        <w:rPr>
          <w:rFonts w:ascii="Times New Roman" w:cs="Times New Roman" w:eastAsia="Times New Roman" w:hAnsi="Times New Roman"/>
          <w:sz w:val="18"/>
          <w:szCs w:val="18"/>
          <w:color w:val="auto"/>
        </w:rPr>
        <w:t>. In the event that the Indemnitee is subject to or intervenes in any action, suit, or proceeding in which the validity or enforceability of this Agreement is at issue or seeks an adjudication to enforce the Indemnitee’s rights under, or to recover damages for breach of, this Agreement, the Indemnitee, if the Indemnitee prevails in whole or in part in such action, suit, or proceeding, shall be entitled to recover from the Company and shall be indemnified by the Company against any Expenses actually and reasonably incurred by the Indemnitee in connection therewith.</w:t>
      </w:r>
    </w:p>
    <w:p>
      <w:pPr>
        <w:spacing w:after="0" w:line="179" w:lineRule="exact"/>
        <w:rPr>
          <w:rFonts w:ascii="Times New Roman" w:cs="Times New Roman" w:eastAsia="Times New Roman" w:hAnsi="Times New Roman"/>
          <w:sz w:val="18"/>
          <w:szCs w:val="18"/>
          <w:color w:val="auto"/>
        </w:rPr>
      </w:pPr>
    </w:p>
    <w:p>
      <w:pPr>
        <w:jc w:val="both"/>
        <w:ind w:firstLine="8"/>
        <w:spacing w:after="0" w:line="254" w:lineRule="auto"/>
        <w:tabs>
          <w:tab w:leader="none" w:pos="28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Continuation of Indemnity</w:t>
      </w:r>
      <w:r>
        <w:rPr>
          <w:rFonts w:ascii="Times New Roman" w:cs="Times New Roman" w:eastAsia="Times New Roman" w:hAnsi="Times New Roman"/>
          <w:sz w:val="18"/>
          <w:szCs w:val="18"/>
          <w:color w:val="auto"/>
        </w:rPr>
        <w:t>. All agreements and obligations of the Company contained herein shall continue during the period the Indemnitee is a director, officer, employee, agent, or trustee of the Company or while a director, officer, employee, agent, or trustee is serving at the request of the Company as a director, officer, employee, agent, or trustee of another corporation or of a partnership, joint venture, trust, or other enterprise, including service with respect to an employee benefit plan, and shall continue thereafter with respect to any possible claims based on the fact that the Indemnitee was a director, officer, employee, agent, or trustee of the Company or was serving at the request of the Company as a director, officer, employee, agent, or trustee of another corporation or of a partnership, joint venture, trust, or other enterprise, including service with respect to an employee benefit plan. This Agreement shall be binding upon all successors and assigns of the Company (including any transferee of all or substantially all of its assets and any successor by merger or operation of law) and shall inure to the benefit of the Indemnitee’s heirs, executors, and administrators.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78308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1" w:lineRule="exact"/>
        <w:rPr>
          <w:sz w:val="20"/>
          <w:szCs w:val="20"/>
          <w:color w:val="auto"/>
        </w:rPr>
      </w:pPr>
    </w:p>
    <w:p>
      <w:pPr>
        <w:ind w:left="340" w:hanging="332"/>
        <w:spacing w:after="0"/>
        <w:tabs>
          <w:tab w:leader="none" w:pos="340" w:val="left"/>
        </w:tabs>
        <w:numPr>
          <w:ilvl w:val="0"/>
          <w:numId w:val="1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u w:val="single" w:color="auto"/>
          <w:color w:val="auto"/>
        </w:rPr>
        <w:t>Note to Draft</w:t>
      </w:r>
      <w:r>
        <w:rPr>
          <w:rFonts w:ascii="Times New Roman" w:cs="Times New Roman" w:eastAsia="Times New Roman" w:hAnsi="Times New Roman"/>
          <w:sz w:val="18"/>
          <w:szCs w:val="18"/>
          <w:color w:val="auto"/>
        </w:rPr>
        <w:t>: This clause will only apply to directors who are separately indemnified by an entity in connection with their appointment to the Board.</w:t>
      </w: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jc w:val="both"/>
        <w:ind w:firstLine="8"/>
        <w:spacing w:after="0" w:line="258" w:lineRule="auto"/>
        <w:tabs>
          <w:tab w:leader="none" w:pos="28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and Defense of Proceeding</w:t>
      </w:r>
      <w:r>
        <w:rPr>
          <w:rFonts w:ascii="Times New Roman" w:cs="Times New Roman" w:eastAsia="Times New Roman" w:hAnsi="Times New Roman"/>
          <w:sz w:val="18"/>
          <w:szCs w:val="18"/>
          <w:color w:val="auto"/>
        </w:rPr>
        <w:t>. Promptly after receipt by the Indemnitee of notice of any Proceeding, the Indemnitee shall, if a request for indemnification or an advancement of Expenses in respect thereof is to be made against the Company under this Agreement, notify the Company in writing of the commencement thereof; but the omission so to notify the Company shall not relieve it from any liability that it may have to the Indemnitee unless, and to the extent that, such failure actually and materially prejudices the interests of the Company. Notwithstanding any other provision of this Agreement, with respect to any such Proceeding of which the Indemnitee notifies the Company:</w:t>
      </w:r>
    </w:p>
    <w:p>
      <w:pPr>
        <w:spacing w:after="0" w:line="183" w:lineRule="exact"/>
        <w:rPr>
          <w:sz w:val="20"/>
          <w:szCs w:val="20"/>
          <w:color w:val="auto"/>
        </w:rPr>
      </w:pPr>
    </w:p>
    <w:p>
      <w:pPr>
        <w:ind w:left="260" w:hanging="252"/>
        <w:spacing w:after="0"/>
        <w:tabs>
          <w:tab w:leader="none" w:pos="2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entitled to participate therein at its own expense;</w:t>
      </w:r>
    </w:p>
    <w:p>
      <w:pPr>
        <w:spacing w:after="0" w:line="225" w:lineRule="exact"/>
        <w:rPr>
          <w:rFonts w:ascii="Times New Roman" w:cs="Times New Roman" w:eastAsia="Times New Roman" w:hAnsi="Times New Roman"/>
          <w:sz w:val="18"/>
          <w:szCs w:val="18"/>
          <w:color w:val="auto"/>
        </w:rPr>
      </w:pPr>
    </w:p>
    <w:p>
      <w:pPr>
        <w:jc w:val="both"/>
        <w:ind w:firstLine="8"/>
        <w:spacing w:after="0" w:line="253" w:lineRule="auto"/>
        <w:tabs>
          <w:tab w:leader="none" w:pos="27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Section 15(b), to the extent that it may wish, the Company, jointly with any other indemnifying party similarly notified, shall be entitled to assume the defense thereof, with counsel satisfactory to the Indemnitee. After notice from the Company to the Indemnitee of its election so to assume the defense thereof, the Company shall not be liable to the Indemnitee under this Agreement for any expenses of counsel subsequently incurred by the Indemnitee in connection with the defense thereof except as otherwise provided below. The Indemnitee shall have the right to employ the Indemnitee’s own counsel in such Proceeding, but the fees and expenses of such counsel incurred after notice from the Company of its assumption of the defense thereof shall be at the expense of the Indemnitee unless (i) the employment of counsel by the Indemnitee has been authorized by the Company, (ii) the Indemnitee shall have reasonably concluded that there may be a conflict of interest between the Company and the Indemnitee in the conduct of the defense of such Proceeding, or (iii) the Company shall not within 60 calendar days of receipt of notice from the Indemnitee in fact have employed counsel to assume the defense of the Proceeding, in each of which cases the fees and expenses of the Indemnitee’s counsel shall be at the expense of the Company. The Company shall not be entitled to assume the defense of any Proceeding brought by or on behalf of the Company or as to which the Indemnitee shall have made the conclusion provided for in (ii) above; and</w:t>
      </w:r>
    </w:p>
    <w:p>
      <w:pPr>
        <w:spacing w:after="0" w:line="191" w:lineRule="exact"/>
        <w:rPr>
          <w:rFonts w:ascii="Times New Roman" w:cs="Times New Roman" w:eastAsia="Times New Roman" w:hAnsi="Times New Roman"/>
          <w:sz w:val="18"/>
          <w:szCs w:val="18"/>
          <w:color w:val="auto"/>
        </w:rPr>
      </w:pPr>
    </w:p>
    <w:p>
      <w:pPr>
        <w:jc w:val="both"/>
        <w:ind w:firstLine="8"/>
        <w:spacing w:after="0" w:line="256" w:lineRule="auto"/>
        <w:tabs>
          <w:tab w:leader="none" w:pos="26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Company shall not be liable to indemnify the Indemnitee under this Agreement for any amounts paid in settlement of any Proceeding effected without the Company’s written consent, or for any judicial or other award, if the Company was not given an opportunity, in accordance with this Section 15, to participate in the defense of such Proceeding. The Company shall not settle any Proceeding in any manner that would impose any penalty or limitation on or disclosure obligation with respect to the Indemnitee, or that would directly or indirectly constitute or impose any admission or acknowledgment of fault or culpability with respect to the Indemnitee, without the Indemnitee’s written consent. Neither the Company nor the Indemnitee shall unreasonably withhold its consent to any proposed settlement.</w:t>
      </w:r>
    </w:p>
    <w:p>
      <w:pPr>
        <w:spacing w:after="0" w:line="187" w:lineRule="exact"/>
        <w:rPr>
          <w:sz w:val="20"/>
          <w:szCs w:val="20"/>
          <w:color w:val="auto"/>
        </w:rPr>
      </w:pPr>
    </w:p>
    <w:p>
      <w:pPr>
        <w:jc w:val="both"/>
        <w:ind w:firstLine="8"/>
        <w:spacing w:after="0" w:line="252" w:lineRule="auto"/>
        <w:tabs>
          <w:tab w:leader="none" w:pos="28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All Expenses incurred by the Indemnitee in defending any Proceeding described in Sections 4 or 5 shall be paid by the Company in advance of the final disposition of such Proceeding at the request of the Indemnitee. Notwithstanding the foregoing, the Company shall not advance or continue to advance Expenses to the Indemnitee if a determination is reasonably made that the facts known at the time such determination is made demonstrate clearly and convincingly that the Indemnitee acted in bad faith or in a manner that the Indemnitee did not reasonably believe to be in or not opposed to the best interests of the Company, or, with respect to any criminal Proceeding, that the Indemnitee had reasonable cause to believe his or her conduct was unlawful. Such determination shall be made: (i) by the Board by a majority vote of directors who are not parties to such proceeding, whether or not such majority constitutes a quorum; (ii) by a committee of such directors designated by a majority vote of such directors, whether or not such majority constitutes a quorum; or (iii) if there are no such directors, or if such directors so direct, by Independent Counsel in a written opinion to the Board, a copy of which shall be delivered to the Indemnitee. To receive an advancement of Expenses under this Agreement, the Indemnitee shall submit a written request to the Secretary of the Company. Such request shall reasonably evidence the Expenses incurred by the Indemnitee and shall include or be accompanied by an undertaking, by or on behalf of the Indemnitee, to repay all amounts so advanced if it shall ultimately be determined, by final judicial decision of a court of competent jurisdiction from which there is no further right to appeal, that the Indemnitee is not entitled to be indemnified for such Expenses by the Company as provided by this Agreement or otherwise. The Indemnitee’s undertaking to repay any such amounts is not required to be secured. Each such advancement of Expenses shall be made within 20 calendar days after the receipt by the Secretary of the Company of such written request. The Indemnitee’s entitlement to Expenses under this Agreement shall include those incurred in connection with any action, suit, or proceeding by the Indemnitee seeking an adjudication pursuant to Section 11 of this Agreement (including the enforcement of this provision) to the extent the court shall determine that the Indemnitee is entitled to an advancement of Expenses hereunder.</w:t>
      </w:r>
    </w:p>
    <w:p>
      <w:pPr>
        <w:spacing w:after="0" w:line="40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2" w:name="page193"/>
    <w:bookmarkEnd w:id="192"/>
    <w:p>
      <w:pPr>
        <w:jc w:val="both"/>
        <w:ind w:firstLine="8"/>
        <w:spacing w:after="0" w:line="254" w:lineRule="auto"/>
        <w:tabs>
          <w:tab w:leader="none" w:pos="27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Prior Indemnification Agreements</w:t>
      </w:r>
      <w:r>
        <w:rPr>
          <w:rFonts w:ascii="Times New Roman" w:cs="Times New Roman" w:eastAsia="Times New Roman" w:hAnsi="Times New Roman"/>
          <w:sz w:val="18"/>
          <w:szCs w:val="18"/>
          <w:color w:val="auto"/>
        </w:rPr>
        <w:t>. If any provision or provisions of this Agreement shall be held to be invalid, illegal, or unenforceable as applied to any person or entity or circumstance for any reason whatsoever, then, to the fullest extent permitted by law (a) the validity, legality, and enforceability of such provision in any other circumstance and of the remaining provisions of this Agreement (including, without limitation, all portions of any paragraphs of this Agreement containing any such provision held to be invalid, illegal, or unenforceable, that are not by themselves invalid, illegal, or unenforceable) and the application of such provision to other persons or entities or circumstances shall not in any way be affected or impaired thereby, and</w:t>
      </w:r>
    </w:p>
    <w:p>
      <w:pPr>
        <w:spacing w:after="0" w:line="3"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to the fullest extent possible, the provisions of this Agreement (including, without limitation, all portions of any paragraph of this Agreement containing any such provision held to be invalid, illegal, or unenforceable, that are not themselves invalid, illegal, or unenforceable) shall be construed so as to give effect to the intent of the parties that the Company provide protection to the Indemnitee to the fullest enforceable extent set forth in this Agreement. This Agreement shall supersede and replace any prior indemnification agreements entered into by and between the Company and the Indemnitee and any such prior agreements shall be terminated upon execution of this Agreement.</w:t>
      </w:r>
    </w:p>
    <w:p>
      <w:pPr>
        <w:spacing w:after="0" w:line="186" w:lineRule="exact"/>
        <w:rPr>
          <w:rFonts w:ascii="Times New Roman" w:cs="Times New Roman" w:eastAsia="Times New Roman" w:hAnsi="Times New Roman"/>
          <w:sz w:val="18"/>
          <w:szCs w:val="18"/>
          <w:color w:val="auto"/>
        </w:rPr>
      </w:pPr>
    </w:p>
    <w:p>
      <w:pPr>
        <w:jc w:val="both"/>
        <w:ind w:firstLine="8"/>
        <w:spacing w:after="0" w:line="266" w:lineRule="auto"/>
        <w:tabs>
          <w:tab w:leader="none" w:pos="297"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 References; Pronouns</w:t>
      </w:r>
      <w:r>
        <w:rPr>
          <w:rFonts w:ascii="Times New Roman" w:cs="Times New Roman" w:eastAsia="Times New Roman" w:hAnsi="Times New Roman"/>
          <w:sz w:val="18"/>
          <w:szCs w:val="18"/>
          <w:color w:val="auto"/>
        </w:rPr>
        <w:t>. The headings of the sections of this Agreement are inserted for convenience only and shall not be deemed to constitute part of this Agreement or to affect the construction thereof. References herein to section numbers are to sections of this Agreement. All pronouns and any variations thereof shall be deemed to refer to the singular or plural as appropriate.</w:t>
      </w:r>
    </w:p>
    <w:p>
      <w:pPr>
        <w:spacing w:after="0" w:line="17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61" w:lineRule="auto"/>
        <w:tabs>
          <w:tab w:leader="none" w:pos="247"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disputes or controversies arising out of or related to this Agreement shall be governed by, and construed in accordance with, the internal laws of the State of Delaware, without regard to the laws of any other jurisdiction that might be applied because of conflicts of laws principles of the State of Delaware, unless, if the Indemnitee is an employee of the Company, otherwise required by the law of the state in which the Indemnitee primarily resides and works.</w:t>
      </w:r>
    </w:p>
    <w:p>
      <w:pPr>
        <w:spacing w:after="0" w:line="179" w:lineRule="exact"/>
        <w:rPr>
          <w:rFonts w:ascii="Times New Roman" w:cs="Times New Roman" w:eastAsia="Times New Roman" w:hAnsi="Times New Roman"/>
          <w:sz w:val="18"/>
          <w:szCs w:val="18"/>
          <w:color w:val="auto"/>
        </w:rPr>
      </w:pPr>
    </w:p>
    <w:p>
      <w:pPr>
        <w:ind w:firstLine="8"/>
        <w:spacing w:after="0" w:line="282" w:lineRule="auto"/>
        <w:tabs>
          <w:tab w:leader="none" w:pos="257"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two or more counterparts, all of which shall be considered one and the same instrument and shall become effective when one or more counterparts have been signed by each of the parties and delivered to the other party.</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2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not be deemed an employment contract between the Company and any Indemnitee who is an officer of the Company, and, if the Indemnitee is an officer of the Company, the Indemnitee specifically acknowledges that the Indemnitee may be discharged at any time for any reason, with or without cause, and with or without severance compensation, except as may be otherwise provided in a separate written contract between the Indemnitee and the Company.</w:t>
      </w:r>
    </w:p>
    <w:p>
      <w:pPr>
        <w:spacing w:after="0" w:line="179" w:lineRule="exact"/>
        <w:rPr>
          <w:rFonts w:ascii="Times New Roman" w:cs="Times New Roman" w:eastAsia="Times New Roman" w:hAnsi="Times New Roman"/>
          <w:sz w:val="18"/>
          <w:szCs w:val="18"/>
          <w:color w:val="auto"/>
        </w:rPr>
      </w:pPr>
    </w:p>
    <w:p>
      <w:pPr>
        <w:jc w:val="both"/>
        <w:ind w:firstLine="8"/>
        <w:spacing w:after="0" w:line="261" w:lineRule="auto"/>
        <w:tabs>
          <w:tab w:leader="none" w:pos="25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not be amended, modified, or supplemented in any manner, whether by course of conduct or otherwise, except by an instrument in writing specifically designated as an amendment hereto, signed on behalf of each party. No failure or delay of either party in exercising any right or remedy hereunder shall operate as a waiver thereof, and no single or partial exercise of any such right or power, or any abandonment or discontinuance of steps to enforce such right or power, or any course of conduct, shall preclude any other or further exercise thereof or the exercise of any other right or power.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color w:val="auto"/>
        </w:rPr>
        <w:t>IN WITNESS WHEREOF, the Company and the Indemnitee have caused this Agreement to be executed as of the date first written above.</w:t>
      </w:r>
    </w:p>
    <w:p>
      <w:pPr>
        <w:spacing w:after="0" w:line="23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ORUKA THERAPEUTICS, INC.</w:t>
      </w:r>
    </w:p>
    <w:p>
      <w:pPr>
        <w:spacing w:after="0" w:line="200" w:lineRule="exact"/>
        <w:rPr>
          <w:sz w:val="20"/>
          <w:szCs w:val="20"/>
          <w:color w:val="auto"/>
        </w:rPr>
      </w:pPr>
    </w:p>
    <w:p>
      <w:pPr>
        <w:spacing w:after="0" w:line="24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563245</wp:posOffset>
            </wp:positionV>
            <wp:extent cx="284607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Indemnitee:</w:t>
      </w: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ndemnification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22"/>
          <w:szCs w:val="22"/>
          <w:b w:val="1"/>
          <w:bCs w:val="1"/>
          <w:color w:val="auto"/>
        </w:rPr>
        <w:t>Exhibit 10.20</w:t>
      </w:r>
    </w:p>
    <w:p>
      <w:pPr>
        <w:spacing w:after="0" w:line="24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Oruka Therapeutics, Inc.</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Non-Employee Directors Compensation Program</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Each of our non-employee directors receives compensation pursuant to the non-employee director cash and equity compensation program adopted by our Board. This program provides for the following annual cash retainers: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Cash Retainer</w:t>
            </w:r>
          </w:p>
        </w:tc>
        <w:tc>
          <w:tcPr>
            <w:tcW w:w="3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Annual Board Chair Retainer</w:t>
            </w:r>
          </w:p>
        </w:tc>
        <w:tc>
          <w:tcPr>
            <w:tcW w:w="3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Retainers:</w:t>
            </w:r>
          </w:p>
        </w:tc>
        <w:tc>
          <w:tcPr>
            <w:tcW w:w="3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w:t>
            </w:r>
          </w:p>
        </w:tc>
        <w:tc>
          <w:tcPr>
            <w:tcW w:w="3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Non-Chair Member</w:t>
            </w:r>
          </w:p>
        </w:tc>
        <w:tc>
          <w:tcPr>
            <w:tcW w:w="3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Retainers:</w:t>
            </w:r>
          </w:p>
        </w:tc>
        <w:tc>
          <w:tcPr>
            <w:tcW w:w="3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Chair</w:t>
            </w:r>
          </w:p>
        </w:tc>
        <w:tc>
          <w:tcPr>
            <w:tcW w:w="3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12,000</w:t>
            </w:r>
          </w:p>
        </w:tc>
      </w:tr>
      <w:tr>
        <w:trPr>
          <w:trHeight w:val="216"/>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Non-Chair Member</w:t>
            </w:r>
          </w:p>
        </w:tc>
        <w:tc>
          <w:tcPr>
            <w:tcW w:w="3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6,000</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Retainers</w:t>
            </w:r>
          </w:p>
        </w:tc>
        <w:tc>
          <w:tcPr>
            <w:tcW w:w="3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w:t>
            </w:r>
          </w:p>
        </w:tc>
        <w:tc>
          <w:tcPr>
            <w:tcW w:w="3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Non-Chair Member</w:t>
            </w:r>
          </w:p>
        </w:tc>
        <w:tc>
          <w:tcPr>
            <w:tcW w:w="3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198" w:lineRule="exact"/>
        <w:rPr>
          <w:sz w:val="20"/>
          <w:szCs w:val="20"/>
          <w:color w:val="auto"/>
        </w:rPr>
      </w:pPr>
    </w:p>
    <w:p>
      <w:pPr>
        <w:jc w:val="both"/>
        <w:ind w:firstLine="427"/>
        <w:spacing w:after="0" w:line="261" w:lineRule="auto"/>
        <w:rPr>
          <w:sz w:val="20"/>
          <w:szCs w:val="20"/>
          <w:color w:val="auto"/>
        </w:rPr>
      </w:pPr>
      <w:r>
        <w:rPr>
          <w:rFonts w:ascii="Times New Roman" w:cs="Times New Roman" w:eastAsia="Times New Roman" w:hAnsi="Times New Roman"/>
          <w:sz w:val="18"/>
          <w:szCs w:val="18"/>
          <w:color w:val="auto"/>
        </w:rPr>
        <w:t>In connection with the Company’s annual meeting of stockholders, each member of the Board will receive an annual grant of stock options to purchase 17,500 shares of common stock, which will vest in equal monthly installments over 12 months so long as such director joined the Board prior to January 1 of the year in which such annual meeting occurs. In addition, in connection with a non-employee director’s initial appointment to the Board, they will receive an initial grant of stock options to purchase 35,000 shares of common stock, which will vest in equal monthly installments over 36 months.</w:t>
      </w:r>
    </w:p>
    <w:p>
      <w:pPr>
        <w:spacing w:after="0" w:line="180" w:lineRule="exact"/>
        <w:rPr>
          <w:sz w:val="20"/>
          <w:szCs w:val="20"/>
          <w:color w:val="auto"/>
        </w:rPr>
      </w:pPr>
    </w:p>
    <w:p>
      <w:pPr>
        <w:jc w:val="both"/>
        <w:ind w:firstLine="234"/>
        <w:spacing w:after="0" w:line="282" w:lineRule="auto"/>
        <w:rPr>
          <w:sz w:val="20"/>
          <w:szCs w:val="20"/>
          <w:color w:val="auto"/>
        </w:rPr>
      </w:pPr>
      <w:r>
        <w:rPr>
          <w:rFonts w:ascii="Times New Roman" w:cs="Times New Roman" w:eastAsia="Times New Roman" w:hAnsi="Times New Roman"/>
          <w:sz w:val="18"/>
          <w:szCs w:val="18"/>
          <w:color w:val="auto"/>
        </w:rPr>
        <w:t>All members of the Board are also reimbursed for reasonable and documented out-of-pocket travel and lodging expenses incurred in connection with attending meetings and activities of the Board and its committees.</w:t>
      </w:r>
    </w:p>
    <w:p>
      <w:pPr>
        <w:sectPr>
          <w:pgSz w:w="11900" w:h="16838" w:orient="portrait"/>
          <w:cols w:equalWidth="0" w:num="1">
            <w:col w:w="11240"/>
          </w:cols>
          <w:pgMar w:left="320" w:top="108"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22"/>
          <w:szCs w:val="22"/>
          <w:b w:val="1"/>
          <w:bCs w:val="1"/>
          <w:color w:val="auto"/>
        </w:rPr>
        <w:t>Exhibit 10.29</w:t>
      </w:r>
    </w:p>
    <w:p>
      <w:pPr>
        <w:spacing w:after="0" w:line="243" w:lineRule="exact"/>
        <w:rPr>
          <w:sz w:val="20"/>
          <w:szCs w:val="20"/>
          <w:color w:val="auto"/>
        </w:rPr>
      </w:pPr>
    </w:p>
    <w:p>
      <w:pPr>
        <w:ind w:left="2360" w:right="2360" w:firstLine="234"/>
        <w:spacing w:after="0" w:line="278" w:lineRule="auto"/>
        <w:tabs>
          <w:tab w:leader="none" w:pos="3028" w:val="left"/>
        </w:tabs>
        <w:numPr>
          <w:ilvl w:val="0"/>
          <w:numId w:val="1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w:t>
      </w:r>
    </w:p>
    <w:p>
      <w:pPr>
        <w:spacing w:after="0" w:line="1" w:lineRule="exact"/>
        <w:rPr>
          <w:rFonts w:ascii="Times New Roman" w:cs="Times New Roman" w:eastAsia="Times New Roman" w:hAnsi="Times New Roman"/>
          <w:sz w:val="17"/>
          <w:szCs w:val="17"/>
          <w:b w:val="1"/>
          <w:bCs w:val="1"/>
          <w:color w:val="auto"/>
        </w:rPr>
      </w:pPr>
    </w:p>
    <w:p>
      <w:pPr>
        <w:ind w:left="25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INFORMATION (I) IS NOT MATERIAL AND (II) IS THE TYPE THAT THE</w:t>
      </w:r>
    </w:p>
    <w:p>
      <w:pPr>
        <w:spacing w:after="0" w:line="9" w:lineRule="exact"/>
        <w:rPr>
          <w:rFonts w:ascii="Times New Roman" w:cs="Times New Roman" w:eastAsia="Times New Roman" w:hAnsi="Times New Roman"/>
          <w:sz w:val="17"/>
          <w:szCs w:val="17"/>
          <w:b w:val="1"/>
          <w:bCs w:val="1"/>
          <w:color w:val="auto"/>
        </w:rPr>
      </w:pPr>
    </w:p>
    <w:p>
      <w:pPr>
        <w:ind w:left="32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REGISTRANT TREATS AS PRIVATE OR CONFIDENTIAL.</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IL-17 LICENSE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icense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and effective as of February 4, 2025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Paragon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Therapeutics, Inc., a Delaware corporation (“</w:t>
      </w:r>
      <w:r>
        <w:rPr>
          <w:rFonts w:ascii="Times New Roman" w:cs="Times New Roman" w:eastAsia="Times New Roman" w:hAnsi="Times New Roman"/>
          <w:sz w:val="18"/>
          <w:szCs w:val="18"/>
          <w:b w:val="1"/>
          <w:bCs w:val="1"/>
          <w:color w:val="auto"/>
        </w:rPr>
        <w:t>Paragon</w:t>
      </w:r>
      <w:r>
        <w:rPr>
          <w:rFonts w:ascii="Times New Roman" w:cs="Times New Roman" w:eastAsia="Times New Roman" w:hAnsi="Times New Roman"/>
          <w:sz w:val="18"/>
          <w:szCs w:val="18"/>
          <w:color w:val="auto"/>
        </w:rPr>
        <w:t>”), and Oruka Therapeutics, Inc., a Delaware corporation (“</w:t>
      </w:r>
      <w:r>
        <w:rPr>
          <w:rFonts w:ascii="Times New Roman" w:cs="Times New Roman" w:eastAsia="Times New Roman" w:hAnsi="Times New Roman"/>
          <w:sz w:val="18"/>
          <w:szCs w:val="18"/>
          <w:b w:val="1"/>
          <w:bCs w:val="1"/>
          <w:color w:val="auto"/>
        </w:rPr>
        <w:t>Oruka</w:t>
      </w:r>
      <w:r>
        <w:rPr>
          <w:rFonts w:ascii="Times New Roman" w:cs="Times New Roman" w:eastAsia="Times New Roman" w:hAnsi="Times New Roman"/>
          <w:sz w:val="18"/>
          <w:szCs w:val="18"/>
          <w:color w:val="auto"/>
        </w:rPr>
        <w:t>”). Paragon and Oruka are also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or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Paragon has developed a proprietary platform technology for the discovery and development of antibodies against therapeutically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relevant targets;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pursuant to that certain Amended and Restated Antibody Discovery and Option Agreement by and among Paragon, Oruka and Paruka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Holding, LLC, a Delaware limited liability company, dated as of March 28, 2024 (as such agreement may be further amended from time to time, the “</w:t>
      </w:r>
      <w:r>
        <w:rPr>
          <w:rFonts w:ascii="Times New Roman" w:cs="Times New Roman" w:eastAsia="Times New Roman" w:hAnsi="Times New Roman"/>
          <w:sz w:val="18"/>
          <w:szCs w:val="18"/>
          <w:b w:val="1"/>
          <w:bCs w:val="1"/>
          <w:color w:val="auto"/>
        </w:rPr>
        <w:t>Option Agreement</w:t>
      </w:r>
      <w:r>
        <w:rPr>
          <w:rFonts w:ascii="Times New Roman" w:cs="Times New Roman" w:eastAsia="Times New Roman" w:hAnsi="Times New Roman"/>
          <w:sz w:val="18"/>
          <w:szCs w:val="18"/>
          <w:color w:val="auto"/>
        </w:rPr>
        <w:t>”), Oruka has engaged Paragon to identify, evaluate and develop one or more antibody candidates directed to certain therapeutic targets and has been granted an exclusive option to enter into one or more separate license agreements to develop, manufacture and commercialize the resulting antibodies with respect to a given target;</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Oruka has exercised such option with respect to the Licensed Target (as defined below), and the Parties desire to memorialize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exclusive license from Paragon to Oruka with respect to such Licensed Target, all on the terms and subject to the conditions set forth in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the foregoing premises and the mutual covenants contained herein and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the Parties, intending to be legally bound,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initially capitalized terms have the following meanings (and derivative forms of them shall be interpreted accordingly):</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Achievement of Development Candidate</w:t>
      </w:r>
      <w:r>
        <w:rPr>
          <w:rFonts w:ascii="Times New Roman" w:cs="Times New Roman" w:eastAsia="Times New Roman" w:hAnsi="Times New Roman"/>
          <w:sz w:val="18"/>
          <w:szCs w:val="18"/>
          <w:color w:val="auto"/>
        </w:rPr>
        <w:t>” means the first to occur of: (a) nomination by Oruka’s Board of Directors of an Oruka Product as a “Development Candidate”; and (b) the initiation by or on behalf of Oruka or its Affiliate or Sublicensee of a toxicology study with respect to an Oruka Product that employs applicable then-current good laboratory practice standards, the results of which are intended to be submitted as part of an IND.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color w:val="auto"/>
        </w:rPr>
        <w:t>Acquired Program</w:t>
      </w:r>
      <w:r>
        <w:rPr>
          <w:rFonts w:ascii="Times New Roman" w:cs="Times New Roman" w:eastAsia="Times New Roman" w:hAnsi="Times New Roman"/>
          <w:sz w:val="18"/>
          <w:szCs w:val="18"/>
          <w:color w:val="auto"/>
        </w:rPr>
        <w:t>” has the meaning set forth in Section 2.2(c).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6" w:name="page197"/>
    <w:bookmarkEnd w:id="196"/>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color w:val="auto"/>
        </w:rPr>
        <w:t>Acquiring Entity</w:t>
      </w:r>
      <w:r>
        <w:rPr>
          <w:rFonts w:ascii="Times New Roman" w:cs="Times New Roman" w:eastAsia="Times New Roman" w:hAnsi="Times New Roman"/>
          <w:sz w:val="18"/>
          <w:szCs w:val="18"/>
          <w:color w:val="auto"/>
        </w:rPr>
        <w:t>” means, collectively, the Third Party referenced in the definition of Change of Control and such Third Party’s Affiliates, other than (a) the applicable Party in the definition of Change of Control, and (b) such Party’s Affiliates, determined immediately prior to the closing of such Change of Control ((a) and (b) collectively, the “</w:t>
      </w:r>
      <w:r>
        <w:rPr>
          <w:rFonts w:ascii="Times New Roman" w:cs="Times New Roman" w:eastAsia="Times New Roman" w:hAnsi="Times New Roman"/>
          <w:sz w:val="18"/>
          <w:szCs w:val="18"/>
          <w:b w:val="1"/>
          <w:bCs w:val="1"/>
          <w:color w:val="auto"/>
        </w:rPr>
        <w:t>Pre-Existing Entities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means any entity controlled by, controlling, or under common control with a Party hereto. For the purpose of this definition, “control” (including, with correlative meaning, the terms “controlled by” or “under common control”) means the direct or indirect ownership of more than fifty percent (50%) of the voting interest in, or more than fifty percent (50%) in the equity of, or the right to appoint more than fifty percent (50%) of the directors or management of, such corporation or other business entity. Notwithstanding the foregoing, (a) with respect to either Party, Affiliates of such Party do not include [***] or its Affiliates other than such Party and its subsidiaries, (b) Paragon and its Affiliates, on the one hand, and Oruka and its subsidiaries, on the other hand, shall not be deemed to be Affiliates of each other, and (c) Affiliates of Paragon do not include new entities formed by or on behalf of Paragon for the sole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purpose of further developing, manufacturing, commercializing or otherwise exploiting Antibodies and Antibody products (excluding any Licensed Antibody Technology or Other Licensed Technology) using, among other sources, funds from Third Party investors.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color w:val="auto"/>
        </w:rPr>
        <w:t>Annual Net Sales</w:t>
      </w:r>
      <w:r>
        <w:rPr>
          <w:rFonts w:ascii="Times New Roman" w:cs="Times New Roman" w:eastAsia="Times New Roman" w:hAnsi="Times New Roman"/>
          <w:sz w:val="18"/>
          <w:szCs w:val="18"/>
          <w:color w:val="auto"/>
        </w:rPr>
        <w:t>” means total Net Sales by Oruka, its Affiliates and Sublicensees in the Territory of all of the Products in a particular Calendar Year, calculated in accordance with U.S. generally accepted accounting principles (GAAP) consistently applied.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has the meaning set forth in Section 7.2(q)(i).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b w:val="1"/>
          <w:bCs w:val="1"/>
          <w:color w:val="auto"/>
        </w:rPr>
        <w:t>Antibody</w:t>
      </w:r>
      <w:r>
        <w:rPr>
          <w:rFonts w:ascii="Times New Roman" w:cs="Times New Roman" w:eastAsia="Times New Roman" w:hAnsi="Times New Roman"/>
          <w:sz w:val="18"/>
          <w:szCs w:val="18"/>
          <w:color w:val="auto"/>
        </w:rPr>
        <w:t>” means any molecule, including [***].</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any national, supra-national, federal, state or local laws, rules, guidances, and regulations, in each case, as applicable to the subject matter and the Party at issue.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has the meaning set forth in Section 8.4.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color w:val="auto"/>
        </w:rPr>
        <w:t>Bankruptcy Event</w:t>
      </w:r>
      <w:r>
        <w:rPr>
          <w:rFonts w:ascii="Times New Roman" w:cs="Times New Roman" w:eastAsia="Times New Roman" w:hAnsi="Times New Roman"/>
          <w:sz w:val="18"/>
          <w:szCs w:val="18"/>
          <w:color w:val="auto"/>
        </w:rPr>
        <w:t>” has the meaning set forth in Section 8.4.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Sunday or a national holiday in the United States.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color w:val="auto"/>
        </w:rPr>
        <w:t>Calendar Quarter</w:t>
      </w:r>
      <w:r>
        <w:rPr>
          <w:rFonts w:ascii="Times New Roman" w:cs="Times New Roman" w:eastAsia="Times New Roman" w:hAnsi="Times New Roman"/>
          <w:sz w:val="18"/>
          <w:szCs w:val="18"/>
          <w:color w:val="auto"/>
        </w:rPr>
        <w:t>” means the respective periods of three (3) consecutive calendar months ending on March 31, June 30, September 30 and December 31.</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color w:val="auto"/>
        </w:rPr>
        <w:t>Calendar Year</w:t>
      </w:r>
      <w:r>
        <w:rPr>
          <w:rFonts w:ascii="Times New Roman" w:cs="Times New Roman" w:eastAsia="Times New Roman" w:hAnsi="Times New Roman"/>
          <w:sz w:val="18"/>
          <w:szCs w:val="18"/>
          <w:color w:val="auto"/>
        </w:rPr>
        <w:t>” means each successive period of twelve (12) months commencing on January 1 and ending on December 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7" w:name="page198"/>
    <w:bookmarkEnd w:id="19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with respect to any entity, any of the following: (a) the sale or disposition of all or substantially all of the assets of such entity or its direct or indirect controlling Affiliate to a Third Party; or (b) (i) the acquisition by a Third Party, alone or together with any of its Affiliates, other than an employee benefit plan (or related trust) sponsored or maintained by such entity or any of its Affiliates, of more than fifty percent (50%) of the then-outstanding shares of voting capital stock of such entity or its direct or indirect parent entity that holds, directly or indirectly, beneficial ownership of more than fifty percent (50%) of the then-outstanding shares of voting capital stock of such entity (a “</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xml:space="preserve">”), or (ii) the acquisition, merger or consolidation of such entity or its Parent Entity with or into another entity, other than, in the case of clause (i) or (ii), an acquisition or a merger or consolidation of such entity or its Parent Entity in which the holders of shares of voting capital stock of such entity or its Parent Entity, as the case may be, immediately prior to such acquisition, merger or consolidation will beneficially own, directly or indirectly, at least fifty percent (50%) of the shares of voting capital stock of the acquiring Third Party or the surviving corporation in such acquisition, merger or consolidation, as the case may be, immediately after such acquisition, merger or consolidation, and in each case of (a) or (b), whether through a single transaction or a series of related transactions, but excluding any and all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financing transactions or internal reorganizations for tax purposes (including the change of place of incorporation or domicile of such entity).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has the meaning set forth in Section 9.3.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color w:val="auto"/>
        </w:rPr>
        <w:t>COC Program</w:t>
      </w:r>
      <w:r>
        <w:rPr>
          <w:rFonts w:ascii="Times New Roman" w:cs="Times New Roman" w:eastAsia="Times New Roman" w:hAnsi="Times New Roman"/>
          <w:sz w:val="18"/>
          <w:szCs w:val="18"/>
          <w:color w:val="auto"/>
        </w:rPr>
        <w:t>” has the meaning set forth in Section 2.2(b).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color w:val="auto"/>
        </w:rPr>
        <w:t>Combination Product</w:t>
      </w:r>
      <w:r>
        <w:rPr>
          <w:rFonts w:ascii="Times New Roman" w:cs="Times New Roman" w:eastAsia="Times New Roman" w:hAnsi="Times New Roman"/>
          <w:sz w:val="18"/>
          <w:szCs w:val="18"/>
          <w:color w:val="auto"/>
        </w:rPr>
        <w:t>” has the meaning set forth in Section 1.59.</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color w:val="auto"/>
        </w:rPr>
        <w:t>Commercialize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Commercializing</w:t>
      </w:r>
      <w:r>
        <w:rPr>
          <w:rFonts w:ascii="Times New Roman" w:cs="Times New Roman" w:eastAsia="Times New Roman" w:hAnsi="Times New Roman"/>
          <w:sz w:val="18"/>
          <w:szCs w:val="18"/>
          <w:color w:val="auto"/>
        </w:rPr>
        <w:t>” means any and all activity to market, promote, distribute, offer for sale, sell, have sold, seek reimbursement, import, have imported, export, have exported, or otherwise commercialize an Antibody or product, including any Licensed Antibody, Derived Antibody, Product, Multispecific Antibody, Multispecific Product, as applicable, and including interacting with Regulatory Authorities following receipt of Regulatory Approval and seeking and maintaining any required Reimbursement Approval. When used as a noun, “</w:t>
      </w:r>
      <w:r>
        <w:rPr>
          <w:rFonts w:ascii="Times New Roman" w:cs="Times New Roman" w:eastAsia="Times New Roman" w:hAnsi="Times New Roman"/>
          <w:sz w:val="18"/>
          <w:szCs w:val="18"/>
          <w:b w:val="1"/>
          <w:bCs w:val="1"/>
          <w:color w:val="auto"/>
        </w:rPr>
        <w:t>Commercialization</w:t>
      </w:r>
      <w:r>
        <w:rPr>
          <w:rFonts w:ascii="Times New Roman" w:cs="Times New Roman" w:eastAsia="Times New Roman" w:hAnsi="Times New Roman"/>
          <w:sz w:val="18"/>
          <w:szCs w:val="18"/>
          <w:color w:val="auto"/>
        </w:rPr>
        <w:t>” means any and all activities involved in Commercializing.</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b w:val="1"/>
          <w:bCs w:val="1"/>
          <w:color w:val="auto"/>
        </w:rPr>
        <w:t>Commercially Reasonable Efforts</w:t>
      </w:r>
      <w:r>
        <w:rPr>
          <w:rFonts w:ascii="Times New Roman" w:cs="Times New Roman" w:eastAsia="Times New Roman" w:hAnsi="Times New Roman"/>
          <w:sz w:val="18"/>
          <w:szCs w:val="18"/>
          <w:color w:val="auto"/>
        </w:rPr>
        <w:t>” means those efforts and resources, including reasonably necessary and qualified personnel, equivalent to the efforts and resources that a reasonable international biopharmaceutical company or a pharmaceutical company, in each case, that is of comparable size and resources to the applicable Party would typically devote as part of an active and continuing program of development and commercialization of a pharmaceutical or biologic product of similar market potential, at a similar stage of its product life, taking into account the competitiveness of the marketplace and the proprietary position, regulatory status, and relative safety and efficacy of such product. Commercially Reasonable Efforts requires, with respect to an obligation, that the applicable Party (a) assign responsibility for such obligation to specific employees who are held accountable for progress and monitor such progress on an on-going basis, (b) set and seek to achieve reasonable objectives for carrying out such obligation, and (c) make and implement reasonable decisions and allocate resources designed to advance progress with respect to such objectives.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8" w:name="page199"/>
    <w:bookmarkEnd w:id="198"/>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of a Party means Know-How and any and all non-public scientific, business, regulatory or technical information that is disclosed or made available by or on behalf of one Party (the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to the other Party (the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in connection with this Agreement, regardless of whether such information is specifically marked or designated confidential, whether in writing, orally, visually, or otherwise. Notwithstanding any provision of this Agreement to the contrary, the Licensed Antibody Technology shall be the Confidential Information of Oruka.</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(including any variations such as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Controlling</w:t>
      </w:r>
      <w:r>
        <w:rPr>
          <w:rFonts w:ascii="Times New Roman" w:cs="Times New Roman" w:eastAsia="Times New Roman" w:hAnsi="Times New Roman"/>
          <w:sz w:val="18"/>
          <w:szCs w:val="18"/>
          <w:color w:val="auto"/>
        </w:rPr>
        <w:t xml:space="preserve">”) means, with respect to any technology (including Know-How) or other Intellectual Property Rights, possession by a Party or one of its Affiliates of the ability (whether by ownership, license or otherwise (other than by a license, sublicense or other right granted pursuant to this Agreement)) to grant a license or a sublicense of or under such technology or Intellectual Property Rights without violating the terms of any agreement or other arrangement with any Third Party;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if following the Effective Date</w:t>
      </w:r>
    </w:p>
    <w:p>
      <w:pPr>
        <w:spacing w:after="0" w:line="3" w:lineRule="exact"/>
        <w:rPr>
          <w:sz w:val="20"/>
          <w:szCs w:val="20"/>
          <w:color w:val="auto"/>
        </w:rPr>
      </w:pPr>
    </w:p>
    <w:p>
      <w:pPr>
        <w:jc w:val="both"/>
        <w:ind w:firstLine="8"/>
        <w:spacing w:after="0" w:line="251" w:lineRule="auto"/>
        <w:tabs>
          <w:tab w:leader="none" w:pos="25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Paragon would Control any Patent that would be included in the Licensed Antibody Technology or Other Licensed Patents but for an obligation to pay royalties or other consideration for the Development, Manufacture or Commercialization of an Oruka Product in the Territory in connection with a grant to Oruka of a license under such Patent, and (b) Oruka, pursuant to Section 2.8, consents to being a sublicensee of such Patent and complies with the Reimbursement Obligation, then such Patent shall be deemed Controlled by Paragon. Notwithstanding the foregoing, a Party and its Affiliates shall not be deemed to “Control” any technology or Intellectual Property Rights that (i) prior to the consummation of a Change of Control of such Party is owned or in-licensed, or (ii) after the consummation of a Change of Control of such Party, becomes owned or in-licensed (to the extent such technology or Intellectual Property Rights are developed outside of the scope of the activities conducted hereunder and without use of or reference to any technology or Intellectual Property Rights Controlled by such Party or any Affiliate of such Party immediately before such Change of Control, or any Confidential Information of the other Party), in each case ((i) or (ii)), by a Third Party that becomes an Affiliate of such Party after the Effective Date as a result of such Change of Control or an assignee of such Party after the Effective Date as the result of an assignment of this Agreement in connection with a Change of Control unless prior to the consummation of such Change of Control or assignment, such Party or any of its Affiliates also Controlled such technology or Intellectual Property Rights.</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1.23 “</w:t>
      </w:r>
      <w:r>
        <w:rPr>
          <w:rFonts w:ascii="Times New Roman" w:cs="Times New Roman" w:eastAsia="Times New Roman" w:hAnsi="Times New Roman"/>
          <w:sz w:val="18"/>
          <w:szCs w:val="18"/>
          <w:b w:val="1"/>
          <w:bCs w:val="1"/>
          <w:color w:val="auto"/>
        </w:rPr>
        <w:t>Cover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Covering</w:t>
      </w:r>
      <w:r>
        <w:rPr>
          <w:rFonts w:ascii="Times New Roman" w:cs="Times New Roman" w:eastAsia="Times New Roman" w:hAnsi="Times New Roman"/>
          <w:sz w:val="18"/>
          <w:szCs w:val="18"/>
          <w:color w:val="auto"/>
        </w:rPr>
        <w:t>” means, with respect to a particular product, any Patent, that, in the absence of a license granted under, or ownership of, such Patent, the making, using, selling, importation, or exportation of such product would infringe a valid and unexpired claim of such Patent.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b w:val="1"/>
          <w:bCs w:val="1"/>
          <w:color w:val="auto"/>
        </w:rPr>
        <w:t>“Derived Antibody”</w:t>
      </w:r>
      <w:r>
        <w:rPr>
          <w:rFonts w:ascii="Times New Roman" w:cs="Times New Roman" w:eastAsia="Times New Roman" w:hAnsi="Times New Roman"/>
          <w:sz w:val="18"/>
          <w:szCs w:val="18"/>
          <w:color w:val="auto"/>
        </w:rPr>
        <w:t xml:space="preserve"> means any Antibody that is created by or on behalf of Oruka (other than an Antibody created by Paragon under the Option Agreement), its Affiliates or its or their licensees and: (a) is derived from or constitutes a modification of a Licensed Antibody, including [***], (b) [***]and (c) [***]. For avoidance of doubt, any Antibody that [***] will be deemed a Derived Antibody, irrespective of origin. Notwithstanding the foregoing, a Derived Antibody shall not include (i) [***], or (ii) [***].</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1.25 “</w:t>
      </w:r>
      <w:r>
        <w:rPr>
          <w:rFonts w:ascii="Times New Roman" w:cs="Times New Roman" w:eastAsia="Times New Roman" w:hAnsi="Times New Roman"/>
          <w:sz w:val="18"/>
          <w:szCs w:val="18"/>
          <w:b w:val="1"/>
          <w:bCs w:val="1"/>
          <w:color w:val="auto"/>
        </w:rPr>
        <w:t>Designated Multispecific Antibody</w:t>
      </w:r>
      <w:r>
        <w:rPr>
          <w:rFonts w:ascii="Times New Roman" w:cs="Times New Roman" w:eastAsia="Times New Roman" w:hAnsi="Times New Roman"/>
          <w:sz w:val="18"/>
          <w:szCs w:val="18"/>
          <w:color w:val="auto"/>
        </w:rPr>
        <w:t>” has the meaning set forth in Section 2.6(b).</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9" w:name="page200"/>
    <w:bookmarkEnd w:id="199"/>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1.26 “</w:t>
      </w:r>
      <w:r>
        <w:rPr>
          <w:rFonts w:ascii="Times New Roman" w:cs="Times New Roman" w:eastAsia="Times New Roman" w:hAnsi="Times New Roman"/>
          <w:sz w:val="18"/>
          <w:szCs w:val="18"/>
          <w:b w:val="1"/>
          <w:bCs w:val="1"/>
          <w:color w:val="auto"/>
        </w:rPr>
        <w:t>Develop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Developing</w:t>
      </w:r>
      <w:r>
        <w:rPr>
          <w:rFonts w:ascii="Times New Roman" w:cs="Times New Roman" w:eastAsia="Times New Roman" w:hAnsi="Times New Roman"/>
          <w:sz w:val="18"/>
          <w:szCs w:val="18"/>
          <w:color w:val="auto"/>
        </w:rPr>
        <w:t>” means any and all activity to discover, evaluate, test (including clinical and non-clinical testing), research, or otherwise develop an Antibody or product, including any Licensed Antibody, Derived Antibody, Product, Multispecific Antibody, or Multispecific Product, as applicable. When used as a noun, “</w:t>
      </w:r>
      <w:r>
        <w:rPr>
          <w:rFonts w:ascii="Times New Roman" w:cs="Times New Roman" w:eastAsia="Times New Roman" w:hAnsi="Times New Roman"/>
          <w:sz w:val="18"/>
          <w:szCs w:val="18"/>
          <w:b w:val="1"/>
          <w:bCs w:val="1"/>
          <w:color w:val="auto"/>
        </w:rPr>
        <w:t>Development</w:t>
      </w:r>
      <w:r>
        <w:rPr>
          <w:rFonts w:ascii="Times New Roman" w:cs="Times New Roman" w:eastAsia="Times New Roman" w:hAnsi="Times New Roman"/>
          <w:sz w:val="18"/>
          <w:szCs w:val="18"/>
          <w:color w:val="auto"/>
        </w:rPr>
        <w:t>” means any and all activities involved in Developing.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b w:val="1"/>
          <w:bCs w:val="1"/>
          <w:color w:val="auto"/>
        </w:rPr>
        <w:t>Directed To</w:t>
      </w:r>
      <w:r>
        <w:rPr>
          <w:rFonts w:ascii="Times New Roman" w:cs="Times New Roman" w:eastAsia="Times New Roman" w:hAnsi="Times New Roman"/>
          <w:sz w:val="18"/>
          <w:szCs w:val="18"/>
          <w:color w:val="auto"/>
        </w:rPr>
        <w:t>” means, with regard to an Antibody or product, that such Antibody or product is developed or designed to (a) [***], and (b)</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1.28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has the meaning set forth in Section 1.21.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1.29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has the meaning set forth in Section 10.7(a).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1.30 “</w:t>
      </w:r>
      <w:r>
        <w:rPr>
          <w:rFonts w:ascii="Times New Roman" w:cs="Times New Roman" w:eastAsia="Times New Roman" w:hAnsi="Times New Roman"/>
          <w:sz w:val="18"/>
          <w:szCs w:val="18"/>
          <w:b w:val="1"/>
          <w:bCs w:val="1"/>
          <w:color w:val="auto"/>
        </w:rPr>
        <w:t>Dollar</w:t>
      </w:r>
      <w:r>
        <w:rPr>
          <w:rFonts w:ascii="Times New Roman" w:cs="Times New Roman" w:eastAsia="Times New Roman" w:hAnsi="Times New Roman"/>
          <w:sz w:val="18"/>
          <w:szCs w:val="18"/>
          <w:color w:val="auto"/>
        </w:rPr>
        <w:t>” means a U.S. dollar, and “$” shall be interpreted accordingly.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1.31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1.32 “</w:t>
      </w:r>
      <w:r>
        <w:rPr>
          <w:rFonts w:ascii="Times New Roman" w:cs="Times New Roman" w:eastAsia="Times New Roman" w:hAnsi="Times New Roman"/>
          <w:sz w:val="18"/>
          <w:szCs w:val="18"/>
          <w:b w:val="1"/>
          <w:bCs w:val="1"/>
          <w:color w:val="auto"/>
        </w:rPr>
        <w:t>Exclusivity Period</w:t>
      </w:r>
      <w:r>
        <w:rPr>
          <w:rFonts w:ascii="Times New Roman" w:cs="Times New Roman" w:eastAsia="Times New Roman" w:hAnsi="Times New Roman"/>
          <w:sz w:val="18"/>
          <w:szCs w:val="18"/>
          <w:color w:val="auto"/>
        </w:rPr>
        <w:t>” means the period commencing on the Effective Date and continuing until the fifth (5th) anniversary of the Effective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1.33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means the United States Food and Drug Administration, or a successor federal agency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1.34 “</w:t>
      </w:r>
      <w:r>
        <w:rPr>
          <w:rFonts w:ascii="Times New Roman" w:cs="Times New Roman" w:eastAsia="Times New Roman" w:hAnsi="Times New Roman"/>
          <w:sz w:val="18"/>
          <w:szCs w:val="18"/>
          <w:b w:val="1"/>
          <w:bCs w:val="1"/>
          <w:color w:val="auto"/>
        </w:rPr>
        <w:t>Field</w:t>
      </w:r>
      <w:r>
        <w:rPr>
          <w:rFonts w:ascii="Times New Roman" w:cs="Times New Roman" w:eastAsia="Times New Roman" w:hAnsi="Times New Roman"/>
          <w:sz w:val="18"/>
          <w:szCs w:val="18"/>
          <w:color w:val="auto"/>
        </w:rPr>
        <w:t>” means the prophylaxis, palliation, treatment and diagnosis of human disease and disorders.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1.35 “</w:t>
      </w:r>
      <w:r>
        <w:rPr>
          <w:rFonts w:ascii="Times New Roman" w:cs="Times New Roman" w:eastAsia="Times New Roman" w:hAnsi="Times New Roman"/>
          <w:sz w:val="18"/>
          <w:szCs w:val="18"/>
          <w:b w:val="1"/>
          <w:bCs w:val="1"/>
          <w:color w:val="auto"/>
        </w:rPr>
        <w:t>First Commercial Sale</w:t>
      </w:r>
      <w:r>
        <w:rPr>
          <w:rFonts w:ascii="Times New Roman" w:cs="Times New Roman" w:eastAsia="Times New Roman" w:hAnsi="Times New Roman"/>
          <w:sz w:val="18"/>
          <w:szCs w:val="18"/>
          <w:color w:val="auto"/>
        </w:rPr>
        <w:t>” means the first sale of an Oruka Product by Oruka, or one of its Affiliates or its or their Sublicensees, to a Third Party after receipt of all Regulatory Approvals required to market and sell the Oruka Product have been obtained in the country in the Territory in which such Oruka Product is sold. Sales for purposes of testing the Oruka Product and sample purposes shall not be deemed a First Commercial Sale. Furthermore, for purposes of clarity, the term “First Commercial Sale” as used in this Agreement shall not include: (a) [***]; (b) [***]; nor (c) [***].</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1.36 “</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has the meaning set forth in Section 10.2.</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1.37 “</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national, international, federal, state, provincial, or local government, or political subdivision thereof, or any multinational organization or any authority, agency, or commission entitled to exercise any administrative, executive, judicial, legislative, police, regulatory, or taxing authority or power, or any court or tribunal (or any department, bureau or division thereof, or any governmental arbitrator or arbitral body).</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1.38 “</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means an investigational new drug application or equivalent application that is required to commence clinical trials for a product in the Territory and filed with the applicable Regulatory Authority.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1.39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has the meaning set forth in Section 9.3.</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0" w:name="page201"/>
    <w:bookmarkEnd w:id="200"/>
    <w:p>
      <w:pPr>
        <w:ind w:left="660"/>
        <w:spacing w:after="0"/>
        <w:rPr>
          <w:sz w:val="20"/>
          <w:szCs w:val="20"/>
          <w:color w:val="auto"/>
        </w:rPr>
      </w:pPr>
      <w:r>
        <w:rPr>
          <w:rFonts w:ascii="Times New Roman" w:cs="Times New Roman" w:eastAsia="Times New Roman" w:hAnsi="Times New Roman"/>
          <w:sz w:val="18"/>
          <w:szCs w:val="18"/>
          <w:color w:val="auto"/>
        </w:rPr>
        <w:t>1.40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has the meaning set forth in Section 9.3.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1.41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means any and all proprietary rights provided under (a) patent law, including any Patents; (b) copyright law;</w:t>
      </w:r>
    </w:p>
    <w:p>
      <w:pPr>
        <w:spacing w:after="0" w:line="31" w:lineRule="exact"/>
        <w:rPr>
          <w:sz w:val="20"/>
          <w:szCs w:val="20"/>
          <w:color w:val="auto"/>
        </w:rPr>
      </w:pPr>
    </w:p>
    <w:p>
      <w:pPr>
        <w:ind w:firstLine="8"/>
        <w:spacing w:after="0" w:line="260" w:lineRule="auto"/>
        <w:tabs>
          <w:tab w:leader="none" w:pos="253"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 law; or (d) any other applicable statutory provision or common law principle, including trade secret law, that may provide a right in Know-How, or the expression or use thereof.</w:t>
      </w:r>
    </w:p>
    <w:p>
      <w:pPr>
        <w:spacing w:after="0" w:line="1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1.42 “</w:t>
      </w:r>
      <w:r>
        <w:rPr>
          <w:rFonts w:ascii="Times New Roman" w:cs="Times New Roman" w:eastAsia="Times New Roman" w:hAnsi="Times New Roman"/>
          <w:sz w:val="18"/>
          <w:szCs w:val="18"/>
          <w:b w:val="1"/>
          <w:bCs w:val="1"/>
          <w:color w:val="auto"/>
        </w:rPr>
        <w:t>Inventions</w:t>
      </w:r>
      <w:r>
        <w:rPr>
          <w:rFonts w:ascii="Times New Roman" w:cs="Times New Roman" w:eastAsia="Times New Roman" w:hAnsi="Times New Roman"/>
          <w:sz w:val="18"/>
          <w:szCs w:val="18"/>
          <w:color w:val="auto"/>
        </w:rPr>
        <w:t>” means all Know-How, and all Intellectual Property Rights therein, that are conceived, reduced to practice, discovered, developed, or made by or on behalf of either Party or any Third Parties acting on their behalf (or any of their Representatives, Affiliates, licensees, or sublicensees) in the course of performing activities under this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1.43 “</w:t>
      </w:r>
      <w:r>
        <w:rPr>
          <w:rFonts w:ascii="Times New Roman" w:cs="Times New Roman" w:eastAsia="Times New Roman" w:hAnsi="Times New Roman"/>
          <w:sz w:val="18"/>
          <w:szCs w:val="18"/>
          <w:b w:val="1"/>
          <w:bCs w:val="1"/>
          <w:color w:val="auto"/>
        </w:rPr>
        <w:t>JAMS Rules</w:t>
      </w:r>
      <w:r>
        <w:rPr>
          <w:rFonts w:ascii="Times New Roman" w:cs="Times New Roman" w:eastAsia="Times New Roman" w:hAnsi="Times New Roman"/>
          <w:sz w:val="18"/>
          <w:szCs w:val="18"/>
          <w:color w:val="auto"/>
        </w:rPr>
        <w:t>” has the meaning set forth in Section 10.7(a)(ii).</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1.44 “</w:t>
      </w:r>
      <w:r>
        <w:rPr>
          <w:rFonts w:ascii="Times New Roman" w:cs="Times New Roman" w:eastAsia="Times New Roman" w:hAnsi="Times New Roman"/>
          <w:sz w:val="18"/>
          <w:szCs w:val="18"/>
          <w:b w:val="1"/>
          <w:bCs w:val="1"/>
          <w:color w:val="auto"/>
        </w:rPr>
        <w:t>Know-How</w:t>
      </w:r>
      <w:r>
        <w:rPr>
          <w:rFonts w:ascii="Times New Roman" w:cs="Times New Roman" w:eastAsia="Times New Roman" w:hAnsi="Times New Roman"/>
          <w:sz w:val="18"/>
          <w:szCs w:val="18"/>
          <w:color w:val="auto"/>
        </w:rPr>
        <w:t>” means all technical information and know-how in any tangible or intangible form, including (a) inventions, discoveries, trade secrets, data, specifications, instructions, processes, formulae, materials (including cell lines, vectors, plasmids, nucleic acids and the like), methods, protocols, expertise and any other technology, including the applicability of any of the foregoing to formulations, compositions or products or to their manufacture, development, registration, use or marketing or to methods of assaying or testing them or processes for their manufacture, formulations containing them or compositions incorporating or comprising them, and (b) all data, instructions, processes, formulae, strategies, and expertise, whether biological, chemical, pharmacological, biochemical, toxicological, pharmaceutical, physical, analytical, or otherwise and whether related to safety, quality control, manufacturing or other disciplines. Notwithstanding the foregoing, Know-How excludes any Patents.</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1.45 “</w:t>
      </w:r>
      <w:r>
        <w:rPr>
          <w:rFonts w:ascii="Times New Roman" w:cs="Times New Roman" w:eastAsia="Times New Roman" w:hAnsi="Times New Roman"/>
          <w:sz w:val="18"/>
          <w:szCs w:val="18"/>
          <w:b w:val="1"/>
          <w:bCs w:val="1"/>
          <w:color w:val="auto"/>
        </w:rPr>
        <w:t>Licensed Antibody</w:t>
      </w:r>
      <w:r>
        <w:rPr>
          <w:rFonts w:ascii="Times New Roman" w:cs="Times New Roman" w:eastAsia="Times New Roman" w:hAnsi="Times New Roman"/>
          <w:sz w:val="18"/>
          <w:szCs w:val="18"/>
          <w:color w:val="auto"/>
        </w:rPr>
        <w:t>” means any and all Antibodies that are Directed To the Licensed Target and that were discovered, generated, identified or characterized by Paragon in the course of performing the Research Program. Notwithstanding the foregoing, the Licensed Antibodies shall not include (a) [***], or (b) [***].</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1.46 “</w:t>
      </w:r>
      <w:r>
        <w:rPr>
          <w:rFonts w:ascii="Times New Roman" w:cs="Times New Roman" w:eastAsia="Times New Roman" w:hAnsi="Times New Roman"/>
          <w:sz w:val="18"/>
          <w:szCs w:val="18"/>
          <w:b w:val="1"/>
          <w:bCs w:val="1"/>
          <w:color w:val="auto"/>
        </w:rPr>
        <w:t>Licensed Antibody Invention</w:t>
      </w:r>
      <w:r>
        <w:rPr>
          <w:rFonts w:ascii="Times New Roman" w:cs="Times New Roman" w:eastAsia="Times New Roman" w:hAnsi="Times New Roman"/>
          <w:sz w:val="18"/>
          <w:szCs w:val="18"/>
          <w:color w:val="auto"/>
        </w:rPr>
        <w:t>” means (a) any invention or discovery, whether or not patentable, that was discovered or reduced to practice by or on behalf of Paragon under the Research Program that constitutes the composition of matter of, or any method of specifically making or using, any Licensed Antibody; and (b) all Intellectual Property Rights therein, that in each case is Controlled by Paragon or its Affiliates as of the Effective Date or during the Term. Notwithstanding the foregoing, the Licensed Antibody Inventions shall not include (i) [***], (x) [***], or (y) [***], or (ii) any Intellectual Property Rights therein.</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1.47 “</w:t>
      </w:r>
      <w:r>
        <w:rPr>
          <w:rFonts w:ascii="Times New Roman" w:cs="Times New Roman" w:eastAsia="Times New Roman" w:hAnsi="Times New Roman"/>
          <w:sz w:val="18"/>
          <w:szCs w:val="18"/>
          <w:b w:val="1"/>
          <w:bCs w:val="1"/>
          <w:color w:val="auto"/>
        </w:rPr>
        <w:t>Licensed Antibody Patents</w:t>
      </w:r>
      <w:r>
        <w:rPr>
          <w:rFonts w:ascii="Times New Roman" w:cs="Times New Roman" w:eastAsia="Times New Roman" w:hAnsi="Times New Roman"/>
          <w:sz w:val="18"/>
          <w:szCs w:val="18"/>
          <w:color w:val="auto"/>
        </w:rPr>
        <w:t>” means all Patents that Cover the composition of matter of, or any method of specifically making or using, any Licensed Antibody, that in each case are Controlled by Paragon or its Affiliates as of the Effective Date or during the Term, excluding in each case any claims in such Patents that Cover the composition of matter of, or any method of specifically making or using (a) [***], or (b) [***].</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1.48 “</w:t>
      </w:r>
      <w:r>
        <w:rPr>
          <w:rFonts w:ascii="Times New Roman" w:cs="Times New Roman" w:eastAsia="Times New Roman" w:hAnsi="Times New Roman"/>
          <w:sz w:val="18"/>
          <w:szCs w:val="18"/>
          <w:b w:val="1"/>
          <w:bCs w:val="1"/>
          <w:color w:val="auto"/>
        </w:rPr>
        <w:t>Licensed Antibody Technology</w:t>
      </w:r>
      <w:r>
        <w:rPr>
          <w:rFonts w:ascii="Times New Roman" w:cs="Times New Roman" w:eastAsia="Times New Roman" w:hAnsi="Times New Roman"/>
          <w:sz w:val="18"/>
          <w:szCs w:val="18"/>
          <w:color w:val="auto"/>
        </w:rPr>
        <w:t>” means (a) the Licensed Antibody Inventions; (b) the Licensed Antibody Patents; (c) the Sequence Information; (d) the Results; (e) the Research Program Materials; and (f) all Intellectual Property Rights therein Controlled by Paragon or its Affiliates as of the Effective Date and during the Term.</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1" w:name="page202"/>
    <w:bookmarkEnd w:id="201"/>
    <w:p>
      <w:pPr>
        <w:ind w:left="660"/>
        <w:spacing w:after="0"/>
        <w:rPr>
          <w:sz w:val="20"/>
          <w:szCs w:val="20"/>
          <w:color w:val="auto"/>
        </w:rPr>
      </w:pPr>
      <w:r>
        <w:rPr>
          <w:rFonts w:ascii="Times New Roman" w:cs="Times New Roman" w:eastAsia="Times New Roman" w:hAnsi="Times New Roman"/>
          <w:sz w:val="18"/>
          <w:szCs w:val="18"/>
          <w:color w:val="auto"/>
        </w:rPr>
        <w:t>1.49 “</w:t>
      </w:r>
      <w:r>
        <w:rPr>
          <w:rFonts w:ascii="Times New Roman" w:cs="Times New Roman" w:eastAsia="Times New Roman" w:hAnsi="Times New Roman"/>
          <w:sz w:val="18"/>
          <w:szCs w:val="18"/>
          <w:b w:val="1"/>
          <w:bCs w:val="1"/>
          <w:color w:val="auto"/>
        </w:rPr>
        <w:t>Licensed Component</w:t>
      </w:r>
      <w:r>
        <w:rPr>
          <w:rFonts w:ascii="Times New Roman" w:cs="Times New Roman" w:eastAsia="Times New Roman" w:hAnsi="Times New Roman"/>
          <w:sz w:val="18"/>
          <w:szCs w:val="18"/>
          <w:color w:val="auto"/>
        </w:rPr>
        <w:t>” has the meaning set forth in Section 1.59.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1.50 “</w:t>
      </w:r>
      <w:r>
        <w:rPr>
          <w:rFonts w:ascii="Times New Roman" w:cs="Times New Roman" w:eastAsia="Times New Roman" w:hAnsi="Times New Roman"/>
          <w:sz w:val="18"/>
          <w:szCs w:val="18"/>
          <w:b w:val="1"/>
          <w:bCs w:val="1"/>
          <w:color w:val="auto"/>
        </w:rPr>
        <w:t>Licensed Target</w:t>
      </w:r>
      <w:r>
        <w:rPr>
          <w:rFonts w:ascii="Times New Roman" w:cs="Times New Roman" w:eastAsia="Times New Roman" w:hAnsi="Times New Roman"/>
          <w:sz w:val="18"/>
          <w:szCs w:val="18"/>
          <w:color w:val="auto"/>
        </w:rPr>
        <w:t>” means IL-17A/F.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1.51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has the meaning set forth in Section 9.1.</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1.52 “</w:t>
      </w:r>
      <w:r>
        <w:rPr>
          <w:rFonts w:ascii="Times New Roman" w:cs="Times New Roman" w:eastAsia="Times New Roman" w:hAnsi="Times New Roman"/>
          <w:sz w:val="18"/>
          <w:szCs w:val="18"/>
          <w:b w:val="1"/>
          <w:bCs w:val="1"/>
          <w:color w:val="auto"/>
        </w:rPr>
        <w:t>MAA</w:t>
      </w:r>
      <w:r>
        <w:rPr>
          <w:rFonts w:ascii="Times New Roman" w:cs="Times New Roman" w:eastAsia="Times New Roman" w:hAnsi="Times New Roman"/>
          <w:sz w:val="18"/>
          <w:szCs w:val="18"/>
          <w:color w:val="auto"/>
        </w:rPr>
        <w:t>” means (a) a New Drug Application in the United States, as defined in the United States Federal Food, Drug and Cosmetics Act, and applicable regulations promulgated thereunder by the FDA; (b) a Biologics License Application in the United States, as defined in the United States Public Health Service Act; or (c) any application filed with any Regulatory Authority in a country other than the United States that is equivalent to either of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1.53 “</w:t>
      </w:r>
      <w:r>
        <w:rPr>
          <w:rFonts w:ascii="Times New Roman" w:cs="Times New Roman" w:eastAsia="Times New Roman" w:hAnsi="Times New Roman"/>
          <w:sz w:val="18"/>
          <w:szCs w:val="18"/>
          <w:b w:val="1"/>
          <w:bCs w:val="1"/>
          <w:color w:val="auto"/>
        </w:rPr>
        <w:t>Major Market Country</w:t>
      </w:r>
      <w:r>
        <w:rPr>
          <w:rFonts w:ascii="Times New Roman" w:cs="Times New Roman" w:eastAsia="Times New Roman" w:hAnsi="Times New Roman"/>
          <w:sz w:val="18"/>
          <w:szCs w:val="18"/>
          <w:color w:val="auto"/>
        </w:rPr>
        <w:t>” means any of the following: [***].</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1.54 “</w:t>
      </w:r>
      <w:r>
        <w:rPr>
          <w:rFonts w:ascii="Times New Roman" w:cs="Times New Roman" w:eastAsia="Times New Roman" w:hAnsi="Times New Roman"/>
          <w:sz w:val="18"/>
          <w:szCs w:val="18"/>
          <w:b w:val="1"/>
          <w:bCs w:val="1"/>
          <w:color w:val="auto"/>
        </w:rPr>
        <w:t>Manufacture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Manufacturing</w:t>
      </w:r>
      <w:r>
        <w:rPr>
          <w:rFonts w:ascii="Times New Roman" w:cs="Times New Roman" w:eastAsia="Times New Roman" w:hAnsi="Times New Roman"/>
          <w:sz w:val="18"/>
          <w:szCs w:val="18"/>
          <w:color w:val="auto"/>
        </w:rPr>
        <w:t>” means any and all activity to make, have made, produce, manufacture, process, fill, finish, package, label, perform quality assurance testing, release, or ship an Antibody or product, including any Licensed Antibody, Derived Antibody, Product, Multispecific Antibody, or Multispecific Product, as applicable, or any component thereof. When used as a noun, “</w:t>
      </w:r>
      <w:r>
        <w:rPr>
          <w:rFonts w:ascii="Times New Roman" w:cs="Times New Roman" w:eastAsia="Times New Roman" w:hAnsi="Times New Roman"/>
          <w:sz w:val="18"/>
          <w:szCs w:val="18"/>
          <w:b w:val="1"/>
          <w:bCs w:val="1"/>
          <w:color w:val="auto"/>
        </w:rPr>
        <w:t>Manufacture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Manufacturing</w:t>
      </w:r>
      <w:r>
        <w:rPr>
          <w:rFonts w:ascii="Times New Roman" w:cs="Times New Roman" w:eastAsia="Times New Roman" w:hAnsi="Times New Roman"/>
          <w:sz w:val="18"/>
          <w:szCs w:val="18"/>
          <w:color w:val="auto"/>
        </w:rPr>
        <w:t>” means any and all activities involved in Manufacturing an Antibody or product, including any Licensed Antibody, Derived Antibody, Product, Multispecific Antibody, or Multispecific Product, as applicable, or any component thereof.</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1.55 “</w:t>
      </w:r>
      <w:r>
        <w:rPr>
          <w:rFonts w:ascii="Times New Roman" w:cs="Times New Roman" w:eastAsia="Times New Roman" w:hAnsi="Times New Roman"/>
          <w:sz w:val="18"/>
          <w:szCs w:val="18"/>
          <w:b w:val="1"/>
          <w:bCs w:val="1"/>
          <w:color w:val="auto"/>
        </w:rPr>
        <w:t>Milestone</w:t>
      </w:r>
      <w:r>
        <w:rPr>
          <w:rFonts w:ascii="Times New Roman" w:cs="Times New Roman" w:eastAsia="Times New Roman" w:hAnsi="Times New Roman"/>
          <w:sz w:val="18"/>
          <w:szCs w:val="18"/>
          <w:color w:val="auto"/>
        </w:rPr>
        <w:t>” has the meaning set forth in Section 4.1.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1.56 “</w:t>
      </w:r>
      <w:r>
        <w:rPr>
          <w:rFonts w:ascii="Times New Roman" w:cs="Times New Roman" w:eastAsia="Times New Roman" w:hAnsi="Times New Roman"/>
          <w:sz w:val="18"/>
          <w:szCs w:val="18"/>
          <w:b w:val="1"/>
          <w:bCs w:val="1"/>
          <w:color w:val="auto"/>
        </w:rPr>
        <w:t>Milestone Payment</w:t>
      </w:r>
      <w:r>
        <w:rPr>
          <w:rFonts w:ascii="Times New Roman" w:cs="Times New Roman" w:eastAsia="Times New Roman" w:hAnsi="Times New Roman"/>
          <w:sz w:val="18"/>
          <w:szCs w:val="18"/>
          <w:color w:val="auto"/>
        </w:rPr>
        <w:t>” has the meaning set forth in Section 4.1.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1.57 “</w:t>
      </w:r>
      <w:r>
        <w:rPr>
          <w:rFonts w:ascii="Times New Roman" w:cs="Times New Roman" w:eastAsia="Times New Roman" w:hAnsi="Times New Roman"/>
          <w:sz w:val="18"/>
          <w:szCs w:val="18"/>
          <w:b w:val="1"/>
          <w:bCs w:val="1"/>
          <w:color w:val="auto"/>
        </w:rPr>
        <w:t>Multispecific Antibody</w:t>
      </w:r>
      <w:r>
        <w:rPr>
          <w:rFonts w:ascii="Times New Roman" w:cs="Times New Roman" w:eastAsia="Times New Roman" w:hAnsi="Times New Roman"/>
          <w:sz w:val="18"/>
          <w:szCs w:val="18"/>
          <w:color w:val="auto"/>
        </w:rPr>
        <w:t>” means any Antibody that is comprised of (a) [***], and (b)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1.58 “</w:t>
      </w:r>
      <w:r>
        <w:rPr>
          <w:rFonts w:ascii="Times New Roman" w:cs="Times New Roman" w:eastAsia="Times New Roman" w:hAnsi="Times New Roman"/>
          <w:sz w:val="18"/>
          <w:szCs w:val="18"/>
          <w:b w:val="1"/>
          <w:bCs w:val="1"/>
          <w:color w:val="auto"/>
        </w:rPr>
        <w:t>Multispecific Product</w:t>
      </w:r>
      <w:r>
        <w:rPr>
          <w:rFonts w:ascii="Times New Roman" w:cs="Times New Roman" w:eastAsia="Times New Roman" w:hAnsi="Times New Roman"/>
          <w:sz w:val="18"/>
          <w:szCs w:val="18"/>
          <w:color w:val="auto"/>
        </w:rPr>
        <w:t>” means any product that comprises or contains any Multispecific Antibody.</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1.59 “</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means the gross amounts received for Oruka Product by Oruka, its Affiliates and Sublicensees for sales or other commercial disposition of such Oruka Product in the Territory to unrelated Third Parties, less the following, in each case related specifically to the Oruka Product and actually incurred, paid or accrued by Oruka, its Affiliates or Sublicensees and not otherwise recovered by or reimbursed to Oruka, its Affiliates or Sublicensees;</w:t>
      </w:r>
    </w:p>
    <w:p>
      <w:pPr>
        <w:spacing w:after="0" w:line="180" w:lineRule="exact"/>
        <w:rPr>
          <w:sz w:val="20"/>
          <w:szCs w:val="20"/>
          <w:color w:val="auto"/>
        </w:rPr>
      </w:pPr>
    </w:p>
    <w:p>
      <w:pPr>
        <w:ind w:left="1540" w:hanging="236"/>
        <w:spacing w:after="0"/>
        <w:tabs>
          <w:tab w:leader="none" w:pos="1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2" w:name="page203"/>
    <w:bookmarkEnd w:id="202"/>
    <w:p>
      <w:pPr>
        <w:ind w:left="1540" w:hanging="236"/>
        <w:spacing w:after="0"/>
        <w:tabs>
          <w:tab w:leader="none" w:pos="1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Net Sales will include [***]. Net Sales will be calculated only once for the first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arm’s length sale of the Oruka Product by Oruka, its Affiliates or its Sublicensees to a Third Party, and will not include sales between or among [***]. Net Sales shall not include any amounts invoiced for [***] (i) [***], (ii) [***], or (iii) [***].</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Net Sales shall be determined from the books and records of Oruka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Affiliates of Oruka or any Sublicensee maintained in accordance with U.S. generally accepted accounting principles (GAAP) consistently applied. Oruka further agrees in determining Net Sales, it (or its applicable Affiliate or Sublicensee) will use Oruka’s (or such Affiliate’s or Sublicensee’s) then current standard procedures and methodology.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 Oruka Product is sold as a Combination Product (as defined below), the Net Sales of such Combination Product for the purpose of calculating royalties and sales-based milestones owed under this Agreement for sales of such Combination Product, shall be determined as follows: [***]. If any Other Component in the Combination Product is not sold separately, Net Sales shall be calculated by [***]. If both the Licensed Component and any of the Other Components are not sold separately, the adjustment to Net Sales shall be determined by the Parties [***] to reasonably reflect [***] of such Licensed Component in the Combination Product to the total fair market value of such Combination Product.</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purposes of this definition, “</w:t>
      </w:r>
      <w:r>
        <w:rPr>
          <w:rFonts w:ascii="Times New Roman" w:cs="Times New Roman" w:eastAsia="Times New Roman" w:hAnsi="Times New Roman"/>
          <w:sz w:val="18"/>
          <w:szCs w:val="18"/>
          <w:b w:val="1"/>
          <w:bCs w:val="1"/>
          <w:color w:val="auto"/>
        </w:rPr>
        <w:t>Combination Product</w:t>
      </w:r>
      <w:r>
        <w:rPr>
          <w:rFonts w:ascii="Times New Roman" w:cs="Times New Roman" w:eastAsia="Times New Roman" w:hAnsi="Times New Roman"/>
          <w:sz w:val="18"/>
          <w:szCs w:val="18"/>
          <w:color w:val="auto"/>
        </w:rPr>
        <w:t>” means any pharmaceutical product that contains two (2) or more active ingredients, including (A) one (1) or more Licensed Antibodies, Derived Antibodies or Multispecific Antibodies (the “</w:t>
      </w:r>
      <w:r>
        <w:rPr>
          <w:rFonts w:ascii="Times New Roman" w:cs="Times New Roman" w:eastAsia="Times New Roman" w:hAnsi="Times New Roman"/>
          <w:sz w:val="18"/>
          <w:szCs w:val="18"/>
          <w:b w:val="1"/>
          <w:bCs w:val="1"/>
          <w:color w:val="auto"/>
        </w:rPr>
        <w:t>Licensed Component</w:t>
      </w:r>
      <w:r>
        <w:rPr>
          <w:rFonts w:ascii="Times New Roman" w:cs="Times New Roman" w:eastAsia="Times New Roman" w:hAnsi="Times New Roman"/>
          <w:sz w:val="18"/>
          <w:szCs w:val="18"/>
          <w:color w:val="auto"/>
        </w:rPr>
        <w:t>”), and (B) one (1) or more active pharmaceutical or biological ingredients that are not (x) a Licensed Antibody, Derived Antibody or Multispecific Antibody, or (y) an Antibody owned or controlled by Paragon or its Affiliate, the rights to which have been licensed to Oruka or its Affiliate under a separate agreement (“</w:t>
      </w:r>
      <w:r>
        <w:rPr>
          <w:rFonts w:ascii="Times New Roman" w:cs="Times New Roman" w:eastAsia="Times New Roman" w:hAnsi="Times New Roman"/>
          <w:sz w:val="18"/>
          <w:szCs w:val="18"/>
          <w:b w:val="1"/>
          <w:bCs w:val="1"/>
          <w:color w:val="auto"/>
        </w:rPr>
        <w:t>Other Component(s)</w:t>
      </w:r>
      <w:r>
        <w:rPr>
          <w:rFonts w:ascii="Times New Roman" w:cs="Times New Roman" w:eastAsia="Times New Roman" w:hAnsi="Times New Roman"/>
          <w:sz w:val="18"/>
          <w:szCs w:val="18"/>
          <w:color w:val="auto"/>
        </w:rPr>
        <w:t>”), either as a [***], [***] or [***], and [***].</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1.60 “</w:t>
      </w:r>
      <w:r>
        <w:rPr>
          <w:rFonts w:ascii="Times New Roman" w:cs="Times New Roman" w:eastAsia="Times New Roman" w:hAnsi="Times New Roman"/>
          <w:sz w:val="18"/>
          <w:szCs w:val="18"/>
          <w:b w:val="1"/>
          <w:bCs w:val="1"/>
          <w:color w:val="auto"/>
        </w:rPr>
        <w:t>Notice of Dispute</w:t>
      </w:r>
      <w:r>
        <w:rPr>
          <w:rFonts w:ascii="Times New Roman" w:cs="Times New Roman" w:eastAsia="Times New Roman" w:hAnsi="Times New Roman"/>
          <w:sz w:val="18"/>
          <w:szCs w:val="18"/>
          <w:color w:val="auto"/>
        </w:rPr>
        <w:t>” has the meaning set forth in 10.7(a)(i).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1.61 “</w:t>
      </w:r>
      <w:r>
        <w:rPr>
          <w:rFonts w:ascii="Times New Roman" w:cs="Times New Roman" w:eastAsia="Times New Roman" w:hAnsi="Times New Roman"/>
          <w:sz w:val="18"/>
          <w:szCs w:val="18"/>
          <w:b w:val="1"/>
          <w:bCs w:val="1"/>
          <w:color w:val="auto"/>
        </w:rPr>
        <w:t>Oruka</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1.62 “</w:t>
      </w:r>
      <w:r>
        <w:rPr>
          <w:rFonts w:ascii="Times New Roman" w:cs="Times New Roman" w:eastAsia="Times New Roman" w:hAnsi="Times New Roman"/>
          <w:sz w:val="18"/>
          <w:szCs w:val="18"/>
          <w:b w:val="1"/>
          <w:bCs w:val="1"/>
          <w:color w:val="auto"/>
        </w:rPr>
        <w:t>Oruka Antibody Patents</w:t>
      </w:r>
      <w:r>
        <w:rPr>
          <w:rFonts w:ascii="Times New Roman" w:cs="Times New Roman" w:eastAsia="Times New Roman" w:hAnsi="Times New Roman"/>
          <w:sz w:val="18"/>
          <w:szCs w:val="18"/>
          <w:color w:val="auto"/>
        </w:rPr>
        <w:t xml:space="preserve">” means all Patents that Cover the composition of matter of, or any method of specifically making or using any Licensed Antibody or Derived Antibody that, in each case, are owned or in-licensed by Oruka or its Affiliates or Sublicensees as of the Effective Date or during the Term,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if a Change of Control of Oruka occurs, the Oruka Antibody Patents shall not include any Patents owned or in-licensed by the Acquiring Entity as of the closing of such Change of Control.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1.63 “</w:t>
      </w:r>
      <w:r>
        <w:rPr>
          <w:rFonts w:ascii="Times New Roman" w:cs="Times New Roman" w:eastAsia="Times New Roman" w:hAnsi="Times New Roman"/>
          <w:sz w:val="18"/>
          <w:szCs w:val="18"/>
          <w:b w:val="1"/>
          <w:bCs w:val="1"/>
          <w:color w:val="auto"/>
        </w:rPr>
        <w:t>Oruka Indemnitee</w:t>
      </w:r>
      <w:r>
        <w:rPr>
          <w:rFonts w:ascii="Times New Roman" w:cs="Times New Roman" w:eastAsia="Times New Roman" w:hAnsi="Times New Roman"/>
          <w:sz w:val="18"/>
          <w:szCs w:val="18"/>
          <w:color w:val="auto"/>
        </w:rPr>
        <w:t>” has the meaning set forth in Section 9.2.</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1.64 “</w:t>
      </w:r>
      <w:r>
        <w:rPr>
          <w:rFonts w:ascii="Times New Roman" w:cs="Times New Roman" w:eastAsia="Times New Roman" w:hAnsi="Times New Roman"/>
          <w:sz w:val="18"/>
          <w:szCs w:val="18"/>
          <w:b w:val="1"/>
          <w:bCs w:val="1"/>
          <w:color w:val="auto"/>
        </w:rPr>
        <w:t>Oruka Intellectual Property</w:t>
      </w:r>
      <w:r>
        <w:rPr>
          <w:rFonts w:ascii="Times New Roman" w:cs="Times New Roman" w:eastAsia="Times New Roman" w:hAnsi="Times New Roman"/>
          <w:sz w:val="18"/>
          <w:szCs w:val="18"/>
          <w:color w:val="auto"/>
        </w:rPr>
        <w:t>” means any Patents, Know-How or other Intellectual Property Rights that are Controlled by Oruka and are necessary for, and actually used (or held for use) by Oruka or its Affiliates as of the effective date of termination of this Agreement in the Development, Manufacturing, or Commercialization of Oruka Products.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3" w:name="page204"/>
    <w:bookmarkEnd w:id="203"/>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1.65 “</w:t>
      </w:r>
      <w:r>
        <w:rPr>
          <w:rFonts w:ascii="Times New Roman" w:cs="Times New Roman" w:eastAsia="Times New Roman" w:hAnsi="Times New Roman"/>
          <w:sz w:val="18"/>
          <w:szCs w:val="18"/>
          <w:b w:val="1"/>
          <w:bCs w:val="1"/>
          <w:color w:val="auto"/>
        </w:rPr>
        <w:t>Oruka Invention</w:t>
      </w:r>
      <w:r>
        <w:rPr>
          <w:rFonts w:ascii="Times New Roman" w:cs="Times New Roman" w:eastAsia="Times New Roman" w:hAnsi="Times New Roman"/>
          <w:sz w:val="18"/>
          <w:szCs w:val="18"/>
          <w:color w:val="auto"/>
        </w:rPr>
        <w:t xml:space="preserve">” means (a) any Invention that is owned or Controlled by Oruka, and (b) all Intellectual Property Rights therein,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in each case (a) – (b), Oruka Inventions shall not include (i) any Inventions owned or Controlled by Paragon or its Affiliate, the rights to which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licensed to Oruka or its Affiliate under this Agreement or a separate agreement, or (ii) any Intellectual Property Rights therein.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1.66 “</w:t>
      </w:r>
      <w:r>
        <w:rPr>
          <w:rFonts w:ascii="Times New Roman" w:cs="Times New Roman" w:eastAsia="Times New Roman" w:hAnsi="Times New Roman"/>
          <w:sz w:val="18"/>
          <w:szCs w:val="18"/>
          <w:b w:val="1"/>
          <w:bCs w:val="1"/>
          <w:color w:val="auto"/>
        </w:rPr>
        <w:t>Oruka Multispecific Antibody</w:t>
      </w:r>
      <w:r>
        <w:rPr>
          <w:rFonts w:ascii="Times New Roman" w:cs="Times New Roman" w:eastAsia="Times New Roman" w:hAnsi="Times New Roman"/>
          <w:sz w:val="18"/>
          <w:szCs w:val="18"/>
          <w:color w:val="auto"/>
        </w:rPr>
        <w:t>” means any Multispecific Antibody that is Developed, Manufactured, Commercialized or otherwise exploited by Oruka, its Affiliates or Sublicensees, excluding in each case, and subject to Section 2.7, any Paragon Multispecific Antibody.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1.67 “</w:t>
      </w:r>
      <w:r>
        <w:rPr>
          <w:rFonts w:ascii="Times New Roman" w:cs="Times New Roman" w:eastAsia="Times New Roman" w:hAnsi="Times New Roman"/>
          <w:sz w:val="18"/>
          <w:szCs w:val="18"/>
          <w:b w:val="1"/>
          <w:bCs w:val="1"/>
          <w:color w:val="auto"/>
        </w:rPr>
        <w:t>Oruka Multispecific Patents</w:t>
      </w:r>
      <w:r>
        <w:rPr>
          <w:rFonts w:ascii="Times New Roman" w:cs="Times New Roman" w:eastAsia="Times New Roman" w:hAnsi="Times New Roman"/>
          <w:sz w:val="18"/>
          <w:szCs w:val="18"/>
          <w:color w:val="auto"/>
        </w:rPr>
        <w:t>” means those Patents that Cover the composition of matter of, or any method of specifically making or using, an Oruka Multispecific Antibody.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1.68 “</w:t>
      </w:r>
      <w:r>
        <w:rPr>
          <w:rFonts w:ascii="Times New Roman" w:cs="Times New Roman" w:eastAsia="Times New Roman" w:hAnsi="Times New Roman"/>
          <w:sz w:val="18"/>
          <w:szCs w:val="18"/>
          <w:b w:val="1"/>
          <w:bCs w:val="1"/>
          <w:color w:val="auto"/>
        </w:rPr>
        <w:t>Oruka Multispecific Product</w:t>
      </w:r>
      <w:r>
        <w:rPr>
          <w:rFonts w:ascii="Times New Roman" w:cs="Times New Roman" w:eastAsia="Times New Roman" w:hAnsi="Times New Roman"/>
          <w:sz w:val="18"/>
          <w:szCs w:val="18"/>
          <w:color w:val="auto"/>
        </w:rPr>
        <w:t>” means any product that comprises or contains any Oruka Multispecific Antibody.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1.69 “</w:t>
      </w:r>
      <w:r>
        <w:rPr>
          <w:rFonts w:ascii="Times New Roman" w:cs="Times New Roman" w:eastAsia="Times New Roman" w:hAnsi="Times New Roman"/>
          <w:sz w:val="18"/>
          <w:szCs w:val="18"/>
          <w:b w:val="1"/>
          <w:bCs w:val="1"/>
          <w:color w:val="auto"/>
        </w:rPr>
        <w:t>Oruka Product</w:t>
      </w:r>
      <w:r>
        <w:rPr>
          <w:rFonts w:ascii="Times New Roman" w:cs="Times New Roman" w:eastAsia="Times New Roman" w:hAnsi="Times New Roman"/>
          <w:sz w:val="18"/>
          <w:szCs w:val="18"/>
          <w:color w:val="auto"/>
        </w:rPr>
        <w:t>” means, individually or collectively, as applicable, Licensed Antibodies, Derived Antibodies, Products, Oruka Multispecific Antibodies and Oruka Multispecific Products.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1.70 “</w:t>
      </w:r>
      <w:r>
        <w:rPr>
          <w:rFonts w:ascii="Times New Roman" w:cs="Times New Roman" w:eastAsia="Times New Roman" w:hAnsi="Times New Roman"/>
          <w:sz w:val="18"/>
          <w:szCs w:val="18"/>
          <w:b w:val="1"/>
          <w:bCs w:val="1"/>
          <w:color w:val="auto"/>
        </w:rPr>
        <w:t>Other Component(s)</w:t>
      </w:r>
      <w:r>
        <w:rPr>
          <w:rFonts w:ascii="Times New Roman" w:cs="Times New Roman" w:eastAsia="Times New Roman" w:hAnsi="Times New Roman"/>
          <w:sz w:val="18"/>
          <w:szCs w:val="18"/>
          <w:color w:val="auto"/>
        </w:rPr>
        <w:t>” has the meaning set forth in Section 1.59.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1.71 “</w:t>
      </w:r>
      <w:r>
        <w:rPr>
          <w:rFonts w:ascii="Times New Roman" w:cs="Times New Roman" w:eastAsia="Times New Roman" w:hAnsi="Times New Roman"/>
          <w:sz w:val="18"/>
          <w:szCs w:val="18"/>
          <w:b w:val="1"/>
          <w:bCs w:val="1"/>
          <w:color w:val="auto"/>
        </w:rPr>
        <w:t>Other Licensed Know-How</w:t>
      </w:r>
      <w:r>
        <w:rPr>
          <w:rFonts w:ascii="Times New Roman" w:cs="Times New Roman" w:eastAsia="Times New Roman" w:hAnsi="Times New Roman"/>
          <w:sz w:val="18"/>
          <w:szCs w:val="18"/>
          <w:color w:val="auto"/>
        </w:rPr>
        <w:t>” means all Know-How Controlled by Paragon or its Affiliates on the Effective Date or during the Term that</w:t>
      </w:r>
    </w:p>
    <w:p>
      <w:pPr>
        <w:spacing w:after="0" w:line="31" w:lineRule="exact"/>
        <w:rPr>
          <w:sz w:val="20"/>
          <w:szCs w:val="20"/>
          <w:color w:val="auto"/>
        </w:rPr>
      </w:pPr>
    </w:p>
    <w:p>
      <w:pPr>
        <w:jc w:val="both"/>
        <w:ind w:firstLine="8"/>
        <w:spacing w:after="0" w:line="253" w:lineRule="auto"/>
        <w:tabs>
          <w:tab w:leader="none" w:pos="2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used by or on behalf of Paragon in the performance of the Research Program, and (b) is necessary to Develop, Manufacture, Commercialize or otherwise exploit (i) Licensed Antibodies, or (ii) Products, Multispecific Antibodies or Multispecific Products, in each case solely to the extent comprising or containing a Licensed Antibody. For clarity, the Other Licensed Know-How shall exclude (x) the Licensed Antibody Technology, and (y) any Know-How Controlled by Paragon or its Affiliates relating to (1) that [***], or (2) [***].</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1.72 “</w:t>
      </w:r>
      <w:r>
        <w:rPr>
          <w:rFonts w:ascii="Times New Roman" w:cs="Times New Roman" w:eastAsia="Times New Roman" w:hAnsi="Times New Roman"/>
          <w:sz w:val="18"/>
          <w:szCs w:val="18"/>
          <w:b w:val="1"/>
          <w:bCs w:val="1"/>
          <w:color w:val="auto"/>
        </w:rPr>
        <w:t>Other Licensed Patents</w:t>
      </w:r>
      <w:r>
        <w:rPr>
          <w:rFonts w:ascii="Times New Roman" w:cs="Times New Roman" w:eastAsia="Times New Roman" w:hAnsi="Times New Roman"/>
          <w:sz w:val="18"/>
          <w:szCs w:val="18"/>
          <w:color w:val="auto"/>
        </w:rPr>
        <w:t>” means any Patents other than Licensed Antibody Patents Controlled by Paragon or its Affiliates as of the Effective Date or during the Term that (a) include a claim that expressly recites the sequence of a Licensed Antibody or Derived Antibody, and (b) are necessary to Develop, Manufacture or Commercialize Licensed Antibodies or Derived Antibodies in the Field in the Territory. Notwithstanding the foregoing, the Other Licensed Patents shall not include (i) Paragon Multispecific Patents, (ii) the Paragon Platform Patents (as defined in the Option Agreement), or (iii) any Patents that Cover (x) [***], or (y) [***].</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1.73 “</w:t>
      </w:r>
      <w:r>
        <w:rPr>
          <w:rFonts w:ascii="Times New Roman" w:cs="Times New Roman" w:eastAsia="Times New Roman" w:hAnsi="Times New Roman"/>
          <w:sz w:val="18"/>
          <w:szCs w:val="18"/>
          <w:b w:val="1"/>
          <w:bCs w:val="1"/>
          <w:color w:val="auto"/>
        </w:rPr>
        <w:t>Other Licensed Technology</w:t>
      </w:r>
      <w:r>
        <w:rPr>
          <w:rFonts w:ascii="Times New Roman" w:cs="Times New Roman" w:eastAsia="Times New Roman" w:hAnsi="Times New Roman"/>
          <w:sz w:val="18"/>
          <w:szCs w:val="18"/>
          <w:color w:val="auto"/>
        </w:rPr>
        <w:t>” means all (a) Other Licensed Know-How, and (b) Other Licensed Patents.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1.74 “</w:t>
      </w:r>
      <w:r>
        <w:rPr>
          <w:rFonts w:ascii="Times New Roman" w:cs="Times New Roman" w:eastAsia="Times New Roman" w:hAnsi="Times New Roman"/>
          <w:sz w:val="18"/>
          <w:szCs w:val="18"/>
          <w:b w:val="1"/>
          <w:bCs w:val="1"/>
          <w:color w:val="auto"/>
        </w:rPr>
        <w:t>Paragon</w:t>
      </w:r>
      <w:r>
        <w:rPr>
          <w:rFonts w:ascii="Times New Roman" w:cs="Times New Roman" w:eastAsia="Times New Roman" w:hAnsi="Times New Roman"/>
          <w:sz w:val="18"/>
          <w:szCs w:val="18"/>
          <w:color w:val="auto"/>
        </w:rPr>
        <w:t>” has the meaning set forth in the Preamble.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4" w:name="page205"/>
    <w:bookmarkEnd w:id="204"/>
    <w:p>
      <w:pPr>
        <w:ind w:left="660"/>
        <w:spacing w:after="0"/>
        <w:rPr>
          <w:sz w:val="20"/>
          <w:szCs w:val="20"/>
          <w:color w:val="auto"/>
        </w:rPr>
      </w:pPr>
      <w:r>
        <w:rPr>
          <w:rFonts w:ascii="Times New Roman" w:cs="Times New Roman" w:eastAsia="Times New Roman" w:hAnsi="Times New Roman"/>
          <w:sz w:val="18"/>
          <w:szCs w:val="18"/>
          <w:color w:val="auto"/>
        </w:rPr>
        <w:t>1.75 “</w:t>
      </w:r>
      <w:r>
        <w:rPr>
          <w:rFonts w:ascii="Times New Roman" w:cs="Times New Roman" w:eastAsia="Times New Roman" w:hAnsi="Times New Roman"/>
          <w:sz w:val="18"/>
          <w:szCs w:val="18"/>
          <w:b w:val="1"/>
          <w:bCs w:val="1"/>
          <w:color w:val="auto"/>
        </w:rPr>
        <w:t>Paragon Indemnitee</w:t>
      </w:r>
      <w:r>
        <w:rPr>
          <w:rFonts w:ascii="Times New Roman" w:cs="Times New Roman" w:eastAsia="Times New Roman" w:hAnsi="Times New Roman"/>
          <w:sz w:val="18"/>
          <w:szCs w:val="18"/>
          <w:color w:val="auto"/>
        </w:rPr>
        <w:t>” has the meaning set forth in Section 9.1.</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1.76 “</w:t>
      </w:r>
      <w:r>
        <w:rPr>
          <w:rFonts w:ascii="Times New Roman" w:cs="Times New Roman" w:eastAsia="Times New Roman" w:hAnsi="Times New Roman"/>
          <w:sz w:val="18"/>
          <w:szCs w:val="18"/>
          <w:b w:val="1"/>
          <w:bCs w:val="1"/>
          <w:color w:val="auto"/>
        </w:rPr>
        <w:t>Paragon Multispecific Antibody</w:t>
      </w:r>
      <w:r>
        <w:rPr>
          <w:rFonts w:ascii="Times New Roman" w:cs="Times New Roman" w:eastAsia="Times New Roman" w:hAnsi="Times New Roman"/>
          <w:sz w:val="18"/>
          <w:szCs w:val="18"/>
          <w:color w:val="auto"/>
        </w:rPr>
        <w:t>” means any Multispecific Antibody that is Developed, Manufactured, Commercialized or otherwise exploited by Paragon or its Affiliate or licensees (other than Oruka and its Affiliates and Sublicensees), excluding in each case any Oruka Multispecific Antibodies.</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1.77 “</w:t>
      </w:r>
      <w:r>
        <w:rPr>
          <w:rFonts w:ascii="Times New Roman" w:cs="Times New Roman" w:eastAsia="Times New Roman" w:hAnsi="Times New Roman"/>
          <w:sz w:val="18"/>
          <w:szCs w:val="18"/>
          <w:b w:val="1"/>
          <w:bCs w:val="1"/>
          <w:color w:val="auto"/>
        </w:rPr>
        <w:t>Paragon Multispecific Patents</w:t>
      </w:r>
      <w:r>
        <w:rPr>
          <w:rFonts w:ascii="Times New Roman" w:cs="Times New Roman" w:eastAsia="Times New Roman" w:hAnsi="Times New Roman"/>
          <w:sz w:val="18"/>
          <w:szCs w:val="18"/>
          <w:color w:val="auto"/>
        </w:rPr>
        <w:t>” means those Patents that Cover the composition of matter of, or any method of specifically making or using, a Paragon Multispecific Antibody, in each case excluding the Licensed Antibody Patents.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1.78 “</w:t>
      </w:r>
      <w:r>
        <w:rPr>
          <w:rFonts w:ascii="Times New Roman" w:cs="Times New Roman" w:eastAsia="Times New Roman" w:hAnsi="Times New Roman"/>
          <w:sz w:val="18"/>
          <w:szCs w:val="18"/>
          <w:b w:val="1"/>
          <w:bCs w:val="1"/>
          <w:color w:val="auto"/>
        </w:rPr>
        <w:t>Paragon Patents</w:t>
      </w:r>
      <w:r>
        <w:rPr>
          <w:rFonts w:ascii="Times New Roman" w:cs="Times New Roman" w:eastAsia="Times New Roman" w:hAnsi="Times New Roman"/>
          <w:sz w:val="18"/>
          <w:szCs w:val="18"/>
          <w:color w:val="auto"/>
        </w:rPr>
        <w:t>” has the meaning set forth in Section 5.2(c).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1.79 “</w:t>
      </w:r>
      <w:r>
        <w:rPr>
          <w:rFonts w:ascii="Times New Roman" w:cs="Times New Roman" w:eastAsia="Times New Roman" w:hAnsi="Times New Roman"/>
          <w:sz w:val="18"/>
          <w:szCs w:val="18"/>
          <w:b w:val="1"/>
          <w:bCs w:val="1"/>
          <w:color w:val="auto"/>
        </w:rPr>
        <w:t>Paragon Third Party Agreement</w:t>
      </w:r>
      <w:r>
        <w:rPr>
          <w:rFonts w:ascii="Times New Roman" w:cs="Times New Roman" w:eastAsia="Times New Roman" w:hAnsi="Times New Roman"/>
          <w:sz w:val="18"/>
          <w:szCs w:val="18"/>
          <w:color w:val="auto"/>
        </w:rPr>
        <w:t>” has the meaning set forth in Section 2.8.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1.80 “</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has the meaning set forth in Section 1.15.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1.81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1.82 “</w:t>
      </w:r>
      <w:r>
        <w:rPr>
          <w:rFonts w:ascii="Times New Roman" w:cs="Times New Roman" w:eastAsia="Times New Roman" w:hAnsi="Times New Roman"/>
          <w:sz w:val="18"/>
          <w:szCs w:val="18"/>
          <w:b w:val="1"/>
          <w:bCs w:val="1"/>
          <w:color w:val="auto"/>
        </w:rPr>
        <w:t>Patent Challenge</w:t>
      </w:r>
      <w:r>
        <w:rPr>
          <w:rFonts w:ascii="Times New Roman" w:cs="Times New Roman" w:eastAsia="Times New Roman" w:hAnsi="Times New Roman"/>
          <w:sz w:val="18"/>
          <w:szCs w:val="18"/>
          <w:color w:val="auto"/>
        </w:rPr>
        <w:t>” has the meaning set forth in Section 5.3(a).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1.83 “</w:t>
      </w:r>
      <w:r>
        <w:rPr>
          <w:rFonts w:ascii="Times New Roman" w:cs="Times New Roman" w:eastAsia="Times New Roman" w:hAnsi="Times New Roman"/>
          <w:sz w:val="18"/>
          <w:szCs w:val="18"/>
          <w:b w:val="1"/>
          <w:bCs w:val="1"/>
          <w:color w:val="auto"/>
        </w:rPr>
        <w:t>Patent Infringement</w:t>
      </w:r>
      <w:r>
        <w:rPr>
          <w:rFonts w:ascii="Times New Roman" w:cs="Times New Roman" w:eastAsia="Times New Roman" w:hAnsi="Times New Roman"/>
          <w:sz w:val="18"/>
          <w:szCs w:val="18"/>
          <w:color w:val="auto"/>
        </w:rPr>
        <w:t>” has the meaning set forth in Section 5.3(a).</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1.84 “</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(a) unexpired patents and patent applications, (b) any and all patent applications filed either from such patent or patent applications or from a patent application claiming priority from any of those, including divisionals, provisionals, continuations, continuations-in-part, and reissues, (c) substitutions, renewals, registrations, re-examinations, revalidations, extensions, supplementary protection certificates and the like of any such patents and patent applications, and (d) any and all foreign equivalents of the foregoing.</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1.85 “</w:t>
      </w:r>
      <w:r>
        <w:rPr>
          <w:rFonts w:ascii="Times New Roman" w:cs="Times New Roman" w:eastAsia="Times New Roman" w:hAnsi="Times New Roman"/>
          <w:sz w:val="18"/>
          <w:szCs w:val="18"/>
          <w:b w:val="1"/>
          <w:bCs w:val="1"/>
          <w:color w:val="auto"/>
        </w:rPr>
        <w:t>Phase I Trial</w:t>
      </w:r>
      <w:r>
        <w:rPr>
          <w:rFonts w:ascii="Times New Roman" w:cs="Times New Roman" w:eastAsia="Times New Roman" w:hAnsi="Times New Roman"/>
          <w:sz w:val="18"/>
          <w:szCs w:val="18"/>
          <w:color w:val="auto"/>
        </w:rPr>
        <w:t>” means a human clinical trial in any country of the type described in 21 C.F.R. §312.21(a), or the foreign equivalent thereof, regardless of where such clinical trial is conducted.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1.86 “</w:t>
      </w:r>
      <w:r>
        <w:rPr>
          <w:rFonts w:ascii="Times New Roman" w:cs="Times New Roman" w:eastAsia="Times New Roman" w:hAnsi="Times New Roman"/>
          <w:sz w:val="18"/>
          <w:szCs w:val="18"/>
          <w:b w:val="1"/>
          <w:bCs w:val="1"/>
          <w:color w:val="auto"/>
        </w:rPr>
        <w:t>Phase II Trial</w:t>
      </w:r>
      <w:r>
        <w:rPr>
          <w:rFonts w:ascii="Times New Roman" w:cs="Times New Roman" w:eastAsia="Times New Roman" w:hAnsi="Times New Roman"/>
          <w:sz w:val="18"/>
          <w:szCs w:val="18"/>
          <w:color w:val="auto"/>
        </w:rPr>
        <w:t>” means a human clinical trial in any country of the type described in 21 C.F.R. §312.21(b), or the foreign equivalent thereof, regardless of where such clinical trial is conducted.</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1.87 “</w:t>
      </w:r>
      <w:r>
        <w:rPr>
          <w:rFonts w:ascii="Times New Roman" w:cs="Times New Roman" w:eastAsia="Times New Roman" w:hAnsi="Times New Roman"/>
          <w:sz w:val="18"/>
          <w:szCs w:val="18"/>
          <w:b w:val="1"/>
          <w:bCs w:val="1"/>
          <w:color w:val="auto"/>
        </w:rPr>
        <w:t>Phase III Trial</w:t>
      </w:r>
      <w:r>
        <w:rPr>
          <w:rFonts w:ascii="Times New Roman" w:cs="Times New Roman" w:eastAsia="Times New Roman" w:hAnsi="Times New Roman"/>
          <w:sz w:val="18"/>
          <w:szCs w:val="18"/>
          <w:color w:val="auto"/>
        </w:rPr>
        <w:t>” means a human clinical trial in any country of the type described in 21 C.F.R. §312.21(c), or the foreign equivalent thereof, regardless of where such clinical trial is conducted.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1.88 “</w:t>
      </w:r>
      <w:r>
        <w:rPr>
          <w:rFonts w:ascii="Times New Roman" w:cs="Times New Roman" w:eastAsia="Times New Roman" w:hAnsi="Times New Roman"/>
          <w:sz w:val="18"/>
          <w:szCs w:val="18"/>
          <w:b w:val="1"/>
          <w:bCs w:val="1"/>
          <w:color w:val="auto"/>
        </w:rPr>
        <w:t>Post-Effective Date Patents</w:t>
      </w:r>
      <w:r>
        <w:rPr>
          <w:rFonts w:ascii="Times New Roman" w:cs="Times New Roman" w:eastAsia="Times New Roman" w:hAnsi="Times New Roman"/>
          <w:sz w:val="18"/>
          <w:szCs w:val="18"/>
          <w:color w:val="auto"/>
        </w:rPr>
        <w:t>” has the meaning set forth in Section 5.2(b)(i).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1.89 “</w:t>
      </w:r>
      <w:r>
        <w:rPr>
          <w:rFonts w:ascii="Times New Roman" w:cs="Times New Roman" w:eastAsia="Times New Roman" w:hAnsi="Times New Roman"/>
          <w:sz w:val="18"/>
          <w:szCs w:val="18"/>
          <w:b w:val="1"/>
          <w:bCs w:val="1"/>
          <w:color w:val="auto"/>
        </w:rPr>
        <w:t>Pre-Existing Entities</w:t>
      </w:r>
      <w:r>
        <w:rPr>
          <w:rFonts w:ascii="Times New Roman" w:cs="Times New Roman" w:eastAsia="Times New Roman" w:hAnsi="Times New Roman"/>
          <w:sz w:val="18"/>
          <w:szCs w:val="18"/>
          <w:color w:val="auto"/>
        </w:rPr>
        <w:t>” has the meaning set forth in Section 1.3.</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1.90 “</w:t>
      </w: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means any product that comprises or contains any Licensed Antibody or Derived Antibody other than as part of a Multispecific Antibody or a Multispecific Product.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5" w:name="page206"/>
    <w:bookmarkEnd w:id="205"/>
    <w:p>
      <w:pPr>
        <w:ind w:left="660"/>
        <w:spacing w:after="0"/>
        <w:rPr>
          <w:sz w:val="20"/>
          <w:szCs w:val="20"/>
          <w:color w:val="auto"/>
        </w:rPr>
      </w:pPr>
      <w:r>
        <w:rPr>
          <w:rFonts w:ascii="Times New Roman" w:cs="Times New Roman" w:eastAsia="Times New Roman" w:hAnsi="Times New Roman"/>
          <w:sz w:val="18"/>
          <w:szCs w:val="18"/>
          <w:color w:val="auto"/>
        </w:rPr>
        <w:t>1.91 “</w:t>
      </w:r>
      <w:r>
        <w:rPr>
          <w:rFonts w:ascii="Times New Roman" w:cs="Times New Roman" w:eastAsia="Times New Roman" w:hAnsi="Times New Roman"/>
          <w:sz w:val="18"/>
          <w:szCs w:val="18"/>
          <w:b w:val="1"/>
          <w:bCs w:val="1"/>
          <w:color w:val="auto"/>
        </w:rPr>
        <w:t>Prosecute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Prosecution</w:t>
      </w:r>
      <w:r>
        <w:rPr>
          <w:rFonts w:ascii="Times New Roman" w:cs="Times New Roman" w:eastAsia="Times New Roman" w:hAnsi="Times New Roman"/>
          <w:sz w:val="18"/>
          <w:szCs w:val="18"/>
          <w:color w:val="auto"/>
        </w:rPr>
        <w:t>” has the meaning set forth in Section 5.2(a).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1.92 “</w:t>
      </w:r>
      <w:r>
        <w:rPr>
          <w:rFonts w:ascii="Times New Roman" w:cs="Times New Roman" w:eastAsia="Times New Roman" w:hAnsi="Times New Roman"/>
          <w:sz w:val="18"/>
          <w:szCs w:val="18"/>
          <w:b w:val="1"/>
          <w:bCs w:val="1"/>
          <w:color w:val="auto"/>
        </w:rPr>
        <w:t>Prosecuting Party</w:t>
      </w:r>
      <w:r>
        <w:rPr>
          <w:rFonts w:ascii="Times New Roman" w:cs="Times New Roman" w:eastAsia="Times New Roman" w:hAnsi="Times New Roman"/>
          <w:sz w:val="18"/>
          <w:szCs w:val="18"/>
          <w:color w:val="auto"/>
        </w:rPr>
        <w:t>” has the meaning set forth in Section 5.2(b)(iii).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1.93 “</w:t>
      </w:r>
      <w:r>
        <w:rPr>
          <w:rFonts w:ascii="Times New Roman" w:cs="Times New Roman" w:eastAsia="Times New Roman" w:hAnsi="Times New Roman"/>
          <w:sz w:val="18"/>
          <w:szCs w:val="18"/>
          <w:b w:val="1"/>
          <w:bCs w:val="1"/>
          <w:color w:val="auto"/>
        </w:rPr>
        <w:t>Publication</w:t>
      </w:r>
      <w:r>
        <w:rPr>
          <w:rFonts w:ascii="Times New Roman" w:cs="Times New Roman" w:eastAsia="Times New Roman" w:hAnsi="Times New Roman"/>
          <w:sz w:val="18"/>
          <w:szCs w:val="18"/>
          <w:color w:val="auto"/>
        </w:rPr>
        <w:t>” has the meaning set forth in Section 6.6(b).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1.94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has the meaning set forth in Section 1.21.</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1.95 “</w:t>
      </w:r>
      <w:r>
        <w:rPr>
          <w:rFonts w:ascii="Times New Roman" w:cs="Times New Roman" w:eastAsia="Times New Roman" w:hAnsi="Times New Roman"/>
          <w:sz w:val="18"/>
          <w:szCs w:val="18"/>
          <w:b w:val="1"/>
          <w:bCs w:val="1"/>
          <w:color w:val="auto"/>
        </w:rPr>
        <w:t>Regulatory Approval</w:t>
      </w:r>
      <w:r>
        <w:rPr>
          <w:rFonts w:ascii="Times New Roman" w:cs="Times New Roman" w:eastAsia="Times New Roman" w:hAnsi="Times New Roman"/>
          <w:sz w:val="18"/>
          <w:szCs w:val="18"/>
          <w:color w:val="auto"/>
        </w:rPr>
        <w:t>” means all clearances, approvals (including approval of an MAA as well as any applicable pricing and/or reimbursement approvals), licenses, registrations or authorizations of any Regulatory Authority necessary to commercially distribute, sell and market a pharmaceutical product in a country or territory under this Agreement.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1.96 “</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any supranational, multinational, federal, national, state, provincial or local regulatory agency, department, bureau or other Governmental Authority with authority over the clinical development, manufacture marketing or sale of an Oruka Product in a country or region, including the FDA in the United States and the EMA in Europe.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1.97 “</w:t>
      </w:r>
      <w:r>
        <w:rPr>
          <w:rFonts w:ascii="Times New Roman" w:cs="Times New Roman" w:eastAsia="Times New Roman" w:hAnsi="Times New Roman"/>
          <w:sz w:val="18"/>
          <w:szCs w:val="18"/>
          <w:b w:val="1"/>
          <w:bCs w:val="1"/>
          <w:color w:val="auto"/>
        </w:rPr>
        <w:t>Reimbursement Obligation</w:t>
      </w:r>
      <w:r>
        <w:rPr>
          <w:rFonts w:ascii="Times New Roman" w:cs="Times New Roman" w:eastAsia="Times New Roman" w:hAnsi="Times New Roman"/>
          <w:sz w:val="18"/>
          <w:szCs w:val="18"/>
          <w:color w:val="auto"/>
        </w:rPr>
        <w:t>” has the meaning set forth in Section 2.8.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1.98 “</w:t>
      </w:r>
      <w:r>
        <w:rPr>
          <w:rFonts w:ascii="Times New Roman" w:cs="Times New Roman" w:eastAsia="Times New Roman" w:hAnsi="Times New Roman"/>
          <w:sz w:val="18"/>
          <w:szCs w:val="18"/>
          <w:b w:val="1"/>
          <w:bCs w:val="1"/>
          <w:color w:val="auto"/>
        </w:rPr>
        <w:t>Remaining Recovery</w:t>
      </w:r>
      <w:r>
        <w:rPr>
          <w:rFonts w:ascii="Times New Roman" w:cs="Times New Roman" w:eastAsia="Times New Roman" w:hAnsi="Times New Roman"/>
          <w:sz w:val="18"/>
          <w:szCs w:val="18"/>
          <w:color w:val="auto"/>
        </w:rPr>
        <w:t>” has the meaning set forth in Section 5.3(f).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1.99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of a Party means such Party’s officers, directors, employees, contractors, subcontractors, agents and consultants.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1.100 “</w:t>
      </w:r>
      <w:r>
        <w:rPr>
          <w:rFonts w:ascii="Times New Roman" w:cs="Times New Roman" w:eastAsia="Times New Roman" w:hAnsi="Times New Roman"/>
          <w:sz w:val="18"/>
          <w:szCs w:val="18"/>
          <w:b w:val="1"/>
          <w:bCs w:val="1"/>
          <w:color w:val="auto"/>
        </w:rPr>
        <w:t>Research Program</w:t>
      </w:r>
      <w:r>
        <w:rPr>
          <w:rFonts w:ascii="Times New Roman" w:cs="Times New Roman" w:eastAsia="Times New Roman" w:hAnsi="Times New Roman"/>
          <w:sz w:val="18"/>
          <w:szCs w:val="18"/>
          <w:color w:val="auto"/>
        </w:rPr>
        <w:t>” means the Research Program (as defined in the Option Agreement) conducted by the Parties pursuant to the Option Agreement with respect to the Licensed Target.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1.101 “</w:t>
      </w:r>
      <w:r>
        <w:rPr>
          <w:rFonts w:ascii="Times New Roman" w:cs="Times New Roman" w:eastAsia="Times New Roman" w:hAnsi="Times New Roman"/>
          <w:sz w:val="18"/>
          <w:szCs w:val="18"/>
          <w:b w:val="1"/>
          <w:bCs w:val="1"/>
          <w:color w:val="auto"/>
        </w:rPr>
        <w:t>Research Program Materials</w:t>
      </w:r>
      <w:r>
        <w:rPr>
          <w:rFonts w:ascii="Times New Roman" w:cs="Times New Roman" w:eastAsia="Times New Roman" w:hAnsi="Times New Roman"/>
          <w:sz w:val="18"/>
          <w:szCs w:val="18"/>
          <w:color w:val="auto"/>
        </w:rPr>
        <w:t xml:space="preserve">” means the tangible materials resulting from the Research Program that are Controlled by Paragon or its Affiliates as of the Effective Date or during the Term that are listed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hereto, as may be amended in writing from time to time upon mutual agreement of the Parties. For clarity, Research Program Materials shall not include materials that are consumed or destroyed in the performance of the Research Program or that are not available to be transferred by Paragon to Oruka without violating the terms of any agreement or other arrangement with a Third Party.</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1.102 “</w:t>
      </w:r>
      <w:r>
        <w:rPr>
          <w:rFonts w:ascii="Times New Roman" w:cs="Times New Roman" w:eastAsia="Times New Roman" w:hAnsi="Times New Roman"/>
          <w:sz w:val="18"/>
          <w:szCs w:val="18"/>
          <w:b w:val="1"/>
          <w:bCs w:val="1"/>
          <w:color w:val="auto"/>
        </w:rPr>
        <w:t>Results</w:t>
      </w:r>
      <w:r>
        <w:rPr>
          <w:rFonts w:ascii="Times New Roman" w:cs="Times New Roman" w:eastAsia="Times New Roman" w:hAnsi="Times New Roman"/>
          <w:sz w:val="18"/>
          <w:szCs w:val="18"/>
          <w:color w:val="auto"/>
        </w:rPr>
        <w:t>” means all data, results, analysis, conclusions, outcomes, information, documentation and reports that are generated by or on behalf of Paragon in performance of the Research Program, excluding in each case any other Licensed Antibody Technology.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1.103 “</w:t>
      </w:r>
      <w:r>
        <w:rPr>
          <w:rFonts w:ascii="Times New Roman" w:cs="Times New Roman" w:eastAsia="Times New Roman" w:hAnsi="Times New Roman"/>
          <w:sz w:val="18"/>
          <w:szCs w:val="18"/>
          <w:b w:val="1"/>
          <w:bCs w:val="1"/>
          <w:color w:val="auto"/>
        </w:rPr>
        <w:t>Reversion Products</w:t>
      </w:r>
      <w:r>
        <w:rPr>
          <w:rFonts w:ascii="Times New Roman" w:cs="Times New Roman" w:eastAsia="Times New Roman" w:hAnsi="Times New Roman"/>
          <w:sz w:val="18"/>
          <w:szCs w:val="18"/>
          <w:color w:val="auto"/>
        </w:rPr>
        <w:t>” has the meaning set forth in Section 8.5(c).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1.104 “</w:t>
      </w:r>
      <w:r>
        <w:rPr>
          <w:rFonts w:ascii="Times New Roman" w:cs="Times New Roman" w:eastAsia="Times New Roman" w:hAnsi="Times New Roman"/>
          <w:sz w:val="18"/>
          <w:szCs w:val="18"/>
          <w:b w:val="1"/>
          <w:bCs w:val="1"/>
          <w:color w:val="auto"/>
        </w:rPr>
        <w:t>Review Period</w:t>
      </w:r>
      <w:r>
        <w:rPr>
          <w:rFonts w:ascii="Times New Roman" w:cs="Times New Roman" w:eastAsia="Times New Roman" w:hAnsi="Times New Roman"/>
          <w:sz w:val="18"/>
          <w:szCs w:val="18"/>
          <w:color w:val="auto"/>
        </w:rPr>
        <w:t>” has the meaning set forth in Section 6.6(b).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1.105 “</w:t>
      </w:r>
      <w:r>
        <w:rPr>
          <w:rFonts w:ascii="Times New Roman" w:cs="Times New Roman" w:eastAsia="Times New Roman" w:hAnsi="Times New Roman"/>
          <w:sz w:val="18"/>
          <w:szCs w:val="18"/>
          <w:b w:val="1"/>
          <w:bCs w:val="1"/>
          <w:color w:val="auto"/>
        </w:rPr>
        <w:t>ROFN Information</w:t>
      </w:r>
      <w:r>
        <w:rPr>
          <w:rFonts w:ascii="Times New Roman" w:cs="Times New Roman" w:eastAsia="Times New Roman" w:hAnsi="Times New Roman"/>
          <w:sz w:val="18"/>
          <w:szCs w:val="18"/>
          <w:color w:val="auto"/>
        </w:rPr>
        <w:t>” has the meaning set forth in Section 2.7(a).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1.106 “</w:t>
      </w:r>
      <w:r>
        <w:rPr>
          <w:rFonts w:ascii="Times New Roman" w:cs="Times New Roman" w:eastAsia="Times New Roman" w:hAnsi="Times New Roman"/>
          <w:sz w:val="18"/>
          <w:szCs w:val="18"/>
          <w:b w:val="1"/>
          <w:bCs w:val="1"/>
          <w:color w:val="auto"/>
        </w:rPr>
        <w:t>ROFN Negotiation Period</w:t>
      </w:r>
      <w:r>
        <w:rPr>
          <w:rFonts w:ascii="Times New Roman" w:cs="Times New Roman" w:eastAsia="Times New Roman" w:hAnsi="Times New Roman"/>
          <w:sz w:val="18"/>
          <w:szCs w:val="18"/>
          <w:color w:val="auto"/>
        </w:rPr>
        <w:t>” has the meaning set forth in Section 2.7(c).</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6" w:name="page207"/>
    <w:bookmarkEnd w:id="206"/>
    <w:p>
      <w:pPr>
        <w:ind w:left="660"/>
        <w:spacing w:after="0"/>
        <w:rPr>
          <w:sz w:val="20"/>
          <w:szCs w:val="20"/>
          <w:color w:val="auto"/>
        </w:rPr>
      </w:pPr>
      <w:r>
        <w:rPr>
          <w:rFonts w:ascii="Times New Roman" w:cs="Times New Roman" w:eastAsia="Times New Roman" w:hAnsi="Times New Roman"/>
          <w:sz w:val="18"/>
          <w:szCs w:val="18"/>
          <w:color w:val="auto"/>
        </w:rPr>
        <w:t>1.107 “</w:t>
      </w:r>
      <w:r>
        <w:rPr>
          <w:rFonts w:ascii="Times New Roman" w:cs="Times New Roman" w:eastAsia="Times New Roman" w:hAnsi="Times New Roman"/>
          <w:sz w:val="18"/>
          <w:szCs w:val="18"/>
          <w:b w:val="1"/>
          <w:bCs w:val="1"/>
          <w:color w:val="auto"/>
        </w:rPr>
        <w:t>ROFN Period</w:t>
      </w:r>
      <w:r>
        <w:rPr>
          <w:rFonts w:ascii="Times New Roman" w:cs="Times New Roman" w:eastAsia="Times New Roman" w:hAnsi="Times New Roman"/>
          <w:sz w:val="18"/>
          <w:szCs w:val="18"/>
          <w:color w:val="auto"/>
        </w:rPr>
        <w:t>” has the meaning set forth in Section 2.7(a).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1.108 “</w:t>
      </w:r>
      <w:r>
        <w:rPr>
          <w:rFonts w:ascii="Times New Roman" w:cs="Times New Roman" w:eastAsia="Times New Roman" w:hAnsi="Times New Roman"/>
          <w:sz w:val="18"/>
          <w:szCs w:val="18"/>
          <w:b w:val="1"/>
          <w:bCs w:val="1"/>
          <w:color w:val="auto"/>
        </w:rPr>
        <w:t>Royalty Payments</w:t>
      </w:r>
      <w:r>
        <w:rPr>
          <w:rFonts w:ascii="Times New Roman" w:cs="Times New Roman" w:eastAsia="Times New Roman" w:hAnsi="Times New Roman"/>
          <w:sz w:val="18"/>
          <w:szCs w:val="18"/>
          <w:color w:val="auto"/>
        </w:rPr>
        <w:t>” has the meaning set forth in Section 4.2(a).</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1.109 “</w:t>
      </w:r>
      <w:r>
        <w:rPr>
          <w:rFonts w:ascii="Times New Roman" w:cs="Times New Roman" w:eastAsia="Times New Roman" w:hAnsi="Times New Roman"/>
          <w:sz w:val="18"/>
          <w:szCs w:val="18"/>
          <w:b w:val="1"/>
          <w:bCs w:val="1"/>
          <w:color w:val="auto"/>
        </w:rPr>
        <w:t>Royalty Term</w:t>
      </w:r>
      <w:r>
        <w:rPr>
          <w:rFonts w:ascii="Times New Roman" w:cs="Times New Roman" w:eastAsia="Times New Roman" w:hAnsi="Times New Roman"/>
          <w:sz w:val="18"/>
          <w:szCs w:val="18"/>
          <w:color w:val="auto"/>
        </w:rPr>
        <w:t>” means, on an Oruka Product-by-Oruka Product and country-by-country basis, the period commencing on First Commercial Sale of the applicable Oruka Product in the applicable country in the Territory and ending, with respect to the particular Oruka Product and country at issue on the latest of the following dates: (a) the twelfth (12th) anniversary of the date of First Commercial Sale of such Oruka Product in such country; or (b) the expiration of the last-to-expire Valid Claim of a Licensed Antibody Patent or an Oruka Antibody Patent Covering the Manufacture, use or sale of such Oruka Product in the country at issue.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1.110 “</w:t>
      </w:r>
      <w:r>
        <w:rPr>
          <w:rFonts w:ascii="Times New Roman" w:cs="Times New Roman" w:eastAsia="Times New Roman" w:hAnsi="Times New Roman"/>
          <w:sz w:val="18"/>
          <w:szCs w:val="18"/>
          <w:b w:val="1"/>
          <w:bCs w:val="1"/>
          <w:color w:val="auto"/>
        </w:rPr>
        <w:t>Sequence Information</w:t>
      </w:r>
      <w:r>
        <w:rPr>
          <w:rFonts w:ascii="Times New Roman" w:cs="Times New Roman" w:eastAsia="Times New Roman" w:hAnsi="Times New Roman"/>
          <w:sz w:val="18"/>
          <w:szCs w:val="18"/>
          <w:color w:val="auto"/>
        </w:rPr>
        <w:t>” means any files of Paragon containing all Licensed Antibody sequences generated under the Research Program.</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1.111 “</w:t>
      </w:r>
      <w:r>
        <w:rPr>
          <w:rFonts w:ascii="Times New Roman" w:cs="Times New Roman" w:eastAsia="Times New Roman" w:hAnsi="Times New Roman"/>
          <w:sz w:val="18"/>
          <w:szCs w:val="18"/>
          <w:b w:val="1"/>
          <w:bCs w:val="1"/>
          <w:color w:val="auto"/>
        </w:rPr>
        <w:t>Sublicensee</w:t>
      </w:r>
      <w:r>
        <w:rPr>
          <w:rFonts w:ascii="Times New Roman" w:cs="Times New Roman" w:eastAsia="Times New Roman" w:hAnsi="Times New Roman"/>
          <w:sz w:val="18"/>
          <w:szCs w:val="18"/>
          <w:color w:val="auto"/>
        </w:rPr>
        <w:t>” means any Affiliate of Oruka or any Third Party with respect to Oruka, to whom Oruka grants a sublicense of, or other authorization or permission granted under, the rights granted to Oruka in Section 2.1.</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1.112 “</w:t>
      </w:r>
      <w:r>
        <w:rPr>
          <w:rFonts w:ascii="Times New Roman" w:cs="Times New Roman" w:eastAsia="Times New Roman" w:hAnsi="Times New Roman"/>
          <w:sz w:val="18"/>
          <w:szCs w:val="18"/>
          <w:b w:val="1"/>
          <w:bCs w:val="1"/>
          <w:color w:val="auto"/>
        </w:rPr>
        <w:t>Target</w:t>
      </w:r>
      <w:r>
        <w:rPr>
          <w:rFonts w:ascii="Times New Roman" w:cs="Times New Roman" w:eastAsia="Times New Roman" w:hAnsi="Times New Roman"/>
          <w:sz w:val="18"/>
          <w:szCs w:val="18"/>
          <w:color w:val="auto"/>
        </w:rPr>
        <w:t>” means a protein molecule that (a) is chemically distinct from other molecules, and (b) wherein a binding entity derives recognized therapeutic value from binding to such molecule.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1.113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has the meaning set forth in Section 8.1.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1.114 “</w:t>
      </w: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18"/>
          <w:szCs w:val="18"/>
          <w:color w:val="auto"/>
        </w:rPr>
        <w:t>” means worldwide.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1.115 “</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person or entity other than Paragon or Oruka or an Affiliate of either Paragon or Oruka.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1.116 “</w:t>
      </w:r>
      <w:r>
        <w:rPr>
          <w:rFonts w:ascii="Times New Roman" w:cs="Times New Roman" w:eastAsia="Times New Roman" w:hAnsi="Times New Roman"/>
          <w:sz w:val="18"/>
          <w:szCs w:val="18"/>
          <w:b w:val="1"/>
          <w:bCs w:val="1"/>
          <w:color w:val="auto"/>
        </w:rPr>
        <w:t>Third Party Claim</w:t>
      </w:r>
      <w:r>
        <w:rPr>
          <w:rFonts w:ascii="Times New Roman" w:cs="Times New Roman" w:eastAsia="Times New Roman" w:hAnsi="Times New Roman"/>
          <w:sz w:val="18"/>
          <w:szCs w:val="18"/>
          <w:color w:val="auto"/>
        </w:rPr>
        <w:t>” has the meaning set forth in Section 9.1.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1.117 “</w:t>
      </w:r>
      <w:r>
        <w:rPr>
          <w:rFonts w:ascii="Times New Roman" w:cs="Times New Roman" w:eastAsia="Times New Roman" w:hAnsi="Times New Roman"/>
          <w:sz w:val="18"/>
          <w:szCs w:val="18"/>
          <w:b w:val="1"/>
          <w:bCs w:val="1"/>
          <w:color w:val="auto"/>
        </w:rPr>
        <w:t>Transfer Period</w:t>
      </w:r>
      <w:r>
        <w:rPr>
          <w:rFonts w:ascii="Times New Roman" w:cs="Times New Roman" w:eastAsia="Times New Roman" w:hAnsi="Times New Roman"/>
          <w:sz w:val="18"/>
          <w:szCs w:val="18"/>
          <w:color w:val="auto"/>
        </w:rPr>
        <w:t>” has the meaning set forth in Section 2.5(c).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1.118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means the United States of America and its possessions and territories, including Puerto Rico.</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1.119 “</w:t>
      </w:r>
      <w:r>
        <w:rPr>
          <w:rFonts w:ascii="Times New Roman" w:cs="Times New Roman" w:eastAsia="Times New Roman" w:hAnsi="Times New Roman"/>
          <w:sz w:val="18"/>
          <w:szCs w:val="18"/>
          <w:b w:val="1"/>
          <w:bCs w:val="1"/>
          <w:color w:val="auto"/>
        </w:rPr>
        <w:t>Valid Claim</w:t>
      </w:r>
      <w:r>
        <w:rPr>
          <w:rFonts w:ascii="Times New Roman" w:cs="Times New Roman" w:eastAsia="Times New Roman" w:hAnsi="Times New Roman"/>
          <w:sz w:val="18"/>
          <w:szCs w:val="18"/>
          <w:color w:val="auto"/>
        </w:rPr>
        <w:t>” means, with respect to a particular country, a claim (including a process, use or composition of matter claim) of an issued and unexpired patent (or a supplementary protection certificate thereof) that has not (a) irretrievably lapsed or been abandoned, permanently revoked, dedicated to the public or disclaimed, or (b) been held invalid, unenforceable or not patentable by a court, governmental agency, national or regional patent office or other appropriate body that has competent jurisdiction, which holding, finding or decision is final and unappealable or unappealed within the time allowed for appeal.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LICENSES; TECHNOLOGY TRANSFER; MULTISPECIFIC ANTIBODIES.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License Grants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20" w:firstLine="1304"/>
        <w:spacing w:after="0" w:line="261" w:lineRule="auto"/>
        <w:tabs>
          <w:tab w:leader="none" w:pos="154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Paragon hereby grants to Oruka a royalty-bearing, exclusive (even as to Paragon and its Affiliates, subject to Paragon’s retained rights under Section 2.4) license, including the right to sublicense through multiple tiers, under the Licensed Antibody Technology to Develop, Manufacture, Commercialize, or otherwise exploit Licensed Antibodies, Derived Antibodies and Products in the Field in the Territory.</w:t>
      </w:r>
    </w:p>
    <w:p>
      <w:pPr>
        <w:spacing w:after="0" w:line="179"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53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including Section 2.7, Paragon hereby grants to Oruka a royalty-bearing, non-exclusive right and license, including the right to sublicense through multiple tiers, under the Licensed Antibody Technology to Develop, Manufacture, Commercialize or otherwise exploit Multispecific Antibodies and Multispecific Products in the Field in the Territory.</w:t>
      </w:r>
    </w:p>
    <w:p>
      <w:pPr>
        <w:spacing w:after="0" w:line="175"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52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Paragon hereby grants to Oruka a royalty-bearing, non-exclusive license, including the right to sublicense through multiple tiers, under the Other Licensed Patents to Develop, Manufacture, Commercialize or otherwise exploit Licensed Antibodies, Derived Antibodies, Multispecific Antibodies, Products and Multispecific Products in the Field in the Territory.</w:t>
      </w:r>
    </w:p>
    <w:p>
      <w:pPr>
        <w:spacing w:after="0" w:line="175" w:lineRule="exact"/>
        <w:rPr>
          <w:rFonts w:ascii="Times New Roman" w:cs="Times New Roman" w:eastAsia="Times New Roman" w:hAnsi="Times New Roman"/>
          <w:sz w:val="18"/>
          <w:szCs w:val="18"/>
          <w:color w:val="auto"/>
        </w:rPr>
      </w:pPr>
    </w:p>
    <w:p>
      <w:pPr>
        <w:jc w:val="both"/>
        <w:ind w:left="-20" w:firstLine="1304"/>
        <w:spacing w:after="0" w:line="261" w:lineRule="auto"/>
        <w:tabs>
          <w:tab w:leader="none" w:pos="1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Paragon hereby grants to Oruka a royalty-bearing, non-exclusive license, including the right to sublicense through multiple tiers, under the Other Licensed Know-How to Develop, Manufacture, Commercialize or otherwise exploit (i) Licensed Antibodies, or (ii) Products, Multispecific Antibodies or Multispecific Products, in each case solely to the extent comprising or containing a Licensed Antibody, in the Field in the Territory.</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color w:val="auto"/>
        </w:rPr>
        <w:t>Exclusivity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20" w:firstLine="1304"/>
        <w:spacing w:after="0" w:line="255" w:lineRule="auto"/>
        <w:tabs>
          <w:tab w:leader="none" w:pos="1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Section 2.2, to the maximum extent permissible under Applicable Law, during the Exclusivity Period, Paragon shall not, and shall ensure that its Affiliates do not, directly or indirectly, conduct any activity, either on its own or with, for the benefit of, or sponsored by, any Third Party, including granting any license to any Third Party that would permit such Third Party, to develop, manufacture, commercialize or otherwise exploit any monospecific Antibody that is Directed To the Licensed Target in the Field. It will not be a violation of this Section 2.2(a) if Paragon or its Affiliate, directly or through a Third Party, (i) conducts screening activities solely for the purposes of ensuring compliance with this Section 2.2(a), (ii) conducts activities in accordance with the terms of this Agreement, the Option Agreement or any other written agreement between the Parties, or (iii) conducts activities with the prior written consent of Oruka.</w:t>
      </w:r>
    </w:p>
    <w:p>
      <w:pPr>
        <w:spacing w:after="0" w:line="188" w:lineRule="exact"/>
        <w:rPr>
          <w:rFonts w:ascii="Times New Roman" w:cs="Times New Roman" w:eastAsia="Times New Roman" w:hAnsi="Times New Roman"/>
          <w:sz w:val="18"/>
          <w:szCs w:val="18"/>
          <w:color w:val="auto"/>
        </w:rPr>
      </w:pPr>
    </w:p>
    <w:p>
      <w:pPr>
        <w:jc w:val="both"/>
        <w:ind w:left="-20" w:firstLine="1304"/>
        <w:spacing w:after="0" w:line="256" w:lineRule="auto"/>
        <w:tabs>
          <w:tab w:leader="none" w:pos="1542"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if a Change of Control occurs with respect to Paragon or its Parent Entity, and the Acquiring Entity (or any of such Acquiring Entity’s successors or assigns, other than the relevant Pre-Existing Entities) as of the Change of Control has a program or product (or rights thereto) that would otherwise violate Section 2.2(a) (each, a “</w:t>
      </w:r>
      <w:r>
        <w:rPr>
          <w:rFonts w:ascii="Times New Roman" w:cs="Times New Roman" w:eastAsia="Times New Roman" w:hAnsi="Times New Roman"/>
          <w:sz w:val="18"/>
          <w:szCs w:val="18"/>
          <w:b w:val="1"/>
          <w:bCs w:val="1"/>
          <w:color w:val="auto"/>
        </w:rPr>
        <w:t>COC Program</w:t>
      </w:r>
      <w:r>
        <w:rPr>
          <w:rFonts w:ascii="Times New Roman" w:cs="Times New Roman" w:eastAsia="Times New Roman" w:hAnsi="Times New Roman"/>
          <w:sz w:val="18"/>
          <w:szCs w:val="18"/>
          <w:color w:val="auto"/>
        </w:rPr>
        <w:t xml:space="preserve">”), then (i) Section 2.2(a) shall not apply with respect to such COC Program, and (ii) such Acquiring Entity will be permitted to continue such COC Program after such Change of Control and such continuation will not constitute a violation of Section 2.2(a),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Licensed Antibody Technology and Confidential Information of Paragon and Oruka relating to the Oruka Products is not used in the COC Program.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0" w:right="339" w:bottom="1440" w:gutter="0" w:footer="0" w:header="0"/>
        </w:sectPr>
      </w:pPr>
    </w:p>
    <w:bookmarkStart w:id="208" w:name="page209"/>
    <w:bookmarkEnd w:id="208"/>
    <w:p>
      <w:pPr>
        <w:jc w:val="both"/>
        <w:ind w:firstLine="1304"/>
        <w:spacing w:after="0" w:line="256" w:lineRule="auto"/>
        <w:tabs>
          <w:tab w:leader="none" w:pos="154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if Paragon or its Parent Entity (i) acquires a Third Party entity that has a program or product (or rights thereto) that would otherwise violate Section 2.2(a), or (ii) acquires asset(s) from a Third Party entity that would otherwise violate Section 2.2(a) (each, an “</w:t>
      </w:r>
      <w:r>
        <w:rPr>
          <w:rFonts w:ascii="Times New Roman" w:cs="Times New Roman" w:eastAsia="Times New Roman" w:hAnsi="Times New Roman"/>
          <w:sz w:val="18"/>
          <w:szCs w:val="18"/>
          <w:b w:val="1"/>
          <w:bCs w:val="1"/>
          <w:color w:val="auto"/>
        </w:rPr>
        <w:t>Acquired Program</w:t>
      </w:r>
      <w:r>
        <w:rPr>
          <w:rFonts w:ascii="Times New Roman" w:cs="Times New Roman" w:eastAsia="Times New Roman" w:hAnsi="Times New Roman"/>
          <w:sz w:val="18"/>
          <w:szCs w:val="18"/>
          <w:color w:val="auto"/>
        </w:rPr>
        <w:t xml:space="preserve">”), then (1) Section 2.2(a) shall not apply with respect to such Acquired Program, and (2) Paragon or its Parent Entity will be permitted to continue such Acquired Program after such acquisition and such continuation will not constitute a violation of Section 2.2(a), </w:t>
      </w: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the Licensed Antibody Technology and Confidential Information of Paragon and Oruka relating to the Oruka Products is not used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Program.</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color w:val="auto"/>
        </w:rPr>
        <w:t>Sublicenses</w:t>
      </w:r>
      <w:r>
        <w:rPr>
          <w:rFonts w:ascii="Times New Roman" w:cs="Times New Roman" w:eastAsia="Times New Roman" w:hAnsi="Times New Roman"/>
          <w:sz w:val="18"/>
          <w:szCs w:val="18"/>
          <w:color w:val="auto"/>
        </w:rPr>
        <w:t xml:space="preserve">. Oruka shall have the right to grant sublicenses under the rights granted to it in Section 2.1 to its Affiliates and Third Parties; </w:t>
      </w: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(a) each such sublicense shall be granted in writing and each such relevant sublicense agreement shall be consistent with all relevant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and restrictions of this Agreement, (b) Oruka will provide Paragon with a true and complete copy of each sublicense agreement (other than sublicense agreements with Third Party service providers) and any amendments thereto within [***] days following the execution thereof (which sublicense agreement and amendments may be redacted except to the extent necessary for Paragon to determine Oruka’s compliance with this Agreement), and (c) Oruka shall remain responsible for all of its payments and other performance obligations due under this Agreement, notwithstanding any license or sublicense that it may grant.</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color w:val="auto"/>
        </w:rPr>
        <w:t>No Implied Licenses; Reservation of Rights</w:t>
      </w:r>
      <w:r>
        <w:rPr>
          <w:rFonts w:ascii="Times New Roman" w:cs="Times New Roman" w:eastAsia="Times New Roman" w:hAnsi="Times New Roman"/>
          <w:sz w:val="18"/>
          <w:szCs w:val="18"/>
          <w:color w:val="auto"/>
        </w:rPr>
        <w:t>. Except as expressly set forth herein, no right or license under any Patents, Know-How or Intellectual Property Right of either Party is granted or shall be granted by implication hereunder. All such rights or licenses are or shall be granted only as expressly provided in this Agreement, and each Party reserves to itself all rights not expressly granted under this Agreement. Notwithstanding anything to the contrary under this Agreement, Paragon retains rights under the Licensed Antibody Technology solely to perform its obligations and exercise its rights under this Agreement and the Option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color w:val="auto"/>
        </w:rPr>
        <w:t>Information Transfer and Support to Oruka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8" w:lineRule="auto"/>
        <w:tabs>
          <w:tab w:leader="none" w:pos="15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possible and within not more than [***] days after the Effective Date, Paragon shall provide Oruka with the Results and Sequence Information in existence as of the Effective Date not already provided to Oruka under the Option Agreement. Additionally, on a continuing basis during the term of the Research Program, as soon as possible and within not more than [***] days after additional Results or Sequence Information come into existence or are identified by Paragon that in each case have not already been provided to Oruka under the Option Agreement, Paragon shall disclose and transfer such additional Results and Sequence Information to Oruka.</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52"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reasonable request of Oruka made from time to time during the Term, Paragon shall promptly disclose and transfer to Oruka tangible embodiments of the Other Licensed Know-How that is the subject of Oruka’s request.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9" w:name="page210"/>
    <w:bookmarkEnd w:id="209"/>
    <w:p>
      <w:pPr>
        <w:jc w:val="both"/>
        <w:ind w:firstLine="1304"/>
        <w:spacing w:after="0" w:line="253" w:lineRule="auto"/>
        <w:tabs>
          <w:tab w:leader="none" w:pos="154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and agree that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has been agreed by the Parties as of the Effective Date, and that materials that are different than or in addition to the materials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may result from the Research Program to the extent that the Research Program continues to be performed following the Effective Date. Upon the reasonable request of Oruka made at any time prior to the end of the [***] day period following the expiration of the Research Term (as defined in the Option Agreement), the Parties shall update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reflect the tangible materials, including samples, reagents, nucleic acids and Antibodies, resulting from the Research Program that constitute Research Program Materials hereunder. During the period beginning on the Effective Date and ending [***] months after the expiration of the Research Term (the “</w:t>
      </w:r>
      <w:r>
        <w:rPr>
          <w:rFonts w:ascii="Times New Roman" w:cs="Times New Roman" w:eastAsia="Times New Roman" w:hAnsi="Times New Roman"/>
          <w:sz w:val="18"/>
          <w:szCs w:val="18"/>
          <w:b w:val="1"/>
          <w:bCs w:val="1"/>
          <w:color w:val="auto"/>
        </w:rPr>
        <w:t>Transfer Period</w:t>
      </w:r>
      <w:r>
        <w:rPr>
          <w:rFonts w:ascii="Times New Roman" w:cs="Times New Roman" w:eastAsia="Times New Roman" w:hAnsi="Times New Roman"/>
          <w:sz w:val="18"/>
          <w:szCs w:val="18"/>
          <w:color w:val="auto"/>
        </w:rPr>
        <w:t>”), at [***] request and expense, Paragon will provide Oruka or a Third Party designated by Oruka with any Research Program Materials, provided that any Third Party recipient of such Research Program Materials shall be bound by the relevant terms of this Agreement and that the Research Program Materials are used solely to further Develop, Manufacture and Commercialize the Oruka Products. For clarity, [***] shall be responsible for any out-of-pocket costs incurred by Paragon or its Affiliates to store and maintain the Research Program Materials during the Transfer Period.</w:t>
      </w:r>
    </w:p>
    <w:p>
      <w:pPr>
        <w:spacing w:after="0" w:line="194" w:lineRule="exact"/>
        <w:rPr>
          <w:rFonts w:ascii="Times New Roman" w:cs="Times New Roman" w:eastAsia="Times New Roman" w:hAnsi="Times New Roman"/>
          <w:sz w:val="18"/>
          <w:szCs w:val="18"/>
          <w:color w:val="auto"/>
        </w:rPr>
      </w:pPr>
    </w:p>
    <w:p>
      <w:pPr>
        <w:ind w:firstLine="1304"/>
        <w:spacing w:after="0" w:line="282" w:lineRule="auto"/>
        <w:tabs>
          <w:tab w:leader="none" w:pos="1557"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bear all costs and expenses incurred by such Party in connection with the disclosure and transfer of any Results and Sequence Information as set forth above.</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 day period following completion of the Research Program, in the event Oruka makes any reasonable request for assistance in order to understand the Licensed Antibody Technology and use the Licensed Antibody Technology to continue the uninterrupted Development of the Licensed Antibodies, Paragon shall provide up to [***] month of additional assistance during such period, at [***] cost and expense at the then current [***] Rate (as defined in the Option Agreement) in the Option Agreement. Paragon shall consider and discuss in good faith any additional requests for assistance made by Oruka, which assistance may be provided upon mutual agreement of the Parties.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b w:val="1"/>
          <w:bCs w:val="1"/>
          <w:color w:val="auto"/>
        </w:rPr>
        <w:t>Paragon Rights with Respect to Multispecific Antibodies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6" w:lineRule="auto"/>
        <w:tabs>
          <w:tab w:leader="none" w:pos="1573"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this Agreement, including Section 2.6(b) below and Section 2.7, Paragon reserves and retains the non-exclusive right under the Licensed Antibody Technology to Develop, Manufacture, Commercialize and otherwise exploit Multispecific Antibodies and Multispecific Products in the Field in the Territory. If Paragon exercises such right, then Paragon shall pay royalties to Oruka in accordance with Article IV (at the rate specified in Section 4.2(b)),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with respect to any Multispecific Antibodies and Multispecific Products that are Commercialized by Paragon or its Affiliates or sublicensees (other than Oruka and its Affiliates and Sublicensees) in the Field in the Territory,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references to Oruka Antibody Patents in clause (b) of the Royalty Term definition and Section 4.3 shall be disregarded.</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Oruka has designated [***] Licensed Antibody or Derived Antibody as its lead compound and [***] Licensed Antibody or Derived Antibody as its backup compound, as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(each such designated Licensed Antibody or Derived Antibody, a “</w:t>
      </w:r>
      <w:r>
        <w:rPr>
          <w:rFonts w:ascii="Times New Roman" w:cs="Times New Roman" w:eastAsia="Times New Roman" w:hAnsi="Times New Roman"/>
          <w:sz w:val="18"/>
          <w:szCs w:val="18"/>
          <w:b w:val="1"/>
          <w:bCs w:val="1"/>
          <w:color w:val="auto"/>
        </w:rPr>
        <w:t>Designated Multispecific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Antibody</w:t>
      </w:r>
      <w:r>
        <w:rPr>
          <w:rFonts w:ascii="Times New Roman" w:cs="Times New Roman" w:eastAsia="Times New Roman" w:hAnsi="Times New Roman"/>
          <w:sz w:val="18"/>
          <w:szCs w:val="18"/>
          <w:color w:val="auto"/>
        </w:rPr>
        <w:t>”). Paragon’s rights under Section 2.6(a) shall expressly exclude the right to Develop, Manufacture, Commercialize or otherwise exploit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Multispecific Antibodies that have identical sequence identity within their complementarity-determining regions as a Designated Multispecific Antibody, or (ii) Multispecific Products that comprise or contain any Multispecific Antibody referenced in clause (i). For the avoidance of doubt, if Paragon engaged in Development or Manufacture of a Multispecific Antibody that meets the criteria of clause (i) or (ii) above prior to the Effective Date, then Paragon shall not be in breach of this Agreement,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Paragon ceases all such Development or Manufacture within [***] days following the Effective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0" w:name="page211"/>
    <w:bookmarkEnd w:id="210"/>
    <w:p>
      <w:pPr>
        <w:ind w:left="66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b w:val="1"/>
          <w:bCs w:val="1"/>
          <w:color w:val="auto"/>
        </w:rPr>
        <w:t>Right of First Negotiation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4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on the Effective Date and continuing until the [***] anniversary thereof (the “</w:t>
      </w:r>
      <w:r>
        <w:rPr>
          <w:rFonts w:ascii="Times New Roman" w:cs="Times New Roman" w:eastAsia="Times New Roman" w:hAnsi="Times New Roman"/>
          <w:sz w:val="18"/>
          <w:szCs w:val="18"/>
          <w:b w:val="1"/>
          <w:bCs w:val="1"/>
          <w:color w:val="auto"/>
        </w:rPr>
        <w:t>ROFN Period</w:t>
      </w:r>
      <w:r>
        <w:rPr>
          <w:rFonts w:ascii="Times New Roman" w:cs="Times New Roman" w:eastAsia="Times New Roman" w:hAnsi="Times New Roman"/>
          <w:sz w:val="18"/>
          <w:szCs w:val="18"/>
          <w:color w:val="auto"/>
        </w:rPr>
        <w:t>”), Paragon will promptly notify Oruka in writing if (i) Paragon has developed a descriptive research plan with respect to the Development of a Multispecific Antibody or a plan to license or grant rights in a Multispecific Antibody to a Third Party, or (ii) Paragon enters into [***] negotiations pursuant to an offer to or from any Third Party relating to the foregoing. Together with such notice, Paragon will provide to Oruka all material information and research plans developed by Paragon with respect to such Multispecific Antibody (the “</w:t>
      </w:r>
      <w:r>
        <w:rPr>
          <w:rFonts w:ascii="Times New Roman" w:cs="Times New Roman" w:eastAsia="Times New Roman" w:hAnsi="Times New Roman"/>
          <w:sz w:val="18"/>
          <w:szCs w:val="18"/>
          <w:b w:val="1"/>
          <w:bCs w:val="1"/>
          <w:color w:val="auto"/>
        </w:rPr>
        <w:t>ROFN Information</w:t>
      </w:r>
      <w:r>
        <w:rPr>
          <w:rFonts w:ascii="Times New Roman" w:cs="Times New Roman" w:eastAsia="Times New Roman" w:hAnsi="Times New Roman"/>
          <w:sz w:val="18"/>
          <w:szCs w:val="18"/>
          <w:color w:val="auto"/>
        </w:rPr>
        <w:t>”). Oruka will have [***] days from receipt of the ROFN Information to deliver a written notice to Paragon of Oruka’s desire to engage in negotiations for an agreement concerning the Development, or exclusive license or grant of rights to, such Multispecific Antibody.</w:t>
      </w:r>
    </w:p>
    <w:p>
      <w:pPr>
        <w:spacing w:after="0" w:line="186"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Oruka does not provide such written notice to Paragon of its interest to engage in such negotiations within such [***] day period, then (i) Paragon shall be free to enter into an agreement with a Third Party with respect to the grant of a license or other rights to such Multispecific Antibody and corresponding Multispecific Products without further obligation to Oruka under this Section 2.7, and (ii) Oruka’s license under Section 2.1(b) shall automatically exclude any right to Develop, Manufacture, Commercialize or otherwise exploit the identical Multispecific Antibodies Developed by or on behalf of Paragon and corresponding Multispecific Products.</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Oruka does provide Paragon such written notice within such [***] day period, the Parties will negotiate [***] on an exclusive basis for a period of up to [***] months from the date of Oruka’s notice (“</w:t>
      </w:r>
      <w:r>
        <w:rPr>
          <w:rFonts w:ascii="Times New Roman" w:cs="Times New Roman" w:eastAsia="Times New Roman" w:hAnsi="Times New Roman"/>
          <w:sz w:val="18"/>
          <w:szCs w:val="18"/>
          <w:b w:val="1"/>
          <w:bCs w:val="1"/>
          <w:color w:val="auto"/>
        </w:rPr>
        <w:t>ROFN Negotiation Period</w:t>
      </w:r>
      <w:r>
        <w:rPr>
          <w:rFonts w:ascii="Times New Roman" w:cs="Times New Roman" w:eastAsia="Times New Roman" w:hAnsi="Times New Roman"/>
          <w:sz w:val="18"/>
          <w:szCs w:val="18"/>
          <w:color w:val="auto"/>
        </w:rPr>
        <w:t>”), an agreement for the Development, or exclusive license or grant of rights to, such Multispecific Antibody and corresponding Multispecific Products. Prior to and during the ROFN Negotiation Period, Paragon shall not enter into an agreement with respect to such Multispecific Antibody with any Third Party that will prevent Paragon from entering into an agreement with Oruka for the Development, or exclusive license or grant of rights to, such Multispecific Antibody and corresponding Multispecific Products. Unless and until the Parties have entered into an agreement with respect to such Multispecific Antibody and corresponding Multispecific Products, Oruka shall have no rights or license with respect to such Multispecific Antibody and corresponding Multispecific Products except as otherwise expressly provided in Section 2.1. In the event that the Parties have not entered into an agreement with respect to such Multispecific Antibody and corresponding Multispecific Products prior to the expiration of the ROFN Negotiation Period, then (i) Paragon shall be free to enter into an agreement with a Third Party with respect to the grant of a license or other rights to such Multispecific Antibody and corresponding Multispecific Products without further obligation to Oruka under this Section 2.7, and (ii) Oruka’s license under Section 2.1(b) shall automatically exclude any right to Develop, Manufacture, Commercialize or otherwise exploit the identical Multispecific Antibodies Developed by or on behalf of Paragon and corresponding Multispecific Products.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1" w:name="page212"/>
    <w:bookmarkEnd w:id="21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b w:val="1"/>
          <w:bCs w:val="1"/>
          <w:color w:val="auto"/>
        </w:rPr>
        <w:t>Third Party In-Licenses</w:t>
      </w:r>
      <w:r>
        <w:rPr>
          <w:rFonts w:ascii="Times New Roman" w:cs="Times New Roman" w:eastAsia="Times New Roman" w:hAnsi="Times New Roman"/>
          <w:sz w:val="18"/>
          <w:szCs w:val="18"/>
          <w:color w:val="auto"/>
        </w:rPr>
        <w:t>. If Paragon (or its Affiliate) enters into any in-license agreement with a Third Party after the Effective Date with respect to any Patent that would, if Controlled by Paragon, be included within the Licensed Antibody Patents or the Other Licensed Patents (each such agreement, a “</w:t>
      </w:r>
      <w:r>
        <w:rPr>
          <w:rFonts w:ascii="Times New Roman" w:cs="Times New Roman" w:eastAsia="Times New Roman" w:hAnsi="Times New Roman"/>
          <w:sz w:val="18"/>
          <w:szCs w:val="18"/>
          <w:b w:val="1"/>
          <w:bCs w:val="1"/>
          <w:color w:val="auto"/>
        </w:rPr>
        <w:t>Paragon Third Party Agreement</w:t>
      </w:r>
      <w:r>
        <w:rPr>
          <w:rFonts w:ascii="Times New Roman" w:cs="Times New Roman" w:eastAsia="Times New Roman" w:hAnsi="Times New Roman"/>
          <w:sz w:val="18"/>
          <w:szCs w:val="18"/>
          <w:color w:val="auto"/>
        </w:rPr>
        <w:t>”), Paragon shall notify Oruka in writing that it entered into such Paragon Third Party Agreement and provide a copy of such Paragon Third Party Agreement to Oruka, which may be redacted solely concerning [***] or other confidential terms not applicable to sublicensees. Oruka shall have the right, by delivery of notice to Paragon, to elect to take a sublicense under such Patents in-licensed by Paragon under such Paragon Third Party Agreement. If Oruka elects to become a sublicensee thereunder pursuant to this Section 2.8, then (a) the applicable Patents under such Paragon Third Party Agreement shall be included within the Licensed Antibody Patents or the Other Licensed Patents, as applicable, that are licensed to Oruka under Section 2.1, (b) Oruka shall reimburse Paragon for Paragon’s pro rata share of royalties or other consideration, as mutually agreed by the Parties, payable by Paragon under the Paragon Third Party Agreement for Oruka’s Development, Manufacture, Commercialization or other exploitation of an Oruka Product in the Field in the Territory in connection with the grant to Oruka of such Patents (the “</w:t>
      </w:r>
      <w:r>
        <w:rPr>
          <w:rFonts w:ascii="Times New Roman" w:cs="Times New Roman" w:eastAsia="Times New Roman" w:hAnsi="Times New Roman"/>
          <w:sz w:val="18"/>
          <w:szCs w:val="18"/>
          <w:b w:val="1"/>
          <w:bCs w:val="1"/>
          <w:color w:val="auto"/>
        </w:rPr>
        <w:t>Reimbursement Obligation</w:t>
      </w:r>
      <w:r>
        <w:rPr>
          <w:rFonts w:ascii="Times New Roman" w:cs="Times New Roman" w:eastAsia="Times New Roman" w:hAnsi="Times New Roman"/>
          <w:sz w:val="18"/>
          <w:szCs w:val="18"/>
          <w:color w:val="auto"/>
        </w:rPr>
        <w:t xml:space="preserve">”), and (c) Oruka shall comply with the terms of such Paragon Third Party Agreement to the extent applicable to Oruka as a sublicensee of such Patents. In the event of any conflict between the terms of this Agreement and any Paragon Third Party Agreement applicable to a sublicense granted by Paragon to Oruka in accordance with this Section 2.8, the terms of the Paragon Third Party Agreement shall control solely to the extent necessary for the Parties to maintain compliance with such Paragon Third Party Agreement. Oruka shall comply with the Reimbursement Obligation by paying to Paragon any amounts subject to the Reimbursement Obligation within the earlier of (i) [***] days after Oruka’s receipt from Paragon of an invoice for such payment, and (ii) the date when such payment is due to the counterparty licensor under the applicable Paragon Third Party Agreement,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payment shall not be due prior to the date when such amounts are payable by Paragon to the counterparty licensor under the applicable Paragon Third Party Agreement.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DEVELOPMENT, MANUFACTURING &amp; COMMERCIALIZATION.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Oruka Responsibilities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61" w:lineRule="auto"/>
        <w:tabs>
          <w:tab w:leader="none" w:pos="153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between the Parties, Oruka shall be solely responsible for and shall have the sole right to control, all aspects of the Development, Manufacturing, and Commercialization of the Oruka Products in the Field in the Territory during the Term, including distribution, product positioning, product strategy, product branding, core messaging, marketing, promotion, detailing activities and all decisions relating to the setting of prices in the Territory, invoicing and booking sales, establishing all terms of sale, and all regulatory activities.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2" w:name="page213"/>
    <w:bookmarkEnd w:id="212"/>
    <w:p>
      <w:pPr>
        <w:jc w:val="both"/>
        <w:ind w:firstLine="1304"/>
        <w:spacing w:after="0" w:line="266" w:lineRule="auto"/>
        <w:tabs>
          <w:tab w:leader="none" w:pos="155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between the Parties, Oruka shall be solely responsible for, and shall have the sole right to control, the selection, registration and maintenance of all trademarks associated with the Oruka Products in the Field in the Territory. As between the Parties, Oruka shall solely own such trademarks in the Territory and pay all relevant costs thereof.</w:t>
      </w:r>
    </w:p>
    <w:p>
      <w:pPr>
        <w:spacing w:after="0" w:line="1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Regulatory</w:t>
      </w:r>
      <w:r>
        <w:rPr>
          <w:rFonts w:ascii="Times New Roman" w:cs="Times New Roman" w:eastAsia="Times New Roman" w:hAnsi="Times New Roman"/>
          <w:sz w:val="18"/>
          <w:szCs w:val="18"/>
          <w:color w:val="auto"/>
        </w:rPr>
        <w:t>. As between the Parties, Oruka shall control all regulatory matters, including the regulatory strategy, regulatory filings, regulatory activities (including clinical trials for Oruka Products) and communication with each Regulatory Authority for the Oruka Products in the Field in the Territory. Oruka shall have the right to reference any relevant data included within the Licensed Antibody Technology for the purposes of regulatory filings and safety reporting, including all nonclinical data, pre-approval and post-approval clinical use data, and regulatory data with respect thereto, and Paragon shall cooperate as reasonably requested by Oruka with respect to providing to Oruka when requested, and on a timely basis, any of the foregoing information, data filings or reporting. Oruka or its designee shall be the party to file an application to each applicable Regulatory Authority in the Territory for, and to obtain and maintain, in its own name, Regulatory Approval for the Oruka Products in each country in the Territory.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color w:val="auto"/>
        </w:rPr>
        <w:t>Diligence; Reporting</w:t>
      </w:r>
      <w:r>
        <w:rPr>
          <w:rFonts w:ascii="Times New Roman" w:cs="Times New Roman" w:eastAsia="Times New Roman" w:hAnsi="Times New Roman"/>
          <w:sz w:val="18"/>
          <w:szCs w:val="18"/>
          <w:color w:val="auto"/>
        </w:rPr>
        <w:t xml:space="preserve">. Oruka shall use Commercially Reasonable Efforts (a) to Develop and seek Regulatory Approval for at least one Oruka Product in the Field in the United States and at least one other Major Market Country, and (b) upon receipt of Regulatory Approval for a given Oruka Product in a given country, to Commercialize such Oruka Product in such country, in each case ((a) or (b)) either by itself or through its Affiliates or Sublicensees or its or their respective contractors. Additionally, on or before [***] of each year during the Term, Oruka shall deliver to Paragon a report summarizing its material development efforts with respect to the Oruka Products, including a summary of current and anticipated preclinical and clinical activities, a summary of the status of any regulatory filings and any anticipated regulatory filings, and achievement of any Milestones, during the preceding [***];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Oruka may satisfy the reporting obligations set forth in this Section 3.3 by providing Paragon with copies of any annual report or other filings with a securities exchange that include the relevant information. For the avoidance of doubt, if Oruka determines, in its sole discretion, that it is inconsistent with the use of Commercially Reasonable Efforts to pursue Commercialization of an Oruka Product in any country (other than the United States), it will not be considered a material breach of this Agreement to cease Development or Commercialization of such Oruka Product with respect to such country.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TERMS.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Milestone Payments</w:t>
      </w:r>
      <w:r>
        <w:rPr>
          <w:rFonts w:ascii="Times New Roman" w:cs="Times New Roman" w:eastAsia="Times New Roman" w:hAnsi="Times New Roman"/>
          <w:sz w:val="18"/>
          <w:szCs w:val="18"/>
          <w:color w:val="auto"/>
        </w:rPr>
        <w:t>. Oruka shall make the following one-time, non-refundable and non-creditable payments to Paragon (or to such other designee(s), as requested by Paragon in an invoice) (each payment, a “</w:t>
      </w:r>
      <w:r>
        <w:rPr>
          <w:rFonts w:ascii="Times New Roman" w:cs="Times New Roman" w:eastAsia="Times New Roman" w:hAnsi="Times New Roman"/>
          <w:sz w:val="18"/>
          <w:szCs w:val="18"/>
          <w:b w:val="1"/>
          <w:bCs w:val="1"/>
          <w:color w:val="auto"/>
        </w:rPr>
        <w:t>Milestone Payment</w:t>
      </w:r>
      <w:r>
        <w:rPr>
          <w:rFonts w:ascii="Times New Roman" w:cs="Times New Roman" w:eastAsia="Times New Roman" w:hAnsi="Times New Roman"/>
          <w:sz w:val="18"/>
          <w:szCs w:val="18"/>
          <w:color w:val="auto"/>
        </w:rPr>
        <w:t>”), based on the achievement of the corresponding milestone (each, a “</w:t>
      </w:r>
      <w:r>
        <w:rPr>
          <w:rFonts w:ascii="Times New Roman" w:cs="Times New Roman" w:eastAsia="Times New Roman" w:hAnsi="Times New Roman"/>
          <w:sz w:val="18"/>
          <w:szCs w:val="18"/>
          <w:b w:val="1"/>
          <w:bCs w:val="1"/>
          <w:color w:val="auto"/>
        </w:rPr>
        <w:t>Milestone</w:t>
      </w:r>
      <w:r>
        <w:rPr>
          <w:rFonts w:ascii="Times New Roman" w:cs="Times New Roman" w:eastAsia="Times New Roman" w:hAnsi="Times New Roman"/>
          <w:sz w:val="18"/>
          <w:szCs w:val="18"/>
          <w:color w:val="auto"/>
        </w:rPr>
        <w:t>”) by Oruka, its Affiliates, or its Sublicensees with respect to the first Oruka Product to achieve such Milestone. Oruka shall, within</w:t>
      </w:r>
    </w:p>
    <w:p>
      <w:pPr>
        <w:jc w:val="both"/>
        <w:ind w:firstLine="8"/>
        <w:spacing w:after="0" w:line="251" w:lineRule="auto"/>
        <w:tabs>
          <w:tab w:leader="none" w:pos="451"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it or its Affiliates achieve a Milestone, or within [***] Business Days after it learns that its or its Affiliate’s Sublicensee has achieved a Milestone, notify Paragon of the achievement of such Milestone in writing. Following receipt of such notice, Paragon shall invoice Oruka for such Milestone Payment, which invoice shall specify whether Paragon or its designee should receive such Milestone Payment and the bank account information into which such Milestone Payment should be paid. Oruka shall make such Milestone Payment to Paragon or Paragon’s designee within [***] days after receipt of Paragon’s invoice. Each Milestone Payment shall be paid no more than once, and Oruka’s total Milestone Payments hereunder shall not exceed Twenty-Two Million Dollars ($22,000,000). For avoidance of doubt, upon achievement of any Milestone, all prior unachieved Milestones shall be deemed thereby achieved and, if the Milestone Payment for any such prior Milestone has not previously been paid, it shall thereupon also be paid at the same time that the Milestone Payment for such subsequent achieved Milestone is paid.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245"/>
        </w:trPr>
        <w:tc>
          <w:tcPr>
            <w:tcW w:w="1040" w:type="dxa"/>
            <w:vAlign w:val="bottom"/>
          </w:tcPr>
          <w:p>
            <w:pPr>
              <w:spacing w:after="0"/>
              <w:rPr>
                <w:sz w:val="21"/>
                <w:szCs w:val="21"/>
                <w:color w:val="auto"/>
              </w:rPr>
            </w:pPr>
          </w:p>
        </w:tc>
        <w:tc>
          <w:tcPr>
            <w:tcW w:w="516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Milestone</w:t>
            </w: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Milestone Payment</w:t>
            </w:r>
          </w:p>
        </w:tc>
        <w:tc>
          <w:tcPr>
            <w:tcW w:w="0" w:type="dxa"/>
            <w:vAlign w:val="bottom"/>
          </w:tcPr>
          <w:p>
            <w:pPr>
              <w:spacing w:after="0"/>
              <w:rPr>
                <w:sz w:val="1"/>
                <w:szCs w:val="1"/>
                <w:color w:val="auto"/>
              </w:rPr>
            </w:pPr>
          </w:p>
        </w:tc>
      </w:tr>
      <w:tr>
        <w:trPr>
          <w:trHeight w:val="216"/>
        </w:trPr>
        <w:tc>
          <w:tcPr>
            <w:tcW w:w="1040" w:type="dxa"/>
            <w:vAlign w:val="bottom"/>
            <w:tcBorders>
              <w:top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w:t>
            </w:r>
          </w:p>
        </w:tc>
        <w:tc>
          <w:tcPr>
            <w:tcW w:w="5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Achievement of Development Candidate</w:t>
            </w:r>
          </w:p>
        </w:tc>
        <w:tc>
          <w:tcPr>
            <w:tcW w:w="120" w:type="dxa"/>
            <w:vAlign w:val="bottom"/>
            <w:tcBorders>
              <w:top w:val="single" w:sz="8" w:color="CCEEFF"/>
            </w:tcBorders>
            <w:shd w:val="clear" w:color="auto" w:fill="CCEEFF"/>
          </w:tcPr>
          <w:p>
            <w:pPr>
              <w:spacing w:after="0"/>
              <w:rPr>
                <w:sz w:val="18"/>
                <w:szCs w:val="18"/>
                <w:color w:val="auto"/>
              </w:rPr>
            </w:pPr>
          </w:p>
        </w:tc>
        <w:tc>
          <w:tcPr>
            <w:tcW w:w="5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One Million Five Hundred Thousand Dollars ($1,500,000)</w:t>
            </w:r>
          </w:p>
        </w:tc>
        <w:tc>
          <w:tcPr>
            <w:tcW w:w="0" w:type="dxa"/>
            <w:vAlign w:val="bottom"/>
          </w:tcPr>
          <w:p>
            <w:pPr>
              <w:spacing w:after="0"/>
              <w:rPr>
                <w:sz w:val="1"/>
                <w:szCs w:val="1"/>
                <w:color w:val="auto"/>
              </w:rPr>
            </w:pPr>
          </w:p>
        </w:tc>
      </w:tr>
      <w:tr>
        <w:trPr>
          <w:trHeight w:val="216"/>
        </w:trPr>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dosing of a human patient in a Phase I Trial of an Oruka Product</w:t>
            </w: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Two Million Five Hundred Thousand Dollars ($2,500,000)</w:t>
            </w:r>
          </w:p>
        </w:tc>
        <w:tc>
          <w:tcPr>
            <w:tcW w:w="0" w:type="dxa"/>
            <w:vAlign w:val="bottom"/>
          </w:tcPr>
          <w:p>
            <w:pPr>
              <w:spacing w:after="0"/>
              <w:rPr>
                <w:sz w:val="1"/>
                <w:szCs w:val="1"/>
                <w:color w:val="auto"/>
              </w:rPr>
            </w:pPr>
          </w:p>
        </w:tc>
      </w:tr>
      <w:tr>
        <w:trPr>
          <w:trHeight w:val="198"/>
        </w:trPr>
        <w:tc>
          <w:tcPr>
            <w:tcW w:w="1040" w:type="dxa"/>
            <w:vAlign w:val="bottom"/>
            <w:vMerge w:val="restart"/>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w:t>
            </w:r>
          </w:p>
        </w:tc>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 dosing of a human patient in a Phase II Trial of an Oruka</w:t>
            </w:r>
          </w:p>
        </w:tc>
        <w:tc>
          <w:tcPr>
            <w:tcW w:w="5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40" w:type="dxa"/>
            <w:vAlign w:val="bottom"/>
            <w:vMerge w:val="continue"/>
            <w:shd w:val="clear" w:color="auto" w:fill="CCEEFF"/>
          </w:tcPr>
          <w:p>
            <w:pPr>
              <w:spacing w:after="0"/>
              <w:rPr>
                <w:sz w:val="20"/>
                <w:szCs w:val="20"/>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w:t>
            </w:r>
          </w:p>
        </w:tc>
        <w:tc>
          <w:tcPr>
            <w:tcW w:w="5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Three Million Dollars ($3,000,000)</w:t>
            </w:r>
          </w:p>
        </w:tc>
        <w:tc>
          <w:tcPr>
            <w:tcW w:w="0" w:type="dxa"/>
            <w:vAlign w:val="bottom"/>
          </w:tcPr>
          <w:p>
            <w:pPr>
              <w:spacing w:after="0"/>
              <w:rPr>
                <w:sz w:val="1"/>
                <w:szCs w:val="1"/>
                <w:color w:val="auto"/>
              </w:rPr>
            </w:pPr>
          </w:p>
        </w:tc>
      </w:tr>
      <w:tr>
        <w:trPr>
          <w:trHeight w:val="198"/>
        </w:trPr>
        <w:tc>
          <w:tcPr>
            <w:tcW w:w="10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#4</w:t>
            </w:r>
          </w:p>
        </w:tc>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 dosing of a human patient in a Phase III Trial of an Oruka</w:t>
            </w:r>
          </w:p>
        </w:tc>
        <w:tc>
          <w:tcPr>
            <w:tcW w:w="5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40" w:type="dxa"/>
            <w:vAlign w:val="bottom"/>
            <w:vMerge w:val="continue"/>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w:t>
            </w: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Five Million Dollars ($5,000,000)</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#5</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Receipt of Regulatory Approval from the FDA of an Oruka Product</w:t>
            </w:r>
          </w:p>
        </w:tc>
        <w:tc>
          <w:tcPr>
            <w:tcW w:w="5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Ten Million Dollars ($10,000,000)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Royalties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2" w:lineRule="auto"/>
        <w:tabs>
          <w:tab w:leader="none" w:pos="15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Royalty Rate for Products</w:t>
      </w:r>
      <w:r>
        <w:rPr>
          <w:rFonts w:ascii="Times New Roman" w:cs="Times New Roman" w:eastAsia="Times New Roman" w:hAnsi="Times New Roman"/>
          <w:sz w:val="18"/>
          <w:szCs w:val="18"/>
          <w:color w:val="auto"/>
        </w:rPr>
        <w:t>. During the applicable Royalty Term (which shall be measured on a country-by-country and Product-by-Product basis), Oruka shall pay tiered royalties to Paragon (or to such other designee(s), as requested by Paragon) as set forth in the table below on Annual Net Sales of all Products sold by Oruka, its Affiliates or its Sublicensees in the Field in the Territory (together with any royalties payable under Section 4.2(b), the “</w:t>
      </w:r>
      <w:r>
        <w:rPr>
          <w:rFonts w:ascii="Times New Roman" w:cs="Times New Roman" w:eastAsia="Times New Roman" w:hAnsi="Times New Roman"/>
          <w:sz w:val="18"/>
          <w:szCs w:val="18"/>
          <w:b w:val="1"/>
          <w:bCs w:val="1"/>
          <w:color w:val="auto"/>
        </w:rPr>
        <w:t>Royalty Payments</w:t>
      </w:r>
      <w:r>
        <w:rPr>
          <w:rFonts w:ascii="Times New Roman" w:cs="Times New Roman" w:eastAsia="Times New Roman" w:hAnsi="Times New Roman"/>
          <w:sz w:val="18"/>
          <w:szCs w:val="18"/>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Annual Net Sales of the Products in a Given Calendar Year</w:t>
            </w:r>
          </w:p>
        </w:tc>
        <w:tc>
          <w:tcPr>
            <w:tcW w:w="12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Royalty Rate</w:t>
            </w:r>
          </w:p>
        </w:tc>
      </w:tr>
      <w:tr>
        <w:trPr>
          <w:trHeight w:val="216"/>
        </w:trPr>
        <w:tc>
          <w:tcPr>
            <w:tcW w:w="9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Portion of Annual Net Sales of the Products in a Given Calendar Year Above $0 but Up to and Including $[***]</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Portion of Annual Net Sales of the Products in a Given Calendar Year of More Than $[***], Up to and Including $1.0 Billion</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Portion of Annual Net Sales of the Products in a Given Calendar Year of More Than $[***]</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jc w:val="both"/>
        <w:ind w:firstLine="1304"/>
        <w:spacing w:after="0" w:line="262" w:lineRule="auto"/>
        <w:tabs>
          <w:tab w:leader="none" w:pos="156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Royalty Rate for Oruka Multispecific Products</w:t>
      </w:r>
      <w:r>
        <w:rPr>
          <w:rFonts w:ascii="Times New Roman" w:cs="Times New Roman" w:eastAsia="Times New Roman" w:hAnsi="Times New Roman"/>
          <w:sz w:val="18"/>
          <w:szCs w:val="18"/>
          <w:color w:val="auto"/>
        </w:rPr>
        <w:t>. During the applicable Royalty Term (which shall be measured on a country-by-country and Oruka Multispecific Product-by-Oruka Multispecific Product basis), Oruka shall pay royalties to Paragon (or to such other designee(s), as requested by Paragon) equal to [***] percent ([***]%) of Net Sales of all Oruka Multispecific Products sold by Oruka, its Affiliates or its Sublicensees in the Field in the Territory.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4" w:name="page215"/>
    <w:bookmarkEnd w:id="214"/>
    <w:p>
      <w:pPr>
        <w:jc w:val="both"/>
        <w:ind w:firstLine="1304"/>
        <w:spacing w:after="0" w:line="256" w:lineRule="auto"/>
        <w:tabs>
          <w:tab w:leader="none" w:pos="157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Oruka Product contains (a) a combination of more than one Licensed Antibody, Derived Antibody and/or Multispecific Antibody, or (b) a combination of (i) one or more Licensed Antibodies, Derived Antibodies or Multispecific Antibodies, and (ii) one or more other Antibodies owned or Controlled by Paragon or its Affiliates, the rights to which have been licensed to Oruka or its Affiliates under a separate agreement, then, in each case (a) or (b) unless otherwise agreed by the Parties, the royalty rate for the Royalty Payments payable to Paragon with respect to such Oruka Product (x) shall be determined in accordance with the Royalty Rate chart set forth in Section 4.2(a) if such Oruka Product does not contain a Multispecific Antibody, and (y) shall be determined in accordance with Section 4.2(b) if such Oruka Product contains a Multispecific Antibody.</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color w:val="auto"/>
        </w:rPr>
        <w:t>Royalty Reductions for No Valid Claim</w:t>
      </w:r>
      <w:r>
        <w:rPr>
          <w:rFonts w:ascii="Times New Roman" w:cs="Times New Roman" w:eastAsia="Times New Roman" w:hAnsi="Times New Roman"/>
          <w:sz w:val="18"/>
          <w:szCs w:val="18"/>
          <w:color w:val="auto"/>
        </w:rPr>
        <w:t>. If, during any Calendar Quarter during the Royalty Term for a particular Oruka Product in a particular country, no Valid Claim of a Licensed Antibody Patent Covers the Manufacture or Commercialization of such Oruka Product in such country, then the applicable royalty rate for the Royalty Payments set forth in Section 4.2 for such Calendar Quarter shall be reduced by [***].</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color w:val="auto"/>
        </w:rPr>
        <w:t>Payment Reports</w:t>
      </w:r>
      <w:r>
        <w:rPr>
          <w:rFonts w:ascii="Times New Roman" w:cs="Times New Roman" w:eastAsia="Times New Roman" w:hAnsi="Times New Roman"/>
          <w:sz w:val="18"/>
          <w:szCs w:val="18"/>
          <w:color w:val="auto"/>
        </w:rPr>
        <w:t xml:space="preserve">. Within [***] days after the end of [***] days for [***] in which an Oruka Product is sold, Oruka shall provide to Paragon a written report, on an [***] basis, stating the [***], including [***]; [***]. All Royalty Payments described in such written report shall be made by Oruka at the same time it submits such written report to Paragon. All such Royalty Payments shall be paid to Paragon or Paragon’s designee,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in the case of payment to a designee, Paragon has notified Oruka in writing [***] days prior to the due date for any Royalty Payment of the designee to be paid and the bank account information for such designee.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color w:val="auto"/>
        </w:rPr>
        <w:t>Payment Method</w:t>
      </w:r>
      <w:r>
        <w:rPr>
          <w:rFonts w:ascii="Times New Roman" w:cs="Times New Roman" w:eastAsia="Times New Roman" w:hAnsi="Times New Roman"/>
          <w:sz w:val="18"/>
          <w:szCs w:val="18"/>
          <w:color w:val="auto"/>
        </w:rPr>
        <w:t>. All payments due under this Agreement to Paragon shall be made in U.S. Dollars by bank wire transfer in funds to an account designated by Paragon from time to time reasonably in advance of any payment due date.</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The Parties agree to cooperate with one another and use reasonable efforts to minimize obligations for any and all income or other taxes required by Applicable Law to be withheld or deducted from any Royalty Payments, Milestone Payments or other payments made by Oruka to Paragon or its designee(s) under this Agreement, including by completing all procedural steps, and taking all reasonable measures, to ensure that any withholding tax is reduced or eliminated to the extent permitted under Applicable Law, including income tax treaty provisions and related procedures for claiming treaty relief. To the extent that Oruka is required to deduct and withhold taxes on any payment to Paragon or its designee(s), Oruka shall: (i) deduct such taxes from such payment to Paragon or its designee(s), (ii) pay the amounts of such taxes to the proper Governmental Authority in a timely manner, and (iii) promptly submit to Paragon an official tax certificate or other available evidence of such withholding sufficient to enable Paragon or its designee(s) to claim such payment of taxes. For the avoidance of doubt, Oruka’s remittance of such withheld amounts to the appropriate Governmental Authority, together with payment to Paragon or its designee(s) of the remaining amount owed, shall constitute full satisfaction of the applicable payment due to Paragon. Oruka shall provide Paragon with any reasonably requested tax forms or certificates available to Oruka in order to allow Paragon or its designee(s) to recover, as permitted by Applicable Law, withholding taxes, value added taxes or similar obligations resulting from payments made hereunder or to obtain the benefit of any present or future treaty against double taxation that may apply to such payments. Paragon shall promptly provide Oruka with any requested tax forms that may be reasonably necessary in order for Oruka to not withhold tax or to withhold tax at a reduced rate under an applicable bilateral tax income treaty.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5" w:name="page216"/>
    <w:bookmarkEnd w:id="215"/>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b w:val="1"/>
          <w:bCs w:val="1"/>
          <w:color w:val="auto"/>
        </w:rPr>
        <w:t>Foreign Exchange</w:t>
      </w:r>
      <w:r>
        <w:rPr>
          <w:rFonts w:ascii="Times New Roman" w:cs="Times New Roman" w:eastAsia="Times New Roman" w:hAnsi="Times New Roman"/>
          <w:sz w:val="18"/>
          <w:szCs w:val="18"/>
          <w:color w:val="auto"/>
        </w:rPr>
        <w:t>. If any currency conversion shall be required in connection with the calculation of amounts payable hereunder, including in connection with the calculation of Net Sales, such conversions shall be made using the methodology used by Oruka in preparing its publicly filed financial statements.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b w:val="1"/>
          <w:bCs w:val="1"/>
          <w:color w:val="auto"/>
        </w:rPr>
        <w:t>Late Payments</w:t>
      </w:r>
      <w:r>
        <w:rPr>
          <w:rFonts w:ascii="Times New Roman" w:cs="Times New Roman" w:eastAsia="Times New Roman" w:hAnsi="Times New Roman"/>
          <w:sz w:val="18"/>
          <w:szCs w:val="18"/>
          <w:color w:val="auto"/>
        </w:rPr>
        <w:t xml:space="preserve">. Any amount owed by Oruka to Paragon under this Agreement that is not paid within the applicable time period set forth herein will accrue interest at the per annum rate of [***] percentage point above the then-applicable United States prime rate as quoted in the </w:t>
      </w:r>
      <w:r>
        <w:rPr>
          <w:rFonts w:ascii="Times New Roman" w:cs="Times New Roman" w:eastAsia="Times New Roman" w:hAnsi="Times New Roman"/>
          <w:sz w:val="18"/>
          <w:szCs w:val="18"/>
          <w:i w:val="1"/>
          <w:iCs w:val="1"/>
          <w:color w:val="auto"/>
        </w:rPr>
        <w:t>Wall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Journal (East Coast Edition) </w:t>
      </w:r>
      <w:r>
        <w:rPr>
          <w:rFonts w:ascii="Times New Roman" w:cs="Times New Roman" w:eastAsia="Times New Roman" w:hAnsi="Times New Roman"/>
          <w:sz w:val="18"/>
          <w:szCs w:val="18"/>
          <w:color w:val="auto"/>
        </w:rPr>
        <w:t>(or if it no longer exists, a similarly authoritative source), calculated on a [***] basis, or, if lower, the highest rate permitted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Applicable Law.</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b w:val="1"/>
          <w:bCs w:val="1"/>
          <w:color w:val="auto"/>
        </w:rPr>
        <w:t>Blocked Currency</w:t>
      </w:r>
      <w:r>
        <w:rPr>
          <w:rFonts w:ascii="Times New Roman" w:cs="Times New Roman" w:eastAsia="Times New Roman" w:hAnsi="Times New Roman"/>
          <w:sz w:val="18"/>
          <w:szCs w:val="18"/>
          <w:color w:val="auto"/>
        </w:rPr>
        <w:t>. If by Applicable Law of a country in which Net Sales occurred, conversion of funds into Dollars or transfer of funds from such country to the United States is restricted, forbidden or delayed for more than [***] days, then Oruka can elect, at its sole discretion, that the amounts accrued in such country and owed by Oruka to Paragon under this Agreement shall be paid to Paragon in such country in local currency by deposit in a local bank designated by Paragon, unless the Parties otherwise agree in writing.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b w:val="1"/>
          <w:bCs w:val="1"/>
          <w:color w:val="auto"/>
        </w:rPr>
        <w:t>Records; Inspection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66" w:lineRule="auto"/>
        <w:tabs>
          <w:tab w:leader="none" w:pos="157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Oruka shall, and shall cause its applicable Affiliates to, create and keep complete and accurate records of its sales and other dispositions of all Oruka Products, including all records that are reasonably necessary for the purposes of calculating all payments due under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9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advance written notice to Oruka, Paragon shall have the right to retain a nationally recognized (in the US) independent certified public accounting firm to perform on behalf of Paragon an audit, conducted in accordance with U.S. generally accepted accounting principles (GAAP), of such books and records of Oruka or its applicable Affiliates as may be reasonably necessary to verify the accuracy of any reports provided pursuant to Section 4.4 hereunder for any Calendar Quarter in which an Oruka Product was sold, ending not more than [***] calendar months prior to the date of such request. Such audits shall be conducted during normal business hours, shall not occur more frequently than [***] in each Calendar Year and shall not be conducted more than [***] with respect to any reporting period, in each case other than for cause. All information disclosed or observed during any audit pursuant to this Section 4.10 shall be the Confidential Information of Oruka, and Paragon shall cause the accounting firm to retain all such information as Confidential Information, including, if requested by Oruka, by requiring such accounting firm to enter into a customary confidentiality agreement with Oruka prior to the initiation of any such audit.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6" w:name="page217"/>
    <w:bookmarkEnd w:id="216"/>
    <w:p>
      <w:pPr>
        <w:jc w:val="both"/>
        <w:ind w:firstLine="1304"/>
        <w:spacing w:after="0" w:line="266" w:lineRule="auto"/>
        <w:tabs>
          <w:tab w:leader="none" w:pos="1571"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any audit hereunder, the accounting firm shall provide both Oruka and Paragon a written report disclosing whether the reports submitted by Oruka are correct or incorrect, whether the amounts paid are correct or incorrect, and in each case, the specific details concerning any discrepancies. No other information regarding Oruka’s records shall be provided to Paragon.</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Paragon shall bear its internal expenses and the out-of-pocket costs for engaging such accounting firm in connection with performing such audits;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any such audit uncovers an underpayment by Oruka that exceeds [***] percent ([***]%) of the total owed for such payment or payment period, as applicable, then Oruka shall reimburse Paragon or its designee(s) for the amounts actually paid to such accounting firm for performing such audit.</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7"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accounting firm concludes that Oruka has in aggregate underpaid amounts owed to Paragon during the audited period, Oruka shall pay Paragon or its designee(s) the amount of the discrepancy within [***] days of the date Paragon delivers to Oruka such accounting firm’s written report and an invoice for such amounts. If such accounting firm concludes that Oruka has in aggregate overpaid amounts owed to Paragon during the audited period, then Oruka may, at its election, either credit such overpaid amount against any future payment obligation to Paragon or require Paragon to refund such amounts within [***].</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Ownership</w:t>
      </w:r>
      <w:r>
        <w:rPr>
          <w:rFonts w:ascii="Times New Roman" w:cs="Times New Roman" w:eastAsia="Times New Roman" w:hAnsi="Times New Roman"/>
          <w:sz w:val="18"/>
          <w:szCs w:val="18"/>
          <w:color w:val="auto"/>
        </w:rPr>
        <w:t>. As between the Parties (a) Paragon solely owns the Licensed Antibody Technology and the Other Licensed Patents, (b) Oruka solely owns the Oruka Inventions, including any Derived Antibodies and Oruka Multispecific Antibodies to the extent they constitute Oruka Inventions, (c) each Party solely owns all Intellectual Property Rights owned or Controlled by such Party as of the Effective Date or that come into the ownership or control of such Party during the Term outside the scope of this Agreement, and (d) ownership of Inventions shall be determined in accordance with U.S. laws of inventorship. Other than rights granted to Oruka under this Agreement with respect to the Licensed Antibody Technology and the Other Licensed Patents, nothing in this Agreement shall affect Paragon’s rights in any Patents, Know-How or other Intellectual Property Rights owned or controlled by Paragon or its Affiliates, now or in the future. Other than rights granted to Paragon under Section 8.5(c) of this Agreement with respect to the Oruka Intellectual Property, nothing in the Agreement shall affect Oruka’s rights in any Patents, Know-How or other Intellectual Property Rights owned or controlled by Oruka or its Affiliates, now or in the future.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Patent Prosecution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2" w:lineRule="auto"/>
        <w:tabs>
          <w:tab w:leader="none" w:pos="1567"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Prosecution Generally</w:t>
      </w:r>
      <w:r>
        <w:rPr>
          <w:rFonts w:ascii="Times New Roman" w:cs="Times New Roman" w:eastAsia="Times New Roman" w:hAnsi="Times New Roman"/>
          <w:sz w:val="18"/>
          <w:szCs w:val="18"/>
          <w:color w:val="auto"/>
        </w:rPr>
        <w:t>. For the purpose of this Article V, “</w:t>
      </w:r>
      <w:r>
        <w:rPr>
          <w:rFonts w:ascii="Times New Roman" w:cs="Times New Roman" w:eastAsia="Times New Roman" w:hAnsi="Times New Roman"/>
          <w:sz w:val="18"/>
          <w:szCs w:val="18"/>
          <w:b w:val="1"/>
          <w:bCs w:val="1"/>
          <w:color w:val="auto"/>
        </w:rPr>
        <w:t>Prosecute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Prosecution</w:t>
      </w:r>
      <w:r>
        <w:rPr>
          <w:rFonts w:ascii="Times New Roman" w:cs="Times New Roman" w:eastAsia="Times New Roman" w:hAnsi="Times New Roman"/>
          <w:sz w:val="18"/>
          <w:szCs w:val="18"/>
          <w:color w:val="auto"/>
        </w:rPr>
        <w:t>” shall include any patent interference,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opposition, pre-issuance Third Party submission,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other similar proceeding, appeals or petitions to any board of appeals in a patent office, appeals to any court for any patent office decisions, reissue proceedings and applications for patent term extensions and the like.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7" w:name="page218"/>
    <w:bookmarkEnd w:id="217"/>
    <w:p>
      <w:pPr>
        <w:ind w:left="1560" w:hanging="256"/>
        <w:spacing w:after="0"/>
        <w:tabs>
          <w:tab w:leader="none" w:pos="15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Prosecution of Licensed Antibody Patents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5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between the Parties, with respect to any patent applications for Licensed Antibody Patents that have not been filed prior to the Effective Date and any resulting patents (the “</w:t>
      </w:r>
      <w:r>
        <w:rPr>
          <w:rFonts w:ascii="Times New Roman" w:cs="Times New Roman" w:eastAsia="Times New Roman" w:hAnsi="Times New Roman"/>
          <w:sz w:val="18"/>
          <w:szCs w:val="18"/>
          <w:b w:val="1"/>
          <w:bCs w:val="1"/>
          <w:color w:val="auto"/>
        </w:rPr>
        <w:t>Post-Effective Date Patents</w:t>
      </w:r>
      <w:r>
        <w:rPr>
          <w:rFonts w:ascii="Times New Roman" w:cs="Times New Roman" w:eastAsia="Times New Roman" w:hAnsi="Times New Roman"/>
          <w:sz w:val="18"/>
          <w:szCs w:val="18"/>
          <w:color w:val="auto"/>
        </w:rPr>
        <w:t>”), Paragon shall have the sole right, but not the obligation, to prepare, file, Prosecute and maintain the Post-Effective Date Patents until the date on which the Final Deliverable (as defined in the Option Agreement) for the Research Program is delivered to Oruka, and during such period Paragon shall provide Oruka with drafts of all proposed filings to any patent office with respect to Post-Effective Date Patents in reasonably adequate time before submission of such filings for Oruka’s review and comment.</w:t>
      </w:r>
    </w:p>
    <w:p>
      <w:pPr>
        <w:spacing w:after="0" w:line="183"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09"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between the Parties, with respect to (x) any patent applications and resulting patents for Licensed Antibody Patents that were filed prior to the Effective Date, and (y) the Post-Effective Date Patents after the date on which the Final Deliverable (as defined in the Option Agreement) for the Research Program is delivered to Oruka, Oruka shall have the first right to prepare, file, Prosecute and maintain the Licensed Antibody Patents, in each case, at Oruka’s sole expense. Oruka shall provide Paragon with copies of all material correspondence from and to any patent office relating to such Licensed Antibody Patents, and Oruka shall provide Paragon with drafts of all proposed filings to any patent office with respect to such Licensed Antibody Patents before submission of such filings, with reasonably adequate time for Paragon’s review and comment, which review shall be at Paragon’s sole expense.</w:t>
      </w:r>
    </w:p>
    <w:p>
      <w:pPr>
        <w:spacing w:after="0" w:line="184" w:lineRule="exact"/>
        <w:rPr>
          <w:rFonts w:ascii="Times New Roman" w:cs="Times New Roman" w:eastAsia="Times New Roman" w:hAnsi="Times New Roman"/>
          <w:sz w:val="18"/>
          <w:szCs w:val="18"/>
          <w:color w:val="auto"/>
        </w:rPr>
      </w:pPr>
    </w:p>
    <w:p>
      <w:pPr>
        <w:jc w:val="both"/>
        <w:ind w:firstLine="1952"/>
        <w:spacing w:after="0" w:line="262" w:lineRule="auto"/>
        <w:tabs>
          <w:tab w:leader="none" w:pos="2272"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when acting as the prosecuting Party (in such capacity, the “</w:t>
      </w:r>
      <w:r>
        <w:rPr>
          <w:rFonts w:ascii="Times New Roman" w:cs="Times New Roman" w:eastAsia="Times New Roman" w:hAnsi="Times New Roman"/>
          <w:sz w:val="18"/>
          <w:szCs w:val="18"/>
          <w:b w:val="1"/>
          <w:bCs w:val="1"/>
          <w:color w:val="auto"/>
        </w:rPr>
        <w:t>Prosecuting Party</w:t>
      </w:r>
      <w:r>
        <w:rPr>
          <w:rFonts w:ascii="Times New Roman" w:cs="Times New Roman" w:eastAsia="Times New Roman" w:hAnsi="Times New Roman"/>
          <w:sz w:val="18"/>
          <w:szCs w:val="18"/>
          <w:color w:val="auto"/>
        </w:rPr>
        <w:t>”) will take into consideration the non-Prosecuting Party’s reasonable comments prior to submitting such filings. At the Prosecuting Party’s request, the non-Prosecuting Party will sign all documents and take any other actions required for filing, maintenance and grant of Licensed Antibody Patents. Oruka shall reimburse Paragon for any costs and expenses actually incurred by Paragon to the extent Paragon is prosecuting or maintaining any Licensed Antibody Patents.</w:t>
      </w:r>
    </w:p>
    <w:p>
      <w:pPr>
        <w:spacing w:after="0" w:line="180"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64"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Prosecuting Party shall notify the non-Prosecuting Party of any decision not to prepare or file, or to abandon, cease Prosecution or not maintain any Licensed Antibody Patent anywhere in the Territory. The Prosecuting Party shall provide such notice at least [***] days prior to any filing or payment due date, or any other due date that requires action, in connection with such Licensed Antibody Patent. In such event, the non-Prosecuting Party shall have a backup right, but not the obligation, to prepare, file, or continue Prosecution or maintenance of, such Licensed Antibody Patent, at its own expense.</w:t>
      </w:r>
    </w:p>
    <w:p>
      <w:pPr>
        <w:spacing w:after="0" w:line="18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01"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cooperate with the other Party in the preparation, filing, Prosecution and maintenance of Licensed Antibody Patents, including in each case by providing the prosecuting Party with data and other information as appropriate and executing all necessary affidavits, assignments and other paperwork.</w:t>
      </w:r>
    </w:p>
    <w:p>
      <w:pPr>
        <w:spacing w:after="0" w:line="171"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Prosecution by Paragon</w:t>
      </w:r>
      <w:r>
        <w:rPr>
          <w:rFonts w:ascii="Times New Roman" w:cs="Times New Roman" w:eastAsia="Times New Roman" w:hAnsi="Times New Roman"/>
          <w:sz w:val="18"/>
          <w:szCs w:val="18"/>
          <w:color w:val="auto"/>
        </w:rPr>
        <w:t>. Except with respect to Licensed Antibody Patents (which are addressed in Section 5.2(b)), Paragon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solely responsible for, and have sole discretion over, preparing, filing, Prosecuting and maintaining any Patents (including the Other Licensed Patents and Paragon Multispecific Patents) that it owns in whole or in part or otherwise Controls (the “</w:t>
      </w:r>
      <w:r>
        <w:rPr>
          <w:rFonts w:ascii="Times New Roman" w:cs="Times New Roman" w:eastAsia="Times New Roman" w:hAnsi="Times New Roman"/>
          <w:sz w:val="18"/>
          <w:szCs w:val="18"/>
          <w:b w:val="1"/>
          <w:bCs w:val="1"/>
          <w:color w:val="auto"/>
        </w:rPr>
        <w:t>Paragon Patents</w:t>
      </w:r>
      <w:r>
        <w:rPr>
          <w:rFonts w:ascii="Times New Roman" w:cs="Times New Roman" w:eastAsia="Times New Roman" w:hAnsi="Times New Roman"/>
          <w:sz w:val="18"/>
          <w:szCs w:val="18"/>
          <w:color w:val="auto"/>
        </w:rPr>
        <w:t>”). Paragon’s Prosecution of any Paragon Patents shall be at Paragon’s sole expense. Notwithstanding the foregoing, in Prosecuting any Paragon Multispecific Patents, Paragon hereby agrees that during the Term, neither Paragon nor any of its Affiliates or licensees will file, or assist any Third Party in filing, any Patent that includes a claim that expressly recites the sequence of a Licensed Antibody or Derived Antibody other than as part of a Paragon Multispecific Antibody.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8" w:name="page219"/>
    <w:bookmarkEnd w:id="218"/>
    <w:p>
      <w:pPr>
        <w:jc w:val="both"/>
        <w:ind w:firstLine="1304"/>
        <w:spacing w:after="0" w:line="262" w:lineRule="auto"/>
        <w:tabs>
          <w:tab w:leader="none" w:pos="156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Patent Prosecution Costs Prior to the Effective Date</w:t>
      </w:r>
      <w:r>
        <w:rPr>
          <w:rFonts w:ascii="Times New Roman" w:cs="Times New Roman" w:eastAsia="Times New Roman" w:hAnsi="Times New Roman"/>
          <w:sz w:val="18"/>
          <w:szCs w:val="18"/>
          <w:color w:val="auto"/>
        </w:rPr>
        <w:t>. No later than [***] days after the Effective Date, Oruka shall reimburse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Paragon for any actual costs and expenses incurred by Paragon that are related to the Prosecution of any Licensed Antibody Patents prior to the Effective Date and that have not already been paid by Oruka. Oruka will promptly reimburse Paragon for any future Prosecution costs and expenses incurred by Paragon with respect to the Licensed Antibody Patents.</w:t>
      </w:r>
    </w:p>
    <w:p>
      <w:pPr>
        <w:spacing w:after="0" w:line="176"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CREATE Act</w:t>
      </w:r>
      <w:r>
        <w:rPr>
          <w:rFonts w:ascii="Times New Roman" w:cs="Times New Roman" w:eastAsia="Times New Roman" w:hAnsi="Times New Roman"/>
          <w:sz w:val="18"/>
          <w:szCs w:val="18"/>
          <w:color w:val="auto"/>
        </w:rPr>
        <w:t>. Notwithstanding anything to the contrary in this Agreement, each Party will have the right to invoke the Cooperative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and Technology Enhancement Act of 2004, 35 U.S.C. § 103(c)(2)-(c)(3) (the “</w:t>
      </w:r>
      <w:r>
        <w:rPr>
          <w:rFonts w:ascii="Times New Roman" w:cs="Times New Roman" w:eastAsia="Times New Roman" w:hAnsi="Times New Roman"/>
          <w:sz w:val="18"/>
          <w:szCs w:val="18"/>
          <w:b w:val="1"/>
          <w:bCs w:val="1"/>
          <w:color w:val="auto"/>
        </w:rPr>
        <w:t>CREATE Act</w:t>
      </w:r>
      <w:r>
        <w:rPr>
          <w:rFonts w:ascii="Times New Roman" w:cs="Times New Roman" w:eastAsia="Times New Roman" w:hAnsi="Times New Roman"/>
          <w:sz w:val="18"/>
          <w:szCs w:val="18"/>
          <w:color w:val="auto"/>
        </w:rPr>
        <w:t>”) when exercising its rights under Article V of this Agreement, without the prior written consent of the other Party. Where such Party intends to invoke the CREATE Act, it will notify the other Party and the other Party will cooperate and coordinate its activities with such Party with respect to any submissions, filings or other activities in support thereof. The Parties acknowledge and agree that this Agreement is a joint research agreement (JRA) as defined in the CREATE Act.</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Disclosure of Antibody Patents</w:t>
      </w:r>
      <w:r>
        <w:rPr>
          <w:rFonts w:ascii="Times New Roman" w:cs="Times New Roman" w:eastAsia="Times New Roman" w:hAnsi="Times New Roman"/>
          <w:sz w:val="18"/>
          <w:szCs w:val="18"/>
          <w:color w:val="auto"/>
        </w:rPr>
        <w:t>. Upon the request of Paragon, Oruka shall deliver to Paragon a list of the then-existing Oruka</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Antibody Patents.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color w:val="auto"/>
        </w:rPr>
        <w:t>Patent Enforcement and Defense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2" w:lineRule="auto"/>
        <w:tabs>
          <w:tab w:leader="none" w:pos="155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of Patent Infringement and Patent Challenge</w:t>
      </w:r>
      <w:r>
        <w:rPr>
          <w:rFonts w:ascii="Times New Roman" w:cs="Times New Roman" w:eastAsia="Times New Roman" w:hAnsi="Times New Roman"/>
          <w:sz w:val="18"/>
          <w:szCs w:val="18"/>
          <w:color w:val="auto"/>
        </w:rPr>
        <w:t>. Each Party shall give the other Party notice of any known or suspected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infringement by a Third Party (“</w:t>
      </w:r>
      <w:r>
        <w:rPr>
          <w:rFonts w:ascii="Times New Roman" w:cs="Times New Roman" w:eastAsia="Times New Roman" w:hAnsi="Times New Roman"/>
          <w:sz w:val="18"/>
          <w:szCs w:val="18"/>
          <w:b w:val="1"/>
          <w:bCs w:val="1"/>
          <w:color w:val="auto"/>
        </w:rPr>
        <w:t>Patent Infringement</w:t>
      </w:r>
      <w:r>
        <w:rPr>
          <w:rFonts w:ascii="Times New Roman" w:cs="Times New Roman" w:eastAsia="Times New Roman" w:hAnsi="Times New Roman"/>
          <w:sz w:val="18"/>
          <w:szCs w:val="18"/>
          <w:color w:val="auto"/>
        </w:rPr>
        <w:t>”) of any Licensed Antibody Patent and any known or suspected challenge by a Third Party against the validity or enforceability (“</w:t>
      </w:r>
      <w:r>
        <w:rPr>
          <w:rFonts w:ascii="Times New Roman" w:cs="Times New Roman" w:eastAsia="Times New Roman" w:hAnsi="Times New Roman"/>
          <w:sz w:val="18"/>
          <w:szCs w:val="18"/>
          <w:b w:val="1"/>
          <w:bCs w:val="1"/>
          <w:color w:val="auto"/>
        </w:rPr>
        <w:t>Patent Challenge</w:t>
      </w:r>
      <w:r>
        <w:rPr>
          <w:rFonts w:ascii="Times New Roman" w:cs="Times New Roman" w:eastAsia="Times New Roman" w:hAnsi="Times New Roman"/>
          <w:sz w:val="18"/>
          <w:szCs w:val="18"/>
          <w:color w:val="auto"/>
        </w:rPr>
        <w:t>”) of any Licensed Antibody Patent within [***] days after such Patent Infringement or Patent Challenge comes to such Party’s attention.</w:t>
      </w:r>
    </w:p>
    <w:p>
      <w:pPr>
        <w:spacing w:after="0" w:line="176"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6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Oruka’s First Right to Enforce or Defend</w:t>
      </w:r>
      <w:r>
        <w:rPr>
          <w:rFonts w:ascii="Times New Roman" w:cs="Times New Roman" w:eastAsia="Times New Roman" w:hAnsi="Times New Roman"/>
          <w:sz w:val="18"/>
          <w:szCs w:val="18"/>
          <w:color w:val="auto"/>
        </w:rPr>
        <w:t>. Oruka shall have the first right, but not the obligation, to bring and control any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including by declaratory judgment action, patent litigation or similar proceeding, in connection with any Patent Infringement or Patent Challenge with respect to the Licensed Antibody Patents in the Territory at its own expense and discretion as it reasonably determines appropriate. Oruka shall keep Paragon informed and reasonably consult with Paragon in the course of such legal action. Paragon shall have the right to be represented in any such legal action by counsel of its choice at its own expense.</w:t>
      </w:r>
    </w:p>
    <w:p>
      <w:pPr>
        <w:spacing w:after="0" w:line="179"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Paragon’s First Right to Enforce or Defend</w:t>
      </w:r>
      <w:r>
        <w:rPr>
          <w:rFonts w:ascii="Times New Roman" w:cs="Times New Roman" w:eastAsia="Times New Roman" w:hAnsi="Times New Roman"/>
          <w:sz w:val="18"/>
          <w:szCs w:val="18"/>
          <w:color w:val="auto"/>
        </w:rPr>
        <w:t>. Paragon shall have the sole right, but not the obligation, to bring and control any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including by declaratory judgment action, patent litigation or similar proceeding, in connection with any Patent Infringement or Patent Challenge with respect to the Paragon Patents in the Territory at its own expense and discretion as it reasonably determines appropriate.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9" w:name="page220"/>
    <w:bookmarkEnd w:id="219"/>
    <w:p>
      <w:pPr>
        <w:jc w:val="both"/>
        <w:ind w:firstLine="1304"/>
        <w:spacing w:after="0" w:line="268" w:lineRule="auto"/>
        <w:tabs>
          <w:tab w:leader="none" w:pos="1551"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w:t>
      </w:r>
      <w:r>
        <w:rPr>
          <w:rFonts w:ascii="Times New Roman" w:cs="Times New Roman" w:eastAsia="Times New Roman" w:hAnsi="Times New Roman"/>
          <w:sz w:val="18"/>
          <w:szCs w:val="18"/>
          <w:color w:val="auto"/>
        </w:rPr>
        <w:t>. In connection with any such legal action or proceeding, Oruka shall not enter into any settlement admitting the invalidity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unenforceability of Licensed Antibody Patents without the prior written consent of Paragon (such consent not to be unreasonably conditioned, withheld, or delayed).</w:t>
      </w:r>
    </w:p>
    <w:p>
      <w:pPr>
        <w:spacing w:after="0" w:line="170"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Paragon’s Backup Right to Enforce or Defend</w:t>
      </w:r>
      <w:r>
        <w:rPr>
          <w:rFonts w:ascii="Times New Roman" w:cs="Times New Roman" w:eastAsia="Times New Roman" w:hAnsi="Times New Roman"/>
          <w:sz w:val="18"/>
          <w:szCs w:val="18"/>
          <w:color w:val="auto"/>
        </w:rPr>
        <w:t>. If Oruka does not initiate a legal action for Patent Infringement or Patent Challenge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any Licensed Antibody Patent within [***] days after a notice from Paragon under Section 5.3(a), then Paragon shall have a backup right, but not the obligation, to initiate such legal action at its own expense.</w:t>
      </w:r>
    </w:p>
    <w:p>
      <w:pPr>
        <w:spacing w:after="0" w:line="170"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21"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Allocation of Recoveries</w:t>
      </w:r>
      <w:r>
        <w:rPr>
          <w:rFonts w:ascii="Times New Roman" w:cs="Times New Roman" w:eastAsia="Times New Roman" w:hAnsi="Times New Roman"/>
          <w:sz w:val="18"/>
          <w:szCs w:val="18"/>
          <w:color w:val="auto"/>
        </w:rPr>
        <w:t>. Any recoveries resulting from such legal action initiated by Oruka or Paragon hereunder relating to Patent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Infringement or Patent Challenge in each case solely with respect to the Licensed Antibody Patents, including pursuant to a settlement, shall be applied as follows: (i) first to reimburse the [***] of each of the Parties in such action; and (ii) second, any amounts remaining after paying the amounts due each Party under clause (i) (the “</w:t>
      </w:r>
      <w:r>
        <w:rPr>
          <w:rFonts w:ascii="Times New Roman" w:cs="Times New Roman" w:eastAsia="Times New Roman" w:hAnsi="Times New Roman"/>
          <w:sz w:val="18"/>
          <w:szCs w:val="18"/>
          <w:b w:val="1"/>
          <w:bCs w:val="1"/>
          <w:color w:val="auto"/>
        </w:rPr>
        <w:t>Remaining Recovery</w:t>
      </w:r>
      <w:r>
        <w:rPr>
          <w:rFonts w:ascii="Times New Roman" w:cs="Times New Roman" w:eastAsia="Times New Roman" w:hAnsi="Times New Roman"/>
          <w:sz w:val="18"/>
          <w:szCs w:val="18"/>
          <w:color w:val="auto"/>
        </w:rPr>
        <w:t>”) shall be allocated as follows: (1) [***]; or (2) [***].</w:t>
      </w:r>
    </w:p>
    <w:p>
      <w:pPr>
        <w:spacing w:after="0" w:line="176"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51"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Cooperation with Patent Enforcement</w:t>
      </w:r>
      <w:r>
        <w:rPr>
          <w:rFonts w:ascii="Times New Roman" w:cs="Times New Roman" w:eastAsia="Times New Roman" w:hAnsi="Times New Roman"/>
          <w:sz w:val="18"/>
          <w:szCs w:val="18"/>
          <w:color w:val="auto"/>
        </w:rPr>
        <w:t>. At the request of the enforcing Party (and at the requesting Party’s expense), the other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reasonably cooperate and provide any information or assistance in connection with any legal action under this Section 5.3, including executing reasonably appropriate documents, cooperating in discovery and, if required by Applicable Law, joining as a party to the legal action at its own expense.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color w:val="auto"/>
        </w:rPr>
        <w:t>Third Party Patent Proceedings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2" w:lineRule="auto"/>
        <w:tabs>
          <w:tab w:leader="none" w:pos="155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Oruka’s First Right to Challenge Third Party Patents</w:t>
      </w:r>
      <w:r>
        <w:rPr>
          <w:rFonts w:ascii="Times New Roman" w:cs="Times New Roman" w:eastAsia="Times New Roman" w:hAnsi="Times New Roman"/>
          <w:sz w:val="18"/>
          <w:szCs w:val="18"/>
          <w:color w:val="auto"/>
        </w:rPr>
        <w:t>. Oruka shall have the sole and exclusive right, but not the obligation,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bring and control any legal action to challenge any Patents controlled by a Third Party, including by declaratory judgment action, patent interference, opposition, pre-issuance submission,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patent litigation or similar proceeding, in each case that are necessary or useful to Develop, Manufacture, Commercialize or otherwise exploit any Oruka Product.</w:t>
      </w:r>
    </w:p>
    <w:p>
      <w:pPr>
        <w:spacing w:after="0" w:line="176"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5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Cooperation by Paragon</w:t>
      </w:r>
      <w:r>
        <w:rPr>
          <w:rFonts w:ascii="Times New Roman" w:cs="Times New Roman" w:eastAsia="Times New Roman" w:hAnsi="Times New Roman"/>
          <w:sz w:val="18"/>
          <w:szCs w:val="18"/>
          <w:color w:val="auto"/>
        </w:rPr>
        <w:t>. At the request of Oruka, Paragon shall cooperate and provide any information or assistance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any legal action under this Section 5.4, including executing reasonably appropriate documents, cooperating in discovery and, if required by Applicable Law, joining as a party to the action at Oruka’s cost and expense.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color w:val="auto"/>
        </w:rPr>
        <w:t>Common Interest Agreement</w:t>
      </w:r>
      <w:r>
        <w:rPr>
          <w:rFonts w:ascii="Times New Roman" w:cs="Times New Roman" w:eastAsia="Times New Roman" w:hAnsi="Times New Roman"/>
          <w:sz w:val="18"/>
          <w:szCs w:val="18"/>
          <w:color w:val="auto"/>
        </w:rPr>
        <w:t>. At the request of either Party to conduct the activities under this Article V, the Parties shall cooperate in good faith to enter into a customary, mutually-agreed common-interest agreement intended to preserve attorney-client privilege with respect to disclosures and communications by or on behalf of either Party or its Affiliates in connection with such activities.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0" w:name="page221"/>
    <w:bookmarkEnd w:id="220"/>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PROTECTION OF CONFIDENTIAL INFORMATION.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color w:val="auto"/>
        </w:rPr>
        <w:t>Confidentiality</w:t>
      </w:r>
      <w:r>
        <w:rPr>
          <w:rFonts w:ascii="Times New Roman" w:cs="Times New Roman" w:eastAsia="Times New Roman" w:hAnsi="Times New Roman"/>
          <w:sz w:val="18"/>
          <w:szCs w:val="18"/>
          <w:color w:val="auto"/>
        </w:rPr>
        <w:t xml:space="preserve">. Except to the extent expressly authorized by this Agreement, the Receiving Party agrees that, during the Term, for [***] years thereafter, and, with respect to any Know-How that constitutes a trade secret, for long as such Know-How constitutes a trade secret, it shall keep confidential and shall not publish or otherwise disclose to any Third Party, and shall not use for any purpose other than as expressly provided for in this Agreement, any Confidential Information of the Disclosing Party. The Receiving Party may disclose Confidential Information of the Disclosing Party to those of the Receiving Party’s Representatives who have a need for such information,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Receiving Party shall advise such Representatives of the confidential nature thereof, shall ensure that each such Representative is bound in writing by obligations of confidentiality and non-use at least as stringent as those contained in this Agreement, and shall be responsible for the compliance of its Representatives with the terms of this Agreement. The Receiving Party shall use at least the same standard of care as it uses to protect proprietary or confidential information of its own (but in no event less than reasonable care) to ensure that its Representatives do not disclose or make any unauthorized use of the Confidential Information of the Disclosing Party. The Receiving Party shall promptly notify the Disclosing Party upon discovery of any unauthorized use or disclosure of the Confidential Information of the Disclosing Party.</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Exceptions</w:t>
      </w:r>
      <w:r>
        <w:rPr>
          <w:rFonts w:ascii="Times New Roman" w:cs="Times New Roman" w:eastAsia="Times New Roman" w:hAnsi="Times New Roman"/>
          <w:sz w:val="18"/>
          <w:szCs w:val="18"/>
          <w:color w:val="auto"/>
        </w:rPr>
        <w:t>. The Receiving Party’s obligations under Section 6.1 shall not apply to any Confidential Information of the Disclosing Party that the Receiving Party can prove by competent evidence: (a) is now, or hereafter becomes, through no act or failure to act on the part of the Receiving Party in breach of this Agreement, generally known or available; (b) is known by the Receiving Party at the time of receiving such information from the Disclosing Party; (c) is hereafter furnished to the Receiving Party by a Third Party, as a matter of right and without restriction on disclosure; or (d) is independently discovered or developed by the Receiving Party, without the aid, use or application of any Confidential Information of the Disclosing Party.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Authorized Disclosure</w:t>
      </w:r>
      <w:r>
        <w:rPr>
          <w:rFonts w:ascii="Times New Roman" w:cs="Times New Roman" w:eastAsia="Times New Roman" w:hAnsi="Times New Roman"/>
          <w:sz w:val="18"/>
          <w:szCs w:val="18"/>
          <w:color w:val="auto"/>
        </w:rPr>
        <w:t>. Notwithstanding the provisions of this Article VI, the Receiving Party may disclose Confidential Information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Disclosing Party, without violating its obligations under this Agreement, to the extent the disclosure is:</w:t>
      </w:r>
    </w:p>
    <w:p>
      <w:pPr>
        <w:spacing w:after="0" w:line="207" w:lineRule="exact"/>
        <w:rPr>
          <w:sz w:val="20"/>
          <w:szCs w:val="20"/>
          <w:color w:val="auto"/>
        </w:rPr>
      </w:pPr>
    </w:p>
    <w:p>
      <w:pPr>
        <w:jc w:val="both"/>
        <w:ind w:firstLine="1304"/>
        <w:spacing w:after="0" w:line="255" w:lineRule="auto"/>
        <w:tabs>
          <w:tab w:leader="none" w:pos="154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required by a valid order of a court or other Governmental Authority of competent jurisdiction or as otherwise required by Applicable Law, rule, regulation (including securities laws), government requirement, or as may be required in connection with any filings made with, or by the disclosure policies of, a stock exchange (including, for clarity, any such disclosures required to be made by Paragon or its Affiliates or licensees in connection with the Development, Manufacture, Commercialization or other exploitation of Multispecific Antibodies),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Receiving Party shall give reasonable prior written notice to the Disclosing Party of such required disclosure and, at the [***] request and expense, shall cooperate with the Disclosing Party’s efforts to contest such requirement, to obtain a protective order requiring that the Confidential Information so disclosed be used only for the purposes for which the order was issued or the law required, or to obtain other confidential treatment of such Confidential Information;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7"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necessary to file or Prosecute patent applications, Prosecute or defend litigation or otherwise establish rights or enforce obligations under this Agreement, or obtain or maintain approval to conduct clinical trials or Regulatory Approvals, in each case, in accordance with this Agreement (including, for clarity, any such disclosures that are reasonably necessary to made by Paragon or its Affiliates or licensees in connection with the Development, Manufacture, Commercialization or other exploitation of Multispecific Antibodies); 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1" w:name="page222"/>
    <w:bookmarkEnd w:id="221"/>
    <w:p>
      <w:pPr>
        <w:jc w:val="both"/>
        <w:ind w:firstLine="1304"/>
        <w:spacing w:after="0" w:line="258" w:lineRule="auto"/>
        <w:tabs>
          <w:tab w:leader="none" w:pos="155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appropriate confidentiality provisions substantially equivalent to those in this Agreement (but of shorter duration if customary in the case of subclause (ii)): (i) in connection with the performance of its obligations or as reasonably necessary or useful in the exercise of its rights under this Agreement, including the right to grant licenses or sublicenses as permitted hereunder and the right to Develop, Manufacture, Commercialize and otherwise exploit Antibodies and products (including Multispecific Antibodies and Multispecific Products) to which it has rights hereunder, or (ii) to actual or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potential licensees, acquirers, merger partners, assignees, collaborators, investment bankers, investors or lenders.</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color w:val="auto"/>
        </w:rPr>
        <w:t>Use of Names</w:t>
      </w:r>
      <w:r>
        <w:rPr>
          <w:rFonts w:ascii="Times New Roman" w:cs="Times New Roman" w:eastAsia="Times New Roman" w:hAnsi="Times New Roman"/>
          <w:sz w:val="18"/>
          <w:szCs w:val="18"/>
          <w:color w:val="auto"/>
        </w:rPr>
        <w:t>. Except as set forth in Section 6.6(b), neither Party shall use the other Party’s name or trademarks in any advertising, sales, or promotional material or in any publication without the prior written consent of the other Party.</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b w:val="1"/>
          <w:bCs w:val="1"/>
          <w:color w:val="auto"/>
        </w:rPr>
        <w:t>Confidentiality of this Agreement</w:t>
      </w:r>
      <w:r>
        <w:rPr>
          <w:rFonts w:ascii="Times New Roman" w:cs="Times New Roman" w:eastAsia="Times New Roman" w:hAnsi="Times New Roman"/>
          <w:sz w:val="18"/>
          <w:szCs w:val="18"/>
          <w:color w:val="auto"/>
        </w:rPr>
        <w:t xml:space="preserve">. This Agreement and its terms are considered Confidential Information of both Parties, and each Party shall keep confidential and shall not publish or otherwise disclose the terms of this Agreement without the prior written consent of the other Party, except as expressly permitted by Section 6.3, and except that both Parties may disclose this Agreement and its terms to its legal, financial and investment banking advisors;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potential and actual investors, acquirers, merger partners, assignees, collaborators, investment bankers, lenders, licensees, sublicensees or strategic partners in connection with license or partnering transactions, due diligence or similar investigations by such Third Parties or in confidential financing documents; and counsel or other advisors for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in each case, that any such Third Party agrees to be bound by obligations of confidentiality and non-use at least as restrictive as those set forth in this Article VI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confidentiality term applicable to such Third Party may be shorter so long as it is commercially reasonable).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b w:val="1"/>
          <w:bCs w:val="1"/>
          <w:color w:val="auto"/>
        </w:rPr>
        <w:t>Publicity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6" w:lineRule="auto"/>
        <w:tabs>
          <w:tab w:leader="none" w:pos="1541"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6.6(b), neither Party will generate or allow any publicity regarding this Agreement or the transactions contemplated hereunder without the other Party first approving such press release or publication in writing, except for any public disclosure by or on behalf of a Party that is, upon the advice of such Party’s counsel, required by Applicable Law or the rules of a stock exchange on which the securities of such Party are listed (or to which an application for listing has been submitted) and except that a Party may, once a press release or other public written statement is approved in writing by both Parties, make subsequent public disclosure of the information contained in such press release or other public written statement without the further approval of the other Party.</w:t>
      </w:r>
    </w:p>
    <w:p>
      <w:pPr>
        <w:spacing w:after="0" w:line="187"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1"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collaborate and cooperate [***] to devise a Publication (as defined below) strategy for the Oruka Products that is acceptable to both Parties. Prior to publicly presenting or publishing any data, results or analyses relating to an Oruka Product generated by or on behalf of Oruka pursuant to this Agreement (each such proposed presentation or publication, a “</w:t>
      </w:r>
      <w:r>
        <w:rPr>
          <w:rFonts w:ascii="Times New Roman" w:cs="Times New Roman" w:eastAsia="Times New Roman" w:hAnsi="Times New Roman"/>
          <w:sz w:val="18"/>
          <w:szCs w:val="18"/>
          <w:b w:val="1"/>
          <w:bCs w:val="1"/>
          <w:color w:val="auto"/>
        </w:rPr>
        <w:t>Publication</w:t>
      </w:r>
      <w:r>
        <w:rPr>
          <w:rFonts w:ascii="Times New Roman" w:cs="Times New Roman" w:eastAsia="Times New Roman" w:hAnsi="Times New Roman"/>
          <w:sz w:val="18"/>
          <w:szCs w:val="18"/>
          <w:color w:val="auto"/>
        </w:rPr>
        <w:t>”), Oruka will provide Paragon with a copy of such proposed Publication to review with adequate time for Paragon’s review and comment prior to the earlier of its presentation or intended submission for publication (such applicable period, the “</w:t>
      </w:r>
      <w:r>
        <w:rPr>
          <w:rFonts w:ascii="Times New Roman" w:cs="Times New Roman" w:eastAsia="Times New Roman" w:hAnsi="Times New Roman"/>
          <w:sz w:val="18"/>
          <w:szCs w:val="18"/>
          <w:b w:val="1"/>
          <w:bCs w:val="1"/>
          <w:color w:val="auto"/>
        </w:rPr>
        <w:t>Review Period</w:t>
      </w:r>
      <w:r>
        <w:rPr>
          <w:rFonts w:ascii="Times New Roman" w:cs="Times New Roman" w:eastAsia="Times New Roman" w:hAnsi="Times New Roman"/>
          <w:sz w:val="18"/>
          <w:szCs w:val="18"/>
          <w:color w:val="auto"/>
        </w:rPr>
        <w:t xml:space="preserve">”). Oruka will take into consideration Paragon’s reasonable comments prior to finalizing the Publication. Upon Paragon’s request, Oruka shall remove any Confidential Information of Paragon from such Publication that Oruka is not required to disclose pursuant to Applicable Law or the rules of a stock exchange on which the securities of Oruka are listed. In addition, Paragon shall have the right to request the delay of such Publication for up to [***] days to enable filing of Patents, which request Oruka will take into consideration and discuss with Paragon before release of the Publication. Paragon will not publicly present or publish any Publication including Confidential Information of Oruka relating specifically to the Licensed Antibodies or Derived Antibodies without Oruka’s prior written consent, which consent may be withheld for any reason or no reason;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foregoing shall not limit Paragon’s right to publicly present or publish any Publication relating to Multispecific Antibodies. Each Publication shall include proper attribution, including the use of such Party’s trademarks and name, to the non-publishing Party, as applicable, and each non-publishing Party expressly authorizes the inclusion of such reference in the applicable Publication and licenses the use of such trademarks and name solely for inclusion in any such Publication.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REPRESENTATIONS, WARRANTIES AND COVENANTS.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color w:val="auto"/>
        </w:rPr>
        <w:t>Mutual Representations</w:t>
      </w:r>
      <w:r>
        <w:rPr>
          <w:rFonts w:ascii="Times New Roman" w:cs="Times New Roman" w:eastAsia="Times New Roman" w:hAnsi="Times New Roman"/>
          <w:sz w:val="18"/>
          <w:szCs w:val="18"/>
          <w:color w:val="auto"/>
        </w:rPr>
        <w:t>. Each Party represents and warrants to the other Party that:</w:t>
      </w:r>
    </w:p>
    <w:p>
      <w:pPr>
        <w:spacing w:after="0" w:line="229" w:lineRule="exact"/>
        <w:rPr>
          <w:sz w:val="20"/>
          <w:szCs w:val="20"/>
          <w:color w:val="auto"/>
        </w:rPr>
      </w:pPr>
    </w:p>
    <w:p>
      <w:pPr>
        <w:ind w:firstLine="1304"/>
        <w:spacing w:after="0" w:line="282" w:lineRule="auto"/>
        <w:tabs>
          <w:tab w:leader="none" w:pos="1543"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duly organized and validly existing under the laws of its jurisdiction of incorporation or formation, and has full corporate or other power and authority to enter into this Agreement and to carry out the provisions hereof;</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duly authorized to execute and deliver this Agreement and to perform its obligations hereunder;</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3"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permit, governmental order, declaration or filing with, or notice to, any Governmental Authority or any Third Party is required by or with respect to such in connection with the execution and delivery of this Agreement and the consummation of the transactions contemplated hereby; and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77"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legally binding upon it, enforceable in accordance with its terms, and does not and will not conflict with any agreement, instrument, or understanding, oral or written, to which it is or may become a party or by which it may be or become bound.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color w:val="auto"/>
        </w:rPr>
        <w:t>Representations of Paragon</w:t>
      </w:r>
      <w:r>
        <w:rPr>
          <w:rFonts w:ascii="Times New Roman" w:cs="Times New Roman" w:eastAsia="Times New Roman" w:hAnsi="Times New Roman"/>
          <w:sz w:val="18"/>
          <w:szCs w:val="18"/>
          <w:color w:val="auto"/>
        </w:rPr>
        <w:t>. Paragon hereby represents and warrants to Oruka as of the Effective Date that:</w:t>
      </w:r>
    </w:p>
    <w:p>
      <w:pPr>
        <w:spacing w:after="0" w:line="229" w:lineRule="exact"/>
        <w:rPr>
          <w:sz w:val="20"/>
          <w:szCs w:val="20"/>
          <w:color w:val="auto"/>
        </w:rPr>
      </w:pPr>
    </w:p>
    <w:p>
      <w:pPr>
        <w:ind w:firstLine="1304"/>
        <w:spacing w:after="0" w:line="282" w:lineRule="auto"/>
        <w:tabs>
          <w:tab w:leader="none" w:pos="1552"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Paragon has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 true, correct and complete list of all the Licensed Antibody Patents existing as of the Effective Date (including title, all inventors, owners, assignees, filing date, grant date, expiration date and status);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Paragon exclusively owns all Licensed Antibody Patents;</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6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licenses or sublicenses pursuant to which Paragon licenses as of the Effective Date any of the Licensed Antibody Technology, nor, to Paragon’s actual knowledge, are any such licenses necessary to Develop, Manufacture and Commercialize the Licensed Antibodies;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1"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Paragon has the right under the Licensed Antibody Technology to grant to Oruka the licenses and other rights set forth in this Agreement, and it has not granted any license or other right under the Licensed Antibody Technology that is inconsistent with the licenses and other rights granted to Oruka hereunder;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or, to Paragon’s knowledge, threatened litigation, nor has Paragon received any written notice from any Third Party, asserting or alleging that the development, manufacture or commercialization of the Licensed Antibody Technology prior to the Effective Date infringed or misappropriated the intellectual property rights of such Third Party;</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31"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Paragon’s knowledge, Paragon has not withheld from Oruka any information with respect to the Licensed Antibody Technology that would reasonably be expected to be materially adverse to Oruka’s Development, Manufacture, or Commercialization of any Product in the Territory as contemplated under this Agreement;</w:t>
      </w:r>
    </w:p>
    <w:p>
      <w:pPr>
        <w:spacing w:after="0" w:line="17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72"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Paragon’s knowledge, Paragon has, and any of Paragon’s Affiliates involved in the Research Program have, (i) conducted all research and development under the Research Program in accordance with Research Plan (as defined in the Option Agreement), and (ii) conducted the Research Program in compliance with all Applicable Laws;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2"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Paragon’s knowledge, Paragon has provided true, correct and complete copies of all Results developed under the Research Program and all other deliverables required under the Research Program have been provided or delivered to Oruka and are true, correct and complete in all material respects;</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Paragon has properly filed, Prosecuted and maintained all Licensed Antibody Patents;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3" w:name="page224"/>
    <w:bookmarkEnd w:id="223"/>
    <w:p>
      <w:pPr>
        <w:ind w:firstLine="1304"/>
        <w:spacing w:after="0" w:line="282" w:lineRule="auto"/>
        <w:tabs>
          <w:tab w:leader="none" w:pos="15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Paragon has complied with all duties of disclosure and has not engaged in any inequitable conduct with respect to all Licensed Antibody Patents that were filed prior to the Effective Date;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43"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Licensed Antibody Patents listed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that have been issued as of the Effective Date are in full force and effect and are, to Paragon’s knowledge, valid and enforceable;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1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the Patents listed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as of the Effective Date, neither Paragon nor any of its Affiliates own or have any rights in, to or under any Patents Covering the composition of matter of, or any method of specifically making or using, any Licensed Antibody;</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0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judgments against or awards or settlements against Paragon or any of its Affiliates, and there are no claims, actions, or proceedings pending or, to Paragon’s knowledge, threatened, nor to Paragon’s knowledge are there any formal inquiries initiated or written notices received that are reasonably likely to lead to the institution of any such legal proceedings, in each case (i) relating to any Licensed Antibodies, Derived Antibodies or Licensed Antibody Technology or alleging that any Third Party has any right to or under any Products, Licensed Antibodies, Derived Antibodies or Licensed Antibody Technology that would conflict with the rights granted in this Agreement; or (ii) alleging that any Licensed Antibody Patent is unpatentable, invalid, unenforceable or infringed;</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3"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Representative employed or engaged by Paragon or its Affiliate to conduct the activities under the Research Program have assigned or licensed, or are under contractual obligations to assign or license, to Paragon all inventions conceived, reduced to practice or otherwise related to Licensed Antibodies, Derived Antibodies and Licensed Antibody Technology; (ii) to Paragon’s knowledge, no Representative employed by Paragon or its Affiliate that conducts activities under a Research Program has any obligations under agreements or Applicable Law to assign any interest in any such inventions to any Third Party; and (iii) each Representative employed or engaged by Paragon or its Affiliate to conduct the activities under a Research Program have existing obligations under agreements or Applicable Law to maintain as confidential Paragon’s Confidential Information as well as confidential information of other parties (including of Oruka and its Affiliates);</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7"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Paragon, its Representatives, or any other person used by Paragon in the performance of the Research Program or otherwise in connection with this Agreement has been or is (i) debarred, convicted, or is subject to a pending debarment or conviction, pursuant to section 306 of the United States Food Drug and Cosmetic Act, 21 U.S.C. § 335a, (ii) listed by any government or regulatory agencies as ineligible to participate in any government healthcare programs or government procurement or non-procurement programs (as that term is defined in 42 U.S.C. § 1320a-7b(f)), or excluded, debarred, suspended or otherwise made ineligible to participate in any such program, or (iii) convicted of a criminal offense related to the provision of healthcare items or services, or is subject to any such pending action. Paragon agrees to inform Oruka in writing promptly if Paragon or any person who is performing activities on its behalf under the Agreement is subject to the foregoing, or if any action, suit, claim, investigation, or proceeding relating to the foregoing is pending or threatened;</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funding, facilities, or personnel of any Governmental Authority or any public or private educational or research institutions were used to develop or create any Licensed Antibody Technology, and neither Paragon nor any of its Affiliates has entered into a government funding relationship that would result in rights to any Products, Licensed Antibodies, Derived Antibodies or Licensed Antibody Technology residing in the U.S. Government, the National Institutes of Health, or other agency, and the licenses granted hereunder are not subject to overriding obligations to the U.S. Government as set forth in Public Law 96-517 (35 U.S.C. §§ 200-204), or any similar obligations under the laws of any other country in the Territory;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4" w:name="page225"/>
    <w:bookmarkEnd w:id="224"/>
    <w:p>
      <w:pPr>
        <w:jc w:val="both"/>
        <w:ind w:firstLine="1304"/>
        <w:spacing w:after="0" w:line="266" w:lineRule="auto"/>
        <w:tabs>
          <w:tab w:leader="none" w:pos="154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 knowledge of [***] of Paragon, with respect to this Agreement and the Option Agreement, neither Paragon nor any of its directors, officers, employees, distributors, consultants, agents, representatives, sales intermediaries, or other Third Parties acting on behalf of Paragon or any of its Affiliates:</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176"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taken any action in violation of any applicable anti-corruption laws, anti-money laundering laws or laws restricting or regulating global trade (collectively, “</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9"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conducted or initiated any internal investigation with respect to any alleged act or omission arising under or relating to any potential noncompliance with any Anti-Corruption Law, or been the subject of current, pending, or threatened investigation, formal or informal inquiry, enforcement proceedings, or received any notice, request, or citation for alleged violations of such laws;</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7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engaged in any direct or indirect dealings or transactions in or with a person, entity or country found on the Specially Designated Nationals and Blocked Persons List maintained by the U.S. Office of Foreign Assets Control, or engaged in any direct or indirect dealings with Sudan, individuals ordinarily resident in Sudan, or entities incorporated under the laws of Sudan prior to October 12, 2017; or</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66"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offered, paid, given, promised to pay or give, or authorized the payment or gift of, received, or solicited anything of value, directly or indirectly, to any public official, for the purposes of: influencing any act or decision of any public official in his or her official capacity; inducing any public official to do or omit to do any act in violation of his or her lawful duty; securing any improper or undue advantage; or inducing any public official to use his or her influence with a government, Governmental Authority, or commercial enterprise owned or controlled by any government (including state-owned or controlled veterinary, laboratory or medical facilities) in obtaining or retaining any business whatsoever.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color w:val="auto"/>
        </w:rPr>
        <w:t>Covenants of Paragon</w:t>
      </w:r>
      <w:r>
        <w:rPr>
          <w:rFonts w:ascii="Times New Roman" w:cs="Times New Roman" w:eastAsia="Times New Roman" w:hAnsi="Times New Roman"/>
          <w:sz w:val="18"/>
          <w:szCs w:val="18"/>
          <w:color w:val="auto"/>
        </w:rPr>
        <w:t>. Paragon hereby covenants to Oruka during the Term that:</w:t>
      </w:r>
    </w:p>
    <w:p>
      <w:pPr>
        <w:spacing w:after="0" w:line="229" w:lineRule="exact"/>
        <w:rPr>
          <w:sz w:val="20"/>
          <w:szCs w:val="20"/>
          <w:color w:val="auto"/>
        </w:rPr>
      </w:pPr>
    </w:p>
    <w:p>
      <w:pPr>
        <w:ind w:firstLine="1304"/>
        <w:spacing w:after="0" w:line="282" w:lineRule="auto"/>
        <w:tabs>
          <w:tab w:leader="none" w:pos="1582"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Paragon will not grant a Third Party any license or other right in the Licensed Antibody Technology or the Other Licensed Technology that would conflict with the rights and licenses granted to Oruka hereunder with respect to such Licensed Antibody Technology;</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6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Paragon will, and will direct each Affiliate of Paragon and subcontractor conducting activities under this Agreement to, conduct all such activities in compliance with Applicable Laws, including all applicable Anti-Corruption Laws and U.S. sanctions;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Paragon will comply with the terms of each Paragon Third Party Agreement, will maintain each Paragon Third Party Agreement, will not amend a Paragon Third Party Agreement in a manner that (i) adversely effects Oruka in any material respect, or (ii) increases any financial obligations under a Paragon Third Party Agreement that will result in an increase in Oruka’s Reimbursement Obligation, in each case of (i) and (ii) without Oruka’s prior written consent, and will not take any actions that could reasonably cause any Paragon Third Party Agreement to lapse or terminate;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5" w:name="page226"/>
    <w:bookmarkEnd w:id="225"/>
    <w:p>
      <w:pPr>
        <w:jc w:val="both"/>
        <w:ind w:firstLine="1304"/>
        <w:spacing w:after="0" w:line="266" w:lineRule="auto"/>
        <w:tabs>
          <w:tab w:leader="none" w:pos="1559"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Paragon will, and will direct each applicable Affiliate of Paragon to, execute and deliver such additional documents and instruments and to perform such additional acts as may be necessary or appropriate to enable Oruka to exercise its rights and obligations under Sections 5.2, 5.3 and 5.4.</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b w:val="1"/>
          <w:bCs w:val="1"/>
          <w:color w:val="auto"/>
        </w:rPr>
        <w:t>Compliance with Laws</w:t>
      </w:r>
      <w:r>
        <w:rPr>
          <w:rFonts w:ascii="Times New Roman" w:cs="Times New Roman" w:eastAsia="Times New Roman" w:hAnsi="Times New Roman"/>
          <w:sz w:val="18"/>
          <w:szCs w:val="18"/>
          <w:color w:val="auto"/>
        </w:rPr>
        <w:t>. Each Party shall, and shall ensure that its Affiliates and its and its Affiliates’ Representatives and sublicensees, comply with Applicable Laws in all material respects in the performance of its obligations and the exercise of its rights under this Agreement.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b w:val="1"/>
          <w:bCs w:val="1"/>
          <w:color w:val="auto"/>
        </w:rPr>
        <w:t>DISCLAIMER OF WARRANTIES</w:t>
      </w:r>
      <w:r>
        <w:rPr>
          <w:rFonts w:ascii="Times New Roman" w:cs="Times New Roman" w:eastAsia="Times New Roman" w:hAnsi="Times New Roman"/>
          <w:sz w:val="18"/>
          <w:szCs w:val="18"/>
          <w:color w:val="auto"/>
        </w:rPr>
        <w:t>. EXCEPT AS EXPRESSLY SET FORTH HEREIN, EACH PARTY EXPRESSLY DISCLAIMS ANY AND ALL WARRANTIES OF ANY KIND, EXPRESS OR IMPLIED, INCLUDING THE WARRANTIES OF DESIGN, MERCHANTABILITY, DURABILITY, MERCHANTABLE QUALITY, FITNESS FOR A PARTICULAR PURPOSE, NON-INFRINGEMENT OF THE INTELLECTUAL PROPERTY RIGHTS OF THIRD PARTIES, OR ARISING FROM A COURSE OF DEALING, USAGE OR TRADE PRACTICES.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TERMINATION.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The term of this Agreement shall commence on the Effective Date and shall expire on a country-by-country and Oruka Product-by-Oruka Product basis on the expiration of the Royalty Term for such Oruka Product in such country, in each case, unless earlier terminated by a Party as set forth below in this Article VIII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Upon expiration (but not termination) of the Agreement, the licenses granted in Section 2.1 shall survive and become royalty-free, fully paid-up, perpetual and irrevocable with respect to the applicable Oruka Product in the applicable country.</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color w:val="auto"/>
        </w:rPr>
        <w:t>Termination by Oruka</w:t>
      </w:r>
      <w:r>
        <w:rPr>
          <w:rFonts w:ascii="Times New Roman" w:cs="Times New Roman" w:eastAsia="Times New Roman" w:hAnsi="Times New Roman"/>
          <w:sz w:val="18"/>
          <w:szCs w:val="18"/>
          <w:color w:val="auto"/>
        </w:rPr>
        <w:t>. Oruka shall have the right to terminate this Agreement in its entirety or on a country-by-country or Oruka Product-by-Oruka Product basis for any or no reason upon sixty (60) days’ prior written notice to Paragon.</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color w:val="auto"/>
        </w:rPr>
        <w:t>Material Breach</w:t>
      </w:r>
      <w:r>
        <w:rPr>
          <w:rFonts w:ascii="Times New Roman" w:cs="Times New Roman" w:eastAsia="Times New Roman" w:hAnsi="Times New Roman"/>
          <w:sz w:val="18"/>
          <w:szCs w:val="18"/>
          <w:color w:val="auto"/>
        </w:rPr>
        <w:t xml:space="preserve">. Either Party may terminate this Agreement in its entirety for the material breach of this Agreement by the other Party, if such material breach remains uncured ninety (90) days (or thirty (30) days with respect to any failure to make any payments owing to a Party hereunder) following notice from the non-breaching Party to the breaching Party specifying such breach,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in the event of a dispute regarding the existence or cure of a material breach, no termination shall become effective until such dispute is finally resolved pursuant to Section 10.7 in favor of the non-breaching Party and the breaching Party fails to cure such material breach within ninety (90) days thereafter.</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color w:val="auto"/>
        </w:rPr>
        <w:t>Insolvency</w:t>
      </w:r>
      <w:r>
        <w:rPr>
          <w:rFonts w:ascii="Times New Roman" w:cs="Times New Roman" w:eastAsia="Times New Roman" w:hAnsi="Times New Roman"/>
          <w:sz w:val="18"/>
          <w:szCs w:val="18"/>
          <w:color w:val="auto"/>
        </w:rPr>
        <w:t>. Each Party will have the right to terminate this Agreement in the event of a Bankruptcy Event with respect to the other Party. “</w:t>
      </w:r>
      <w:r>
        <w:rPr>
          <w:rFonts w:ascii="Times New Roman" w:cs="Times New Roman" w:eastAsia="Times New Roman" w:hAnsi="Times New Roman"/>
          <w:sz w:val="18"/>
          <w:szCs w:val="18"/>
          <w:b w:val="1"/>
          <w:bCs w:val="1"/>
          <w:color w:val="auto"/>
        </w:rPr>
        <w:t>Bankruptcy Event</w:t>
      </w:r>
      <w:r>
        <w:rPr>
          <w:rFonts w:ascii="Times New Roman" w:cs="Times New Roman" w:eastAsia="Times New Roman" w:hAnsi="Times New Roman"/>
          <w:sz w:val="18"/>
          <w:szCs w:val="18"/>
          <w:color w:val="auto"/>
        </w:rPr>
        <w:t>” means the occurrence of any of the following: (a) the institution of any bankruptcy, receivership, insolvency, reorganization or other similar proceedings by or against a Party under any bankruptcy, insolvency, or other similar law now or hereinafter in effect, including any section or chapter of the United States Bankruptcy Code, as amended or under any similar laws of the United States or any state thereof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where in the case of involuntary proceedings such proceedings have not been dismissed or discharged within [***] days after they are instituted, (b) the insolvency or making of an assignment for the benefit of creditors, (c) the institution of any reorganization, arrangement or other readjustment of debt plan of a Party not involving the Bankruptcy Code, or (d) appointment of a receiver for all or substantially all of a Party’s assets.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6" w:name="page227"/>
    <w:bookmarkEnd w:id="226"/>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b w:val="1"/>
          <w:bCs w:val="1"/>
          <w:color w:val="auto"/>
        </w:rPr>
        <w:t>Effect of Termination of this Agreement</w:t>
      </w:r>
      <w:r>
        <w:rPr>
          <w:rFonts w:ascii="Times New Roman" w:cs="Times New Roman" w:eastAsia="Times New Roman" w:hAnsi="Times New Roman"/>
          <w:sz w:val="18"/>
          <w:szCs w:val="18"/>
          <w:color w:val="auto"/>
        </w:rPr>
        <w:t>. If this Agreement terminates for any reason (excluding expiration under Section 8.1), whether with respect to a particular Oruka Product, particular country or in its entirety, then the following shall apply:</w:t>
      </w:r>
    </w:p>
    <w:p>
      <w:pPr>
        <w:spacing w:after="0" w:line="159" w:lineRule="exact"/>
        <w:rPr>
          <w:sz w:val="20"/>
          <w:szCs w:val="20"/>
          <w:color w:val="auto"/>
        </w:rPr>
      </w:pPr>
    </w:p>
    <w:p>
      <w:pPr>
        <w:jc w:val="both"/>
        <w:ind w:firstLine="1304"/>
        <w:spacing w:after="0" w:line="261" w:lineRule="auto"/>
        <w:tabs>
          <w:tab w:leader="none" w:pos="1533"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licenses and other rights granted by Paragon under this Agreement with respect to the terminated Oruka Product(s) and terminated country(ies) shall terminate, except as required for Oruka, its Affiliates and/or its Sublicensees to perform any of its obligations that survive termination, including to continue to complete or wind down (at [***] expense in the event of a termination by Oruka under Section 8.3) any ongoing clinical trials for any Oruka Product, as may be required by Applicable Law or ethical principles.</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 days after the effective date of such termination, each Party shall return or cause to be returned to the other Party, or destroy, all Confidential Information received from the other Party and all copies thereof related to the terminated Oruka Product(s) in the terminated country(ies);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each Party may retain any Confidential Information reasonably necessary for such Party’s ongoing obligations and rights under this Agreement which do not terminate, and each Party may keep one (1) copy of Confidential Information received from the other Party in its confidential files for record purposes and such copy shall remain subject to Article VI of this Agreement.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Paragon’s written request to Oruka (which must be provided to Oruka within [***] days after the effective date of termination), Paragon and Oruka shall [***] discuss [***], for a period of up to [***] days following such written request, terms and conditions under which Oruka may be willing to grant to Paragon [***], [***] license under the Oruka Intellectual Property to Develop, Manufacture, Commercialize or otherwise exploit the terminated Oruka Products in the Field in the terminated countries that were the subject of any Development, Manufacturing or Commercialization activities performed by Oruka or its Affiliates under this Agreement prior to such termination, (“</w:t>
      </w:r>
      <w:r>
        <w:rPr>
          <w:rFonts w:ascii="Times New Roman" w:cs="Times New Roman" w:eastAsia="Times New Roman" w:hAnsi="Times New Roman"/>
          <w:sz w:val="18"/>
          <w:szCs w:val="18"/>
          <w:b w:val="1"/>
          <w:bCs w:val="1"/>
          <w:color w:val="auto"/>
        </w:rPr>
        <w:t>Reversion Products</w:t>
      </w:r>
      <w:r>
        <w:rPr>
          <w:rFonts w:ascii="Times New Roman" w:cs="Times New Roman" w:eastAsia="Times New Roman" w:hAnsi="Times New Roman"/>
          <w:sz w:val="18"/>
          <w:szCs w:val="18"/>
          <w:color w:val="auto"/>
        </w:rPr>
        <w:t>”), as well as the potential transfer of materials, ongoing clinical trials, and applicable regulatory filings and relevant data generated by Oruka with respect to the Reversion Products and necessary for the continued Development, Manufacture, Commercialization and exploitation of such Reversion Products, such agreement to include commercially reasonable financial and other terms, which terms shall take into consideration Oruka’s contributions made in the Development, Manufacture, Commercialization and other exploitation of the Reversion Products, provided, that Oruka is under no obligation to enter into such license.</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b w:val="1"/>
          <w:bCs w:val="1"/>
          <w:color w:val="auto"/>
        </w:rPr>
        <w:t>Survival of Sublicenses</w:t>
      </w:r>
      <w:r>
        <w:rPr>
          <w:rFonts w:ascii="Times New Roman" w:cs="Times New Roman" w:eastAsia="Times New Roman" w:hAnsi="Times New Roman"/>
          <w:sz w:val="18"/>
          <w:szCs w:val="18"/>
          <w:color w:val="auto"/>
        </w:rPr>
        <w:t>. Upon termination of this Agreement, at the written request of any Sublicensee who is not then in breach of its sublicense agreement, such sublicense agreement will survive such termination of this Agreement, and Paragon will negotiate [***] the terms and conditions of a direct license with such Sublicensee that is consistent with the terms of this Agreement (as adjusted for the scope of license, products, field of use and other provisions of the original sublicense). Each sublicense that may be amended to become a direct license between Paragon and a Sublicensee shall ensure that any and all economic rights, payments or benefits due to Oruka will be preserved and payable to Oruka and will designate Oruka a third-party beneficiary to enforce such rights. In each such instance, Oruka will have the right to review and approve the terms of such agreement between Paragon and such Sublicensee as related to Oruka’s economic rights, which approval shall not be unreasonably withheld, conditioned or delayed.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7" w:name="page228"/>
    <w:bookmarkEnd w:id="22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b w:val="1"/>
          <w:bCs w:val="1"/>
          <w:color w:val="auto"/>
        </w:rPr>
        <w:t>Accrued Rights; Survival</w:t>
      </w:r>
      <w:r>
        <w:rPr>
          <w:rFonts w:ascii="Times New Roman" w:cs="Times New Roman" w:eastAsia="Times New Roman" w:hAnsi="Times New Roman"/>
          <w:sz w:val="18"/>
          <w:szCs w:val="18"/>
          <w:color w:val="auto"/>
        </w:rPr>
        <w:t>. The expiration or termination of this Agreement for any reason shall not release either Party from any liability or obligation that, at the time of such expiration or termination, has already accrued to the other Party or that is attributable to a period prior to such expiration or termination, nor will expiration or any termination of this Agreement preclude either Party from pursuing all rights and remedies it may have under this Agreement, or at law or in equity, with respect to breach of this Agreement. In the event of expiration or any termination of this Agreement, the following provisions of this Agreement shall survive such expiration or termination in accordance with their respective terms and conditions: Article I (Definitions); Section 2.1 (License Grant from Paragon) (upon expiration (but not termination) of this Agreement as set forth in Section 8.1 (Term)); Section 2.3 (Sublicenses) (with respect to any payments or other performance obligations prior to conversion (if any) to a direct license pursuant to Section 8.6); Section 2.4 (No Implied Licenses; Reservation of Rights); Section 4.1 (Milestone Payments) (with respect to any outstanding payment obligations incurred prior to the date of termination or expiration); Section 4.2 (Royalties) (with respect to any outstanding payments accrued prior to the effective date of termination); Section 4.4 (Payment Reports) (with respect to the last Calendar Quarter of the Term to the extent not already reported and any outstanding payment obligation with respect to any royalty payments accrued prior to the date of termination or expiration); Section 4.5 (Payment Method) to 4.9 (Blocked Currency) (for the duration of any outstanding payment obligations under this Agreement); Section 4.10 (Records; Inspection) (for the duration set forth therein); Section 5.1 (Ownership); Section 7.5 (Disclaimer of Warranties); Article VI (Protection of Confidential Information) (for the duration set forth therein); Section 8.5 (Effect of Termination of this Agreement); Section 8.6 (Survival of Sublicenses); Section 8.7 (Accrued Rights; Survival); Article IX (Indemnification); and Article X (Miscellaneous).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color w:val="auto"/>
        </w:rPr>
        <w:t>By Oruka</w:t>
      </w:r>
      <w:r>
        <w:rPr>
          <w:rFonts w:ascii="Times New Roman" w:cs="Times New Roman" w:eastAsia="Times New Roman" w:hAnsi="Times New Roman"/>
          <w:sz w:val="18"/>
          <w:szCs w:val="18"/>
          <w:color w:val="auto"/>
        </w:rPr>
        <w:t>. Oruka hereby agrees to defend, indemnify and hold harmless Paragon, its Affiliates and its or their Representatives (each, an “</w:t>
      </w:r>
      <w:r>
        <w:rPr>
          <w:rFonts w:ascii="Times New Roman" w:cs="Times New Roman" w:eastAsia="Times New Roman" w:hAnsi="Times New Roman"/>
          <w:sz w:val="18"/>
          <w:szCs w:val="18"/>
          <w:b w:val="1"/>
          <w:bCs w:val="1"/>
          <w:color w:val="auto"/>
        </w:rPr>
        <w:t>Paragon Indemnitee</w:t>
      </w:r>
      <w:r>
        <w:rPr>
          <w:rFonts w:ascii="Times New Roman" w:cs="Times New Roman" w:eastAsia="Times New Roman" w:hAnsi="Times New Roman"/>
          <w:sz w:val="18"/>
          <w:szCs w:val="18"/>
          <w:color w:val="auto"/>
        </w:rPr>
        <w:t>”) from and against any and all losses, damages, liabilities, expenses and costs, including reasonable legal expense and attorneys’ fees (collectively,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to which any Paragon Indemnitee may become subject (a) as a result of any claim, demand, action, or other proceeding by any Third Party (“</w:t>
      </w:r>
      <w:r>
        <w:rPr>
          <w:rFonts w:ascii="Times New Roman" w:cs="Times New Roman" w:eastAsia="Times New Roman" w:hAnsi="Times New Roman"/>
          <w:sz w:val="18"/>
          <w:szCs w:val="18"/>
          <w:b w:val="1"/>
          <w:bCs w:val="1"/>
          <w:color w:val="auto"/>
        </w:rPr>
        <w:t>Third Party Claim</w:t>
      </w:r>
      <w:r>
        <w:rPr>
          <w:rFonts w:ascii="Times New Roman" w:cs="Times New Roman" w:eastAsia="Times New Roman" w:hAnsi="Times New Roman"/>
          <w:sz w:val="18"/>
          <w:szCs w:val="18"/>
          <w:color w:val="auto"/>
        </w:rPr>
        <w:t>”) to the extent such Losses result from: (i) the gross negligence, recklessness or willful misconduct of any Oruka Indemnitee in the performance of this Agreement; (ii) Oruka’s breach of any of its representations, warranties or covenants under this Agreement; or (iii) Oruka’s Development, Manufacture and Commercialization of the Oruka Products; and (b) to the extent such Losses result from the termination, suspension, revocation or other loss of any Licensed Antibody Patents as a result of any negligence or breach of this Agreement by Oruka, its Affiliates or Sublicensees, in each case ((a) to (b)), except in each case to the extent that any Losses are attributable to the breach of this Agreement by, or the negligence, recklessness or willful misconduct of, or otherwise indemnifiable by, any Paragon Indemnitee.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8" w:name="page229"/>
    <w:bookmarkEnd w:id="22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color w:val="auto"/>
        </w:rPr>
        <w:t>By Paragon</w:t>
      </w:r>
      <w:r>
        <w:rPr>
          <w:rFonts w:ascii="Times New Roman" w:cs="Times New Roman" w:eastAsia="Times New Roman" w:hAnsi="Times New Roman"/>
          <w:sz w:val="18"/>
          <w:szCs w:val="18"/>
          <w:color w:val="auto"/>
        </w:rPr>
        <w:t>. Paragon hereby agrees to defend, indemnify, and hold harmless Oruka, its Affiliates, and its or their Representatives (each, a “</w:t>
      </w:r>
      <w:r>
        <w:rPr>
          <w:rFonts w:ascii="Times New Roman" w:cs="Times New Roman" w:eastAsia="Times New Roman" w:hAnsi="Times New Roman"/>
          <w:sz w:val="18"/>
          <w:szCs w:val="18"/>
          <w:b w:val="1"/>
          <w:bCs w:val="1"/>
          <w:color w:val="auto"/>
        </w:rPr>
        <w:t>Oruka Indemnitee</w:t>
      </w:r>
      <w:r>
        <w:rPr>
          <w:rFonts w:ascii="Times New Roman" w:cs="Times New Roman" w:eastAsia="Times New Roman" w:hAnsi="Times New Roman"/>
          <w:sz w:val="18"/>
          <w:szCs w:val="18"/>
          <w:color w:val="auto"/>
        </w:rPr>
        <w:t>”) from and against any and all Losses to which any Oruka Indemnitee may become subject (a) as a result of any Third Party Claim to the extent such Losses result from: (i) the gross negligence, recklessness or willful misconduct of any Paragon Indemnitee in the performance of this Agreement; or (ii) Paragon’s breach of any of its representations, warranties or covenants under this Agreement; and (b) to the extent such Losses result from: (i) the termination, suspension, revocation or other loss of any Licensed Antibody Patents as a result of any negligence or breach of this Agreement by Paragon or its Affiliates; or (ii) any claim or demand from any employee or contractor of Paragon or its Affiliates who is an inventor of any Licensed Antibody Patents with respect to ownership thereof, in each case ((a) to (b)), except to the extent that any Losses are attributable to the breach of this Agreement by, or the negligence, recklessness or willful misconduct of, or otherwise indemnifiable by, any Oruka Indemnitee.</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b w:val="1"/>
          <w:bCs w:val="1"/>
          <w:color w:val="auto"/>
        </w:rPr>
        <w:t>Indemnification Procedures</w:t>
      </w:r>
      <w:r>
        <w:rPr>
          <w:rFonts w:ascii="Times New Roman" w:cs="Times New Roman" w:eastAsia="Times New Roman" w:hAnsi="Times New Roman"/>
          <w:sz w:val="18"/>
          <w:szCs w:val="18"/>
          <w:color w:val="auto"/>
        </w:rPr>
        <w:t>. The Party claiming indemnity under this Article IX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will give written notice to the Party from whom indemnity is being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promptly after learning of the Third Party Claim for which indemnity is being sought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xml:space="preserve">”). The Indemnifying Party’s obligation to defend, indemnify and hold harmless pursuant to Section 9.1 or Section 9.2, as applicable, will be reduced to the extent the Indemnified Party’s delay in providing notification pursuant to the previous sentence results in material prejudice to the Indemnifying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by an Indemnified Party to give such notice or otherwise meet its obligations under this Section 9.3 will not relieve the Indemnifying Party of its indemnification obligation under this Agreement. At its option, the Indemnifying Party may assume the defense and have exclusive control, at its own expense, of any Claim for which indemnity is being sought by giving written notice to the Indemnified Party within [***] days after receipt of the notice of the Claim. The Indemnified Party will provide the Indemnifying Party with reasonable assistance, at the Indemnifying Party’s expense, in connection with the defense. The Indemnified Party may participate in and monitor such defense with counsel of its own choosing at its sole expense;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the Indemnifying Party will have the right to assume and conduct the defense of the Claim with counsel of its choice. The Indemnifying Party will not settle any Claim without the prior written consent of the Indemnified Party, not to be unreasonably withheld, unless the settlement involves only the payment of money. The Indemnified Party will not settle any such Claim without the prior written consent of the Indemnifying Party. If the Indemnifying Party does not assume and conduct the defense of the Claim as provided above, (i) the Indemnified Party may defend against, and consent to the entry of any judgment or enter into any settlement with respect to the Claim in any manner the Indemnified Party may deem reasonably appropriate,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Indemnified Party reasonably consults with the Indemnifying Party prior to entering into any settlement, and (ii) the Indemnified Party reserves any right it may have under this Article IX to obtain indemnification from the Indemnifying Party.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9" w:name="page230"/>
    <w:bookmarkEnd w:id="229"/>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b w:val="1"/>
          <w:bCs w:val="1"/>
          <w:color w:val="auto"/>
        </w:rPr>
        <w:t>Limitation of Liability</w:t>
      </w:r>
      <w:r>
        <w:rPr>
          <w:rFonts w:ascii="Times New Roman" w:cs="Times New Roman" w:eastAsia="Times New Roman" w:hAnsi="Times New Roman"/>
          <w:sz w:val="18"/>
          <w:szCs w:val="18"/>
          <w:color w:val="auto"/>
        </w:rPr>
        <w:t>. EXCEPT FOR LIABILITY FOR BREACH OF ARTICLE VI, FOR BREACH OF SECTIONS 2.1 OR 2.2, FOR BREACH OF ANY INTELLECTUAL PROPERTY RIGHTS HELD BY A PARTY, FOR THE FRAUD OR WILLFUL MISCONDUCT OF A PARTY OR FOR INDEMNIFICATION CLAIMS UNDER THIS ARTICLE IX, IN NO EVENT SHALL EITHER PARTY BE ENTITLED TO RECOVER FROM THE OTHER PARTY ANY SPECIAL, INCIDENTAL, CONSEQUENTIAL OR PUNITIVE DAMAGES IN CONNECTION WITH THIS AGREEMENT, EVEN IF THE OTHER PARTY HAD NOTICE OF THE POSSIBILITY OF SUCH DAMAGES.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During the Term and for a period of [***] years thereafter, each Party shall maintain at its expense insurance coverage consistent with normal business practices and adequate to cover the risks associated with its performance of any activities hereunder. Each Party hereby expressly acknowledges and agrees that the maintenance of such insurance coverage shall not relieve it of its obligations under this Agreement.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color w:val="auto"/>
        </w:rPr>
        <w:t>Independent Contractor Relationship</w:t>
      </w:r>
      <w:r>
        <w:rPr>
          <w:rFonts w:ascii="Times New Roman" w:cs="Times New Roman" w:eastAsia="Times New Roman" w:hAnsi="Times New Roman"/>
          <w:sz w:val="18"/>
          <w:szCs w:val="18"/>
          <w:color w:val="auto"/>
        </w:rPr>
        <w:t>. Paragon’s relationship with Oruka is that of an independent contractor, and nothing in this Agreement should be construed to create a partnership, joint venture, or employer-employee relationship. Neither Party is an agent of the other Party or authorized to make any representation, contract, or commitment on behalf of the other Party.</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Neither Party will be charged with any liability for delay or failure in performance of an obligation under this Agreement (other than any obligation to pay monies when due) to the extent such delay or failure is due to a cause beyond the reasonable control of the affected Party, such as war, riots, labor disturbances, epidemic, pandemic, fire, explosion, and compliance in good faith with any Applicable Law (in each case, a “</w:t>
      </w:r>
      <w:r>
        <w:rPr>
          <w:rFonts w:ascii="Times New Roman" w:cs="Times New Roman" w:eastAsia="Times New Roman" w:hAnsi="Times New Roman"/>
          <w:sz w:val="18"/>
          <w:szCs w:val="18"/>
          <w:b w:val="1"/>
          <w:bCs w:val="1"/>
          <w:color w:val="auto"/>
        </w:rPr>
        <w:t>Force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Majeure</w:t>
      </w:r>
      <w:r>
        <w:rPr>
          <w:rFonts w:ascii="Times New Roman" w:cs="Times New Roman" w:eastAsia="Times New Roman" w:hAnsi="Times New Roman"/>
          <w:sz w:val="18"/>
          <w:szCs w:val="18"/>
          <w:color w:val="auto"/>
        </w:rPr>
        <w:t>”). In addition, a Force Majeure event may include reasonable measures affirmatively taken by a Party or its Affiliates to respond to the COVID-19 pandemic or any other pandemic (or other Force Majeure event), such as requiring employees to stay home, closures of facilities, delays of clinical trials, or cessation of activities in response to the pandemic. The Party affected by a Force Majeure will give prompt written notice to the other Party of the nature of the cause of any material delay or failure to perform, its anticipated duration and any action being taken to avoid or minimize the effect. The Party affected will use its diligent efforts to avoid or remove such causes of delay or failure to perform and to mitigate the effect of such occurrence, and will continue performance in accordance with the terms of this Agreement whenever such causes are removed. The Party affected will give prompt written notice to the other Party of such resumed performance.</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b w:val="1"/>
          <w:bCs w:val="1"/>
          <w:color w:val="auto"/>
        </w:rPr>
        <w:t>Entire Agreement; Amendment</w:t>
      </w:r>
      <w:r>
        <w:rPr>
          <w:rFonts w:ascii="Times New Roman" w:cs="Times New Roman" w:eastAsia="Times New Roman" w:hAnsi="Times New Roman"/>
          <w:sz w:val="18"/>
          <w:szCs w:val="18"/>
          <w:color w:val="auto"/>
        </w:rPr>
        <w:t>. This Agreement and the Option Agreement, together with all Exhibits attached hereto, constitutes the final, complete, and exclusive agreement of the Parties with respect to the subject matter hereof and supersedes all prior and contemporaneous understandings and agreements, relating to its subject matter. This Agreement (including its Exhibits) may not be changed, modified, amended, or supplemented except by a written instrument signed by both Parties.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0" w:name="page231"/>
    <w:bookmarkEnd w:id="230"/>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b w:val="1"/>
          <w:bCs w:val="1"/>
          <w:color w:val="auto"/>
        </w:rPr>
        <w:t>Non-Waiver</w:t>
      </w:r>
      <w:r>
        <w:rPr>
          <w:rFonts w:ascii="Times New Roman" w:cs="Times New Roman" w:eastAsia="Times New Roman" w:hAnsi="Times New Roman"/>
          <w:sz w:val="18"/>
          <w:szCs w:val="18"/>
          <w:color w:val="auto"/>
        </w:rPr>
        <w:t>. The failure of a Party to insist upon strict performance of any provision of this Agreement or to exercise any right arising out of this Agreement shall neither impair that provision or right nor constitute a waiver of that provision or right, in whole or in part, in that instance or in any other instance. Any waiver by a Party of a particular provision or right shall be in writing, shall be as to a particular matter and, if applicable, for a particular period of time and shall be signed by such Party.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Should one or more of the provisions of this Agreement become void or unenforceable as a matter of Applicable Law, then this Agreement shall be construed as if such provision were not contained herein and the remainder of this Agreement shall be in full force and effect, and the Parties will use their best efforts to substitute for the invalid or unenforceable provision a valid and enforceable provision which conforms as nearly as possible with the original intent of the Parties.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xml:space="preserve">. Neither this Agreement nor any rights or obligations hereunder may be assigned by either Party without the prior written consent of the other Party (which consent shall not be unreasonably withheld);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Paragon may assign to an Affiliate or a Third Party financing source its rights to receive some or all of the payments payable hereunder together with the right to receive Confidential Information of Oruka,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Paragon shall not be permitted to share Oruka Confidential Information unless and except to the extent necessary to obtain Affiliate or Third-Party financing, </w:t>
      </w:r>
      <w:r>
        <w:rPr>
          <w:rFonts w:ascii="Times New Roman" w:cs="Times New Roman" w:eastAsia="Times New Roman" w:hAnsi="Times New Roman"/>
          <w:sz w:val="18"/>
          <w:szCs w:val="18"/>
          <w:i w:val="1"/>
          <w:iCs w:val="1"/>
          <w:color w:val="auto"/>
        </w:rPr>
        <w:t>provided, further, that</w:t>
      </w:r>
      <w:r>
        <w:rPr>
          <w:rFonts w:ascii="Times New Roman" w:cs="Times New Roman" w:eastAsia="Times New Roman" w:hAnsi="Times New Roman"/>
          <w:sz w:val="18"/>
          <w:szCs w:val="18"/>
          <w:color w:val="auto"/>
        </w:rPr>
        <w:t xml:space="preserve"> any such Affiliate or Third Party agrees to be bound by obligations of confidentiality and non-use at least as restrictive as those set forth in Article VI; and (b) either Party may assign this Agreement and its rights and obligations hereunder without the other Party’s consent to (i) its Affiliates or (ii) its successor to all or substantially all of the business of such Party to which this Agreement relates, whether by merger, sale of stock, sale of assets or otherwise. The assigning Party shall provide the other Party with prompt written notice of any such assignment set forth in clauses (a) and (b) above. Except for an assignment pursuant to clause (a) above, the rights and obligations of the Parties under this Agreement shall be binding upon and inure to the benefit of the successors and permitted assigns of the Parties, and the name of a Party appearing herein will be deemed to include the name of such Party’s successors and permitted assigns to the extent necessary to carry out the intent of this section. Any assignment not in accordance with this Agreement shall be void.</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b w:val="1"/>
          <w:bCs w:val="1"/>
          <w:color w:val="auto"/>
        </w:rPr>
        <w:t>Dispute Resolution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304"/>
        <w:spacing w:after="0" w:line="258" w:lineRule="auto"/>
        <w:tabs>
          <w:tab w:leader="none" w:pos="155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recognize that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dispute as to certain matters may arise from time to time during the Term relating to either Party’s rights or obligations hereunder or otherwise relating to the validity, enforceability or performance of this Agreement, including disputes relating to alleged breach or termination of this Agreement but excluding any disputes relating to Article VI or disputes relating to the determination of the validity, scope, infringement, enforceability, inventorship or ownership of the Parties’ respective Intellectual Property Rights (hereinafter,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In the event of the occurrence of any Dispute, the Parties will follow the following procedures in an attempt to resolve the dispute or disagreement:</w:t>
      </w:r>
    </w:p>
    <w:p>
      <w:pPr>
        <w:spacing w:after="0" w:line="181" w:lineRule="exact"/>
        <w:rPr>
          <w:rFonts w:ascii="Times New Roman" w:cs="Times New Roman" w:eastAsia="Times New Roman" w:hAnsi="Times New Roman"/>
          <w:sz w:val="18"/>
          <w:szCs w:val="18"/>
          <w:color w:val="auto"/>
        </w:rPr>
      </w:pPr>
    </w:p>
    <w:p>
      <w:pPr>
        <w:jc w:val="both"/>
        <w:ind w:firstLine="1952"/>
        <w:spacing w:after="0" w:line="268" w:lineRule="auto"/>
        <w:tabs>
          <w:tab w:leader="none" w:pos="2172"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claiming that such a Dispute exists will give notice in writing (a “</w:t>
      </w:r>
      <w:r>
        <w:rPr>
          <w:rFonts w:ascii="Times New Roman" w:cs="Times New Roman" w:eastAsia="Times New Roman" w:hAnsi="Times New Roman"/>
          <w:sz w:val="18"/>
          <w:szCs w:val="18"/>
          <w:b w:val="1"/>
          <w:bCs w:val="1"/>
          <w:color w:val="auto"/>
        </w:rPr>
        <w:t>Notice of Dispute</w:t>
      </w:r>
      <w:r>
        <w:rPr>
          <w:rFonts w:ascii="Times New Roman" w:cs="Times New Roman" w:eastAsia="Times New Roman" w:hAnsi="Times New Roman"/>
          <w:sz w:val="18"/>
          <w:szCs w:val="18"/>
          <w:color w:val="auto"/>
        </w:rPr>
        <w:t>”) to the other Party of the nature of the Dispute. The Dispute will be referred to the then Chief Executive Officer of Paragon and the then Chief Executive Officer of Oruka who will meet no later than [***] days following the initial receipt of the Notice of Dispute and use reasonable endeavors to resolve the Dispute.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1" w:name="page232"/>
    <w:bookmarkEnd w:id="231"/>
    <w:p>
      <w:pPr>
        <w:jc w:val="both"/>
        <w:ind w:firstLine="1952"/>
        <w:spacing w:after="0" w:line="258" w:lineRule="auto"/>
        <w:tabs>
          <w:tab w:leader="none" w:pos="2218"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 days of initial receipt of the Notice of Dispute, the Dispute has not been resolved, or if, for any reason, the meeting described in Section 10.7(a)(i) hereof has not been held within [***] days of initial receipt of the Notice of Dispute, then the Parties agree that such Dispute will be finally resolved through binding arbitration to be administered by JAMS pursuant to its Comprehensive Arbitration Rules and Procedures and in accordance with the Expedited Procedures in those Rules (the “</w:t>
      </w:r>
      <w:r>
        <w:rPr>
          <w:rFonts w:ascii="Times New Roman" w:cs="Times New Roman" w:eastAsia="Times New Roman" w:hAnsi="Times New Roman"/>
          <w:sz w:val="18"/>
          <w:szCs w:val="18"/>
          <w:b w:val="1"/>
          <w:bCs w:val="1"/>
          <w:color w:val="auto"/>
        </w:rPr>
        <w:t>JAMS Rules</w:t>
      </w:r>
      <w:r>
        <w:rPr>
          <w:rFonts w:ascii="Times New Roman" w:cs="Times New Roman" w:eastAsia="Times New Roman" w:hAnsi="Times New Roman"/>
          <w:sz w:val="18"/>
          <w:szCs w:val="18"/>
          <w:color w:val="auto"/>
        </w:rPr>
        <w:t>”), as specifically modified by the provisions of this Section 10.7(a)(ii) and Section 10.7(a)(iii).</w:t>
      </w:r>
    </w:p>
    <w:p>
      <w:pPr>
        <w:spacing w:after="0" w:line="183"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56"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arbitration will be conducted by a panel of three arbitrators. Within [***] days after the initiation of the arbitration, each Party will nominate one person to act as arbitrator, and the two arbitrators so named will then jointly appoint the third arbitrator within [***] days of their appointment, who will serve as chairman of the panel. All three arbitrators must be independent Third Parties having at least [***] years of dispute resolution experience (which may include judicial experience) or legal or business experience in the biotech or pharmaceutical industry. If either Party fails to nominate its arbitrator, or if the arbitrators selected by the Parties cannot agree on a person to be named as chairman within such [***]-day period, JAMS will make the necessary appointments for such arbitrator(s) or the chairman. Once appointed by a Party, such Party will have no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communication with its appointed arbitrator.</w:t>
      </w:r>
    </w:p>
    <w:p>
      <w:pPr>
        <w:spacing w:after="0" w:line="188" w:lineRule="exact"/>
        <w:rPr>
          <w:rFonts w:ascii="Times New Roman" w:cs="Times New Roman" w:eastAsia="Times New Roman" w:hAnsi="Times New Roman"/>
          <w:sz w:val="18"/>
          <w:szCs w:val="18"/>
          <w:color w:val="auto"/>
        </w:rPr>
      </w:pPr>
    </w:p>
    <w:p>
      <w:pPr>
        <w:ind w:firstLine="1952"/>
        <w:spacing w:after="0" w:line="282" w:lineRule="auto"/>
        <w:tabs>
          <w:tab w:leader="none" w:pos="2266"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10.7(a)(iii), if the Dispute involves an amount in question of less than $[***], then the arbitration will be conducted by one arbitrator, selected in accordance with the JAMS Rules.</w:t>
      </w:r>
    </w:p>
    <w:p>
      <w:pPr>
        <w:spacing w:after="0" w:line="161" w:lineRule="exact"/>
        <w:rPr>
          <w:rFonts w:ascii="Times New Roman" w:cs="Times New Roman" w:eastAsia="Times New Roman" w:hAnsi="Times New Roman"/>
          <w:sz w:val="18"/>
          <w:szCs w:val="18"/>
          <w:color w:val="auto"/>
        </w:rPr>
      </w:pPr>
    </w:p>
    <w:p>
      <w:pPr>
        <w:jc w:val="both"/>
        <w:ind w:firstLine="1952"/>
        <w:spacing w:after="0" w:line="256" w:lineRule="auto"/>
        <w:tabs>
          <w:tab w:leader="none" w:pos="2227"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place of arbitration will be in Boston, Massachusetts or such other venue as the Parties may mutually agree. The arbitration proceedings and all communications with respect thereto will be in English. Any written evidence originally in another language will be submitted in English translation accompanied by the original or a true copy thereof. The arbitrator(s) shall have the power to decide all matters in Dispute, including any questions of whether or not such matters are subject to arbitration hereunder. The arbitration will be governed by the Federal Arbitration Act, 9 U.S.C.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judgment upon the award rendered by the arbitrators may be entered in any court having competent jurisdiction thereof. The existence, content and results of any arbitration proceedings pursuant to this Section 10.7 will be deemed the Confidential Information of both Parties.</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either Party may immediately initiate litigation in any court of competent jurisdiction seeking any remedy at law or in equity, including the issuance of a preliminary, temporary or permanent injunction, to preserve or enforce its rights under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3"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any disputes relating to Article VI or disputes relating to the determination of the validity, scope, infringement, enforceability, inventorship or ownership of the Parties’ respective Intellectual Property Rights shall be subject to the exclusive jurisdiction of the state and federal courts in Boston, Massachusetts and each Party hereby submits to such jurisdiction.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2" w:name="page233"/>
    <w:bookmarkEnd w:id="232"/>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Commonwealth of Massachusetts without reference to conflicts of laws principles.</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Any notice to be given under this Agreement must be in writing and delivered either in person, by internationally recognized express courier, or by email, to the Party to be notified at its address(es) given below, or at any address such Party has previously designated by prior written notice to the other. Notice shall be deemed sufficiently given for all purposes upon the earliest of: (a) the date of actual receipt; (b) if delivered by express courier, the next Business Day the express courier regularly makes deliveries; or (c) if delivered by email, upon the date upon which the receipt of such email is confirmed by return email. Together with any notice provided by a Party to the other Party in accordance with this Section 10.9, the Party shall send a copy of such notice by email to the other Party.</w:t>
      </w:r>
    </w:p>
    <w:p>
      <w:pPr>
        <w:sectPr>
          <w:pgSz w:w="11900" w:h="16838" w:orient="portrait"/>
          <w:cols w:equalWidth="0" w:num="1">
            <w:col w:w="11240"/>
          </w:cols>
          <w:pgMar w:left="320" w:top="900" w:right="339" w:bottom="1440" w:gutter="0" w:footer="0" w:header="0"/>
        </w:sectPr>
      </w:pPr>
    </w:p>
    <w:p>
      <w:pPr>
        <w:spacing w:after="0" w:line="1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If to Paragon:</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Paragon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221 Crescent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23, Suite 105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Waltham, MA 02453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Chief Operating Officer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1800" w:space="460"/>
            <w:col w:w="8980"/>
          </w:cols>
          <w:pgMar w:left="320" w:top="900" w:right="339" w:bottom="1440" w:gutter="0" w:footer="0" w:header="0"/>
          <w:type w:val="continuous"/>
        </w:sectPr>
      </w:pPr>
    </w:p>
    <w:p>
      <w:pPr>
        <w:spacing w:after="0" w:line="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If to Oruka: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Oruka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855 Oak Grove Avenue, Suite 100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1660" w:space="600"/>
            <w:col w:w="8980"/>
          </w:cols>
          <w:pgMar w:left="320" w:top="900" w:right="339" w:bottom="1440" w:gutter="0" w:footer="0" w:header="0"/>
          <w:type w:val="continuous"/>
        </w:sectPr>
      </w:pPr>
    </w:p>
    <w:p>
      <w:pPr>
        <w:spacing w:after="0" w:line="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b w:val="1"/>
          <w:bCs w:val="1"/>
          <w:color w:val="auto"/>
        </w:rPr>
        <w:t>Interpretation</w:t>
      </w:r>
      <w:r>
        <w:rPr>
          <w:rFonts w:ascii="Times New Roman" w:cs="Times New Roman" w:eastAsia="Times New Roman" w:hAnsi="Times New Roman"/>
          <w:sz w:val="18"/>
          <w:szCs w:val="18"/>
          <w:color w:val="auto"/>
        </w:rPr>
        <w:t>. Except where the context expressly requires otherwise, (a) the use of any gender herein shall be deemed to encompass references to either or both genders, and the use of the singular shall be deemed to include the plural (and vice versa), (b) the words “include”, “includes” and “including” shall be deemed to be followed by the phrase “without limitation”, (c) the word “will” shall be construed to have the same meaning and effect as the word “shall”, (d)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(e) any reference herein to any person or entity shall be construed to include such person’s or entity’s successors and assigns, (f) the words “herein”, “hereof” and “hereunder”, and words of similar import, shall be construed to refer to this Agreement in its entirety and not to any particular provision hereof, (g) all references herein to Sections or Exhibits shall be construed to refer to Sections or Exhibits of this Agreement, and references to this Agreement include all Exhibits hereto, (h) the word “notice” means notice in writing (whether or not specifically stated) and shall include notices, consents, approvals and other written communications contemplated under this Agreement, (i) provisions that require that a Party, the Parties or any committee hereunder “agree,” “consent” or “approve” or the like shall require that such agreement, consent or approval be specific and in writing, whether by written agreement, letter, approved minutes or otherwise (but excluding e-mail and instant messaging), (j) references to any specific law, or article, section or other division thereof, shall be deemed to include the then-current amendments thereto or any replacement or successor law thereof, and (k) the term “or” shall be interpreted in the inclusive sense commonly associated with the term “or.” The headings of clauses contained in this Agreement preceding the text of the sections, subsections and paragraphs hereof are inserted solely for convenience and ease of reference only and shall not constitute any part of this Agreement or have any effect on its interpretation or construction. Ambiguities and uncertainties in this Agreement, if any, shall not be interpreted against either Party, irrespective of which Party may be deemed to have caused the ambiguity or uncertainty to exist. This Agreement has been prepared in the English language, and the English language shall control its interpretation. In addition, all notices required or permitted to be given hereunder, and all written, electronic, oral, or other communications between the Parties regarding this Agreement shall be in the English language. To the extent there is any inconsistency or conflict between the terms and conditions of this Agreement and any Exhibit, the terms and conditions of this Agreement will prevail.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33" w:name="page234"/>
    <w:bookmarkEnd w:id="233"/>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b w:val="1"/>
          <w:bCs w:val="1"/>
          <w:color w:val="auto"/>
        </w:rPr>
        <w:t>No Third-Party Rights</w:t>
      </w:r>
      <w:r>
        <w:rPr>
          <w:rFonts w:ascii="Times New Roman" w:cs="Times New Roman" w:eastAsia="Times New Roman" w:hAnsi="Times New Roman"/>
          <w:sz w:val="18"/>
          <w:szCs w:val="18"/>
          <w:color w:val="auto"/>
        </w:rPr>
        <w:t>. The provisions of this Agreement are for the exclusive benefit of the Parties and their successors and permitted assigns, and no other person shall have any right or claim against any Party by reason of these provisions or be entitled to enforce any of these provisions against any Party.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document, and all of which, together with this writing, shall be deemed one instrument. This Agreement may be executed by facsimile or PDF signatures, or electronic signatures complying with the ESIGN Act of 2000 (such as DocuSign), which signatures shall have the same force and effect as original signatures.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Each Party shall pay its own costs, charges and expenses incurred in connection with the negotiation, preparation and completion of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b w:val="1"/>
          <w:bCs w:val="1"/>
          <w:color w:val="auto"/>
        </w:rPr>
        <w:t>Binding Effect</w:t>
      </w:r>
      <w:r>
        <w:rPr>
          <w:rFonts w:ascii="Times New Roman" w:cs="Times New Roman" w:eastAsia="Times New Roman" w:hAnsi="Times New Roman"/>
          <w:sz w:val="18"/>
          <w:szCs w:val="18"/>
          <w:color w:val="auto"/>
        </w:rPr>
        <w:t>. This Agreement shall be binding upon and inure to the benefit of the Parties and their respective legal representatives, successors and permitted assigns.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b w:val="1"/>
          <w:bCs w:val="1"/>
          <w:color w:val="auto"/>
        </w:rPr>
        <w:t>Construction</w:t>
      </w:r>
      <w:r>
        <w:rPr>
          <w:rFonts w:ascii="Times New Roman" w:cs="Times New Roman" w:eastAsia="Times New Roman" w:hAnsi="Times New Roman"/>
          <w:sz w:val="18"/>
          <w:szCs w:val="18"/>
          <w:color w:val="auto"/>
        </w:rPr>
        <w:t>. The Parties hereto acknowledge and agree that: (a) each Party and its counsel reviewed and negotiated the terms and provisions of this Agreement and have contributed to its revision; (b) the rule of construction to the effect that any ambiguities are resolved against the drafting Party shall not be employed in the interpretation of this Agreement; and (c) the terms and provisions of this Agreement shall be construed fairly as to all Parties hereto and not in a favor of or against any Party, regardless of which Party was generally responsible for the preparation of this Agreement.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b w:val="1"/>
          <w:bCs w:val="1"/>
          <w:color w:val="auto"/>
        </w:rPr>
        <w:t>Cumulative Remedies</w:t>
      </w:r>
      <w:r>
        <w:rPr>
          <w:rFonts w:ascii="Times New Roman" w:cs="Times New Roman" w:eastAsia="Times New Roman" w:hAnsi="Times New Roman"/>
          <w:sz w:val="18"/>
          <w:szCs w:val="18"/>
          <w:color w:val="auto"/>
        </w:rPr>
        <w:t>. No remedy referred to in this Agreement is intended to be exclusive unless explicitly stated to be so, but each shall be cumulative and in addition to any other remedy referred to in this Agreement or otherwise available under law.</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b w:val="1"/>
          <w:bCs w:val="1"/>
          <w:color w:val="auto"/>
        </w:rPr>
        <w:t>Performance by Affiliates</w:t>
      </w:r>
      <w:r>
        <w:rPr>
          <w:rFonts w:ascii="Times New Roman" w:cs="Times New Roman" w:eastAsia="Times New Roman" w:hAnsi="Times New Roman"/>
          <w:sz w:val="18"/>
          <w:szCs w:val="18"/>
          <w:color w:val="auto"/>
        </w:rPr>
        <w:t>. A Party may perform some or all of its obligations under this Agreement through Affiliate(s) or may exercise some or all of its rights under this Agreement through Affiliates, subject to the terms of this Agreement. However, each Party shall remain responsible and be guarantor of the performance by its Affiliates and shall cause its Affiliates to comply with the provisions of this Agreement in connection with such performance as if such Party were performing such obligations itself, and references to a Party in this Agreement shall be deemed to also reference such Affiliate. In particular and without limitation, all Affiliates of a Party that receive Confidential Information of the other Party pursuant to this Agreement shall be governed and bound by all obligations set forth in Article VI</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shall be subject to the intellectual property provisions of Article V as if they were the original Party to this Agreement (and be deemed included in the actual Party to this Agreement for purposes of all intellectual property-related definitions). A Party and its Affiliates shall be jointly and severally liable for their performance under this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Left Intentionally Blank; 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4" w:name="page235"/>
    <w:bookmarkEnd w:id="234"/>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by duly authorized persons executed this Agreement as of the Effective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aragon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ruka</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 Evan Thompson</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Lawrence Klein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 Evan Thompson</w:t>
            </w:r>
          </w:p>
        </w:tc>
        <w:tc>
          <w:tcPr>
            <w:tcW w:w="2800" w:type="dxa"/>
            <w:vAlign w:val="bottom"/>
          </w:tcPr>
          <w:p>
            <w:pPr>
              <w:ind w:left="2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Lawrence Klein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8"/>
          <w:szCs w:val="18"/>
          <w:b w:val="1"/>
          <w:bCs w:val="1"/>
          <w:color w:val="auto"/>
        </w:rPr>
        <w:t>Exhibit 10.31</w:t>
      </w:r>
    </w:p>
    <w:p>
      <w:pPr>
        <w:spacing w:after="0" w:line="225" w:lineRule="exact"/>
        <w:rPr>
          <w:sz w:val="20"/>
          <w:szCs w:val="20"/>
          <w:color w:val="auto"/>
        </w:rPr>
      </w:pPr>
    </w:p>
    <w:p>
      <w:pPr>
        <w:ind w:left="320" w:right="320" w:firstLine="106"/>
        <w:spacing w:after="0" w:line="278" w:lineRule="auto"/>
        <w:tabs>
          <w:tab w:leader="none" w:pos="857" w:val="left"/>
        </w:tabs>
        <w:numPr>
          <w:ilvl w:val="0"/>
          <w:numId w:val="1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 MATERIAL AND (II) IS THE TYPE THAT THE REGISTRANT TREATS AS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PRIVATE OR CONFIDENTIAL.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IL-23 LICENSE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icense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and effective as of December 17, 2024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Paragon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Therapeutics, Inc., a Delaware corporation (“</w:t>
      </w:r>
      <w:r>
        <w:rPr>
          <w:rFonts w:ascii="Times New Roman" w:cs="Times New Roman" w:eastAsia="Times New Roman" w:hAnsi="Times New Roman"/>
          <w:sz w:val="18"/>
          <w:szCs w:val="18"/>
          <w:b w:val="1"/>
          <w:bCs w:val="1"/>
          <w:color w:val="auto"/>
        </w:rPr>
        <w:t>Paragon</w:t>
      </w:r>
      <w:r>
        <w:rPr>
          <w:rFonts w:ascii="Times New Roman" w:cs="Times New Roman" w:eastAsia="Times New Roman" w:hAnsi="Times New Roman"/>
          <w:sz w:val="18"/>
          <w:szCs w:val="18"/>
          <w:color w:val="auto"/>
        </w:rPr>
        <w:t>”), and Oruka Therapeutics, Inc., a Delaware corporation (“</w:t>
      </w:r>
      <w:r>
        <w:rPr>
          <w:rFonts w:ascii="Times New Roman" w:cs="Times New Roman" w:eastAsia="Times New Roman" w:hAnsi="Times New Roman"/>
          <w:sz w:val="18"/>
          <w:szCs w:val="18"/>
          <w:b w:val="1"/>
          <w:bCs w:val="1"/>
          <w:color w:val="auto"/>
        </w:rPr>
        <w:t>Oruka</w:t>
      </w:r>
      <w:r>
        <w:rPr>
          <w:rFonts w:ascii="Times New Roman" w:cs="Times New Roman" w:eastAsia="Times New Roman" w:hAnsi="Times New Roman"/>
          <w:sz w:val="18"/>
          <w:szCs w:val="18"/>
          <w:color w:val="auto"/>
        </w:rPr>
        <w:t>”). Paragon and Oruka are also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or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Paragon has developed a proprietary platform technology for the discovery and development of antibodies against therapeutically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relevant targets;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pursuant to that certain Amended and Restated Antibody Discovery and Option Agreement by and among Paragon, Oruka and Paruka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Holding, LLC, a Delaware limited liability company, dated as of March 28, 2024 (as such agreement may be further amended from time to time, the “</w:t>
      </w:r>
      <w:r>
        <w:rPr>
          <w:rFonts w:ascii="Times New Roman" w:cs="Times New Roman" w:eastAsia="Times New Roman" w:hAnsi="Times New Roman"/>
          <w:sz w:val="18"/>
          <w:szCs w:val="18"/>
          <w:b w:val="1"/>
          <w:bCs w:val="1"/>
          <w:color w:val="auto"/>
        </w:rPr>
        <w:t>Option Agreement</w:t>
      </w:r>
      <w:r>
        <w:rPr>
          <w:rFonts w:ascii="Times New Roman" w:cs="Times New Roman" w:eastAsia="Times New Roman" w:hAnsi="Times New Roman"/>
          <w:sz w:val="18"/>
          <w:szCs w:val="18"/>
          <w:color w:val="auto"/>
        </w:rPr>
        <w:t>”), Oruka has engaged Paragon to identify, evaluate and develop one or more antibody candidates directed to certain therapeutic targets and has been granted an exclusive option to enter into one or more separate license agreements to develop, manufacture and commercialize the resulting antibodies with respect to a given target;</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Oruka has exercised such option with respect to the Licensed Target (as defined below), and the Parties desire to memorialize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exclusive license from Paragon to Oruka with respect to such Licensed Target, all on the terms and subject to the conditions set forth in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the foregoing premises and the mutual covenants contained herein and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the Parties, intending to be legally bound,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initially capitalized terms have the following meanings (and derivative forms of them shall be interpreted accordingly):</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Achievement of Development Candidate</w:t>
      </w:r>
      <w:r>
        <w:rPr>
          <w:rFonts w:ascii="Times New Roman" w:cs="Times New Roman" w:eastAsia="Times New Roman" w:hAnsi="Times New Roman"/>
          <w:sz w:val="18"/>
          <w:szCs w:val="18"/>
          <w:color w:val="auto"/>
        </w:rPr>
        <w:t>” means the first to occur of: (a) nomination by Oruka’s Board of Directors of an Oruka Product as a “Development Candidate”; and (b) the initiation by or on behalf of Oruka or its Affiliate or Sublicensee of a toxicology study with respect to an Oruka Product that employs applicable then-current good laboratory practice standards, the results of which are intended to be submitted as part of an 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6" w:name="page237"/>
    <w:bookmarkEnd w:id="236"/>
    <w:p>
      <w:pPr>
        <w:ind w:left="66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color w:val="auto"/>
        </w:rPr>
        <w:t>Acquired Program</w:t>
      </w:r>
      <w:r>
        <w:rPr>
          <w:rFonts w:ascii="Times New Roman" w:cs="Times New Roman" w:eastAsia="Times New Roman" w:hAnsi="Times New Roman"/>
          <w:sz w:val="18"/>
          <w:szCs w:val="18"/>
          <w:color w:val="auto"/>
        </w:rPr>
        <w:t>” has the meaning set forth in Section 2.2(c).</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color w:val="auto"/>
        </w:rPr>
        <w:t>Acquiring Entity</w:t>
      </w:r>
      <w:r>
        <w:rPr>
          <w:rFonts w:ascii="Times New Roman" w:cs="Times New Roman" w:eastAsia="Times New Roman" w:hAnsi="Times New Roman"/>
          <w:sz w:val="18"/>
          <w:szCs w:val="18"/>
          <w:color w:val="auto"/>
        </w:rPr>
        <w:t>” means, collectively, the Third Party referenced in the definition of Change of Control and such Third Party’s Affiliates, other than (a) the applicable Party in the definition of Change of Control, and (b) such Party’s Affiliates, determined immediately prior to the closing of such Change of Control ((a) and (b) collectively, the “</w:t>
      </w:r>
      <w:r>
        <w:rPr>
          <w:rFonts w:ascii="Times New Roman" w:cs="Times New Roman" w:eastAsia="Times New Roman" w:hAnsi="Times New Roman"/>
          <w:sz w:val="18"/>
          <w:szCs w:val="18"/>
          <w:b w:val="1"/>
          <w:bCs w:val="1"/>
          <w:color w:val="auto"/>
        </w:rPr>
        <w:t>Pre-Existing Entities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means any entity controlled by, controlling, or under common control with a Party hereto. For the purpose of this definition, “control” (including, with correlative meaning, the terms “controlled by” or “under common control”) means the direct or indirect ownership of more than fifty percent (50%) of the voting interest in, or more than fifty percent (50%) in the equity of, or the right to appoint more than fifty percent (50%) of the directors or management of, such corporation or other business entity. Notwithstanding the foregoing, (a) with respect to either Party, Affiliates of such Party do not include [***] or its Affiliates other than such Party and its subsidiaries, (b) Paragon and its Affiliates, on the one hand, and Oruka and its subsidiaries, on the other hand, shall not be deemed to be Affiliates of each other, and (c) Affiliates of Paragon do not include new entities formed by or on behalf of Paragon for the sole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purpose of further developing, manufacturing, commercializing or otherwise exploiting Antibodies and Antibody products (excluding any Licensed Antibody Technology or Other Licensed Technology) using, among other sources, funds from Third Party investors.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color w:val="auto"/>
        </w:rPr>
        <w:t>Annual Net Sales</w:t>
      </w:r>
      <w:r>
        <w:rPr>
          <w:rFonts w:ascii="Times New Roman" w:cs="Times New Roman" w:eastAsia="Times New Roman" w:hAnsi="Times New Roman"/>
          <w:sz w:val="18"/>
          <w:szCs w:val="18"/>
          <w:color w:val="auto"/>
        </w:rPr>
        <w:t>” means total Net Sales by Oruka, its Affiliates and Sublicensees in the Territory of all of the Products in a particular Calendar Year, calculated in accordance with U.S. generally accepted accounting principles (GAAP) consistently applied.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has the meaning set forth in Section 7.2(q)(i).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b w:val="1"/>
          <w:bCs w:val="1"/>
          <w:color w:val="auto"/>
        </w:rPr>
        <w:t>Antibody</w:t>
      </w:r>
      <w:r>
        <w:rPr>
          <w:rFonts w:ascii="Times New Roman" w:cs="Times New Roman" w:eastAsia="Times New Roman" w:hAnsi="Times New Roman"/>
          <w:sz w:val="18"/>
          <w:szCs w:val="18"/>
          <w:color w:val="auto"/>
        </w:rPr>
        <w:t>” means any molecule, including [***].</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any national, supra-national, federal, state or local laws, rules, guidances, and regulations, in each case, as applicable to the subject matter and the Party at issue.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has the meaning set forth in Section 8.4.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color w:val="auto"/>
        </w:rPr>
        <w:t>Bankruptcy Event</w:t>
      </w:r>
      <w:r>
        <w:rPr>
          <w:rFonts w:ascii="Times New Roman" w:cs="Times New Roman" w:eastAsia="Times New Roman" w:hAnsi="Times New Roman"/>
          <w:sz w:val="18"/>
          <w:szCs w:val="18"/>
          <w:color w:val="auto"/>
        </w:rPr>
        <w:t>” has the meaning set forth in Section 8.4.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Sunday or a national holiday in the United States.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color w:val="auto"/>
        </w:rPr>
        <w:t>Calendar Quarter</w:t>
      </w:r>
      <w:r>
        <w:rPr>
          <w:rFonts w:ascii="Times New Roman" w:cs="Times New Roman" w:eastAsia="Times New Roman" w:hAnsi="Times New Roman"/>
          <w:sz w:val="18"/>
          <w:szCs w:val="18"/>
          <w:color w:val="auto"/>
        </w:rPr>
        <w:t>” means the respective periods of three (3) consecutive calendar months ending on March 31, June 30, September 30 and December 31.</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color w:val="auto"/>
        </w:rPr>
        <w:t>Calendar Year</w:t>
      </w:r>
      <w:r>
        <w:rPr>
          <w:rFonts w:ascii="Times New Roman" w:cs="Times New Roman" w:eastAsia="Times New Roman" w:hAnsi="Times New Roman"/>
          <w:sz w:val="18"/>
          <w:szCs w:val="18"/>
          <w:color w:val="auto"/>
        </w:rPr>
        <w:t>” means each successive period of twelve (12) months commencing on January 1 and ending on December 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7" w:name="page238"/>
    <w:bookmarkEnd w:id="23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with respect to any entity, any of the following: (a) the sale or disposition of all or substantially all of the assets of such entity or its direct or indirect controlling Affiliate to a Third Party; or (b) (i) the acquisition by a Third Party, alone or together with any of its Affiliates, other than an employee benefit plan (or related trust) sponsored or maintained by such entity or any of its Affiliates, of more than fifty percent (50%) of the then-outstanding shares of voting capital stock of such entity or its direct or indirect parent entity that holds, directly or indirectly, beneficial ownership of more than fifty percent (50%) of the then-outstanding shares of voting capital stock of such entity (a “</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xml:space="preserve">”), or (ii) the acquisition, merger or consolidation of such entity or its Parent Entity with or into another entity, other than, in the case of clause (i) or (ii), an acquisition or a merger or consolidation of such entity or its Parent Entity in which the holders of shares of voting capital stock of such entity or its Parent Entity, as the case may be, immediately prior to such acquisition, merger or consolidation will beneficially own, directly or indirectly, at least fifty percent (50%) of the shares of voting capital stock of the acquiring Third Party or the surviving corporation in such acquisition, merger or consolidation, as the case may be, immediately after such acquisition, merger or consolidation, and in each case of (a) or (b), whether through a single transaction or a series of related transactions, but excluding any and all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financing transactions or internal reorganizations for tax purposes (including the change of place of incorporation or domicile of such entity).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has the meaning set forth in Section 9.3.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color w:val="auto"/>
        </w:rPr>
        <w:t>COC Program</w:t>
      </w:r>
      <w:r>
        <w:rPr>
          <w:rFonts w:ascii="Times New Roman" w:cs="Times New Roman" w:eastAsia="Times New Roman" w:hAnsi="Times New Roman"/>
          <w:sz w:val="18"/>
          <w:szCs w:val="18"/>
          <w:color w:val="auto"/>
        </w:rPr>
        <w:t>” has the meaning set forth in Section 2.2(b).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color w:val="auto"/>
        </w:rPr>
        <w:t>Combination Product</w:t>
      </w:r>
      <w:r>
        <w:rPr>
          <w:rFonts w:ascii="Times New Roman" w:cs="Times New Roman" w:eastAsia="Times New Roman" w:hAnsi="Times New Roman"/>
          <w:sz w:val="18"/>
          <w:szCs w:val="18"/>
          <w:color w:val="auto"/>
        </w:rPr>
        <w:t>” has the meaning set forth in Section 1.59.</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color w:val="auto"/>
        </w:rPr>
        <w:t>Commercialize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Commercializing</w:t>
      </w:r>
      <w:r>
        <w:rPr>
          <w:rFonts w:ascii="Times New Roman" w:cs="Times New Roman" w:eastAsia="Times New Roman" w:hAnsi="Times New Roman"/>
          <w:sz w:val="18"/>
          <w:szCs w:val="18"/>
          <w:color w:val="auto"/>
        </w:rPr>
        <w:t>” means any and all activity to market, promote, distribute, offer for sale, sell, have sold, seek reimbursement, import, have imported, export, have exported, or otherwise commercialize an Antibody or product, including any Licensed Antibody, Derived Antibody, Product, Multispecific Antibody, Multispecific Product, as applicable, and including interacting with Regulatory Authorities following receipt of Regulatory Approval and seeking and maintaining any required Reimbursement Approval. When used as a noun, “</w:t>
      </w:r>
      <w:r>
        <w:rPr>
          <w:rFonts w:ascii="Times New Roman" w:cs="Times New Roman" w:eastAsia="Times New Roman" w:hAnsi="Times New Roman"/>
          <w:sz w:val="18"/>
          <w:szCs w:val="18"/>
          <w:b w:val="1"/>
          <w:bCs w:val="1"/>
          <w:color w:val="auto"/>
        </w:rPr>
        <w:t>Commercialization</w:t>
      </w:r>
      <w:r>
        <w:rPr>
          <w:rFonts w:ascii="Times New Roman" w:cs="Times New Roman" w:eastAsia="Times New Roman" w:hAnsi="Times New Roman"/>
          <w:sz w:val="18"/>
          <w:szCs w:val="18"/>
          <w:color w:val="auto"/>
        </w:rPr>
        <w:t>” means any and all activities involved in Commercializing.</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b w:val="1"/>
          <w:bCs w:val="1"/>
          <w:color w:val="auto"/>
        </w:rPr>
        <w:t>Commercially Reasonable Efforts</w:t>
      </w:r>
      <w:r>
        <w:rPr>
          <w:rFonts w:ascii="Times New Roman" w:cs="Times New Roman" w:eastAsia="Times New Roman" w:hAnsi="Times New Roman"/>
          <w:sz w:val="18"/>
          <w:szCs w:val="18"/>
          <w:color w:val="auto"/>
        </w:rPr>
        <w:t>” means those efforts and resources, including reasonably necessary and qualified personnel, equivalent to the efforts and resources that a reasonable international biopharmaceutical company or a pharmaceutical company, in each case, that is of comparable size and resources to the applicable Party would typically devote as part of an active and continuing program of development and commercialization of a pharmaceutical or biologic product of similar market potential, at a similar stage of its product life, taking into account the competitiveness of the marketplace and the proprietary position, regulatory status, and relative safety and efficacy of such product. Commercially Reasonable Efforts requires, with respect to an obligation, that the applicable Party (a) assign responsibility for such obligation to specific employees who are held accountable for progress and monitor such progress on an on-going basis, (b) set and seek to achieve reasonable objectives for carrying out such obligation, and (c) make and implement reasonable decisions and allocate resources designed to advance progress with respect to such objectives.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8" w:name="page239"/>
    <w:bookmarkEnd w:id="238"/>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of a Party means Know-How and any and all non-public scientific, business, regulatory or technical information that is disclosed or made available by or on behalf of one Party (the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to the other Party (the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in connection with this Agreement, regardless of whether such information is specifically marked or designated confidential, whether in writing, orally, visually, or otherwise. Notwithstanding any provision of this Agreement to the contrary, the Licensed Antibody Technology shall be the Confidential Information of Oruka.</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(including any variations such as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Controlling</w:t>
      </w:r>
      <w:r>
        <w:rPr>
          <w:rFonts w:ascii="Times New Roman" w:cs="Times New Roman" w:eastAsia="Times New Roman" w:hAnsi="Times New Roman"/>
          <w:sz w:val="18"/>
          <w:szCs w:val="18"/>
          <w:color w:val="auto"/>
        </w:rPr>
        <w:t xml:space="preserve">”) means, with respect to any technology (including Know-How) or other Intellectual Property Rights, possession by a Party or one of its Affiliates of the ability (whether by ownership, license or otherwise (other than by a license, sublicense or other right granted pursuant to this Agreement)) to grant a license or a sublicense of or under such technology or Intellectual Property Rights without violating the terms of any agreement or other arrangement with any Third Party;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if following the Effective Date</w:t>
      </w:r>
    </w:p>
    <w:p>
      <w:pPr>
        <w:spacing w:after="0" w:line="3" w:lineRule="exact"/>
        <w:rPr>
          <w:sz w:val="20"/>
          <w:szCs w:val="20"/>
          <w:color w:val="auto"/>
        </w:rPr>
      </w:pPr>
    </w:p>
    <w:p>
      <w:pPr>
        <w:jc w:val="both"/>
        <w:ind w:firstLine="8"/>
        <w:spacing w:after="0" w:line="251" w:lineRule="auto"/>
        <w:tabs>
          <w:tab w:leader="none" w:pos="25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Paragon would Control any Patent that would be included in the Licensed Antibody Technology or Other Licensed Patents but for an obligation to pay royalties or other consideration for the Development, Manufacture or Commercialization of an Oruka Product in the Territory in connection with a grant to Oruka of a license under such Patent, and (b) Oruka, pursuant to Section 2.8, consents to being a sublicensee of such Patent and complies with the Reimbursement Obligation, then such Patent shall be deemed Controlled by Paragon. Notwithstanding the foregoing, a Party and its Affiliates shall not be deemed to “Control” any technology or Intellectual Property Rights that (i) prior to the consummation of a Change of Control of such Party is owned or in-licensed, or (ii) after the consummation of a Change of Control of such Party, becomes owned or in-licensed (to the extent such technology or Intellectual Property Rights are developed outside of the scope of the activities conducted hereunder and without use of or reference to any technology or Intellectual Property Rights Controlled by such Party or any Affiliate of such Party immediately before such Change of Control, or any Confidential Information of the other Party), in each case ((i) or (ii)), by a Third Party that becomes an Affiliate of such Party after the Effective Date as a result of such Change of Control or an assignee of such Party after the Effective Date as the result of an assignment of this Agreement in connection with a Change of Control unless prior to the consummation of such Change of Control or assignment, such Party or any of its Affiliates also Controlled such technology or Intellectual Property Rights.</w:t>
      </w:r>
    </w:p>
    <w:p>
      <w:pPr>
        <w:spacing w:after="0" w:line="188"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1.23 “</w:t>
      </w:r>
      <w:r>
        <w:rPr>
          <w:rFonts w:ascii="Times New Roman" w:cs="Times New Roman" w:eastAsia="Times New Roman" w:hAnsi="Times New Roman"/>
          <w:sz w:val="18"/>
          <w:szCs w:val="18"/>
          <w:b w:val="1"/>
          <w:bCs w:val="1"/>
          <w:color w:val="auto"/>
        </w:rPr>
        <w:t>Cover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Covering</w:t>
      </w:r>
      <w:r>
        <w:rPr>
          <w:rFonts w:ascii="Times New Roman" w:cs="Times New Roman" w:eastAsia="Times New Roman" w:hAnsi="Times New Roman"/>
          <w:sz w:val="18"/>
          <w:szCs w:val="18"/>
          <w:color w:val="auto"/>
        </w:rPr>
        <w:t>” means, with respect to a particular product, any Patent, that, in the absence of a license granted under, or ownership of, such Patent, the making, using, selling, importation, or exportation of such product would infringe a valid and unexpired claim of such Patent.</w:t>
      </w:r>
    </w:p>
    <w:p>
      <w:pPr>
        <w:spacing w:after="0" w:line="15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b w:val="1"/>
          <w:bCs w:val="1"/>
          <w:color w:val="auto"/>
        </w:rPr>
        <w:t>“Derived Antibody”</w:t>
      </w:r>
      <w:r>
        <w:rPr>
          <w:rFonts w:ascii="Times New Roman" w:cs="Times New Roman" w:eastAsia="Times New Roman" w:hAnsi="Times New Roman"/>
          <w:sz w:val="18"/>
          <w:szCs w:val="18"/>
          <w:color w:val="auto"/>
        </w:rPr>
        <w:t xml:space="preserve"> means any Antibody that is created by or on behalf of Oruka (other than an Antibody created by Paragon under the Option Agreement), its Affiliates or its or their licensees and: (a) is derived from or constitutes a modification of a Licensed Antibody, including [***], (b)</w:t>
      </w:r>
    </w:p>
    <w:p>
      <w:pPr>
        <w:spacing w:after="0" w:line="1" w:lineRule="exact"/>
        <w:rPr>
          <w:sz w:val="20"/>
          <w:szCs w:val="20"/>
          <w:color w:val="auto"/>
        </w:rPr>
      </w:pPr>
    </w:p>
    <w:p>
      <w:pPr>
        <w:ind w:firstLine="8"/>
        <w:spacing w:after="0" w:line="260" w:lineRule="auto"/>
        <w:tabs>
          <w:tab w:leader="none" w:pos="43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 [***]. For avoidance of doubt, any Antibody that [***] will be deemed a Derived Antibody, irrespective of origin, so long as such Antibody satisfies the requirements of (a), (b) and (c). Notwithstanding the foregoing, a Derived Antibody shall not include (i) [***], or (ii)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9" w:name="page240"/>
    <w:bookmarkEnd w:id="239"/>
    <w:p>
      <w:pPr>
        <w:ind w:left="660"/>
        <w:spacing w:after="0"/>
        <w:rPr>
          <w:sz w:val="20"/>
          <w:szCs w:val="20"/>
          <w:color w:val="auto"/>
        </w:rPr>
      </w:pPr>
      <w:r>
        <w:rPr>
          <w:rFonts w:ascii="Times New Roman" w:cs="Times New Roman" w:eastAsia="Times New Roman" w:hAnsi="Times New Roman"/>
          <w:sz w:val="18"/>
          <w:szCs w:val="18"/>
          <w:color w:val="auto"/>
        </w:rPr>
        <w:t>1.25 “</w:t>
      </w:r>
      <w:r>
        <w:rPr>
          <w:rFonts w:ascii="Times New Roman" w:cs="Times New Roman" w:eastAsia="Times New Roman" w:hAnsi="Times New Roman"/>
          <w:sz w:val="18"/>
          <w:szCs w:val="18"/>
          <w:b w:val="1"/>
          <w:bCs w:val="1"/>
          <w:color w:val="auto"/>
        </w:rPr>
        <w:t>Designated Multispecific Antibody</w:t>
      </w:r>
      <w:r>
        <w:rPr>
          <w:rFonts w:ascii="Times New Roman" w:cs="Times New Roman" w:eastAsia="Times New Roman" w:hAnsi="Times New Roman"/>
          <w:sz w:val="18"/>
          <w:szCs w:val="18"/>
          <w:color w:val="auto"/>
        </w:rPr>
        <w:t>” has the meaning set forth in Section 2.6(b).</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1.26 “</w:t>
      </w:r>
      <w:r>
        <w:rPr>
          <w:rFonts w:ascii="Times New Roman" w:cs="Times New Roman" w:eastAsia="Times New Roman" w:hAnsi="Times New Roman"/>
          <w:sz w:val="18"/>
          <w:szCs w:val="18"/>
          <w:b w:val="1"/>
          <w:bCs w:val="1"/>
          <w:color w:val="auto"/>
        </w:rPr>
        <w:t>Develop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Developing</w:t>
      </w:r>
      <w:r>
        <w:rPr>
          <w:rFonts w:ascii="Times New Roman" w:cs="Times New Roman" w:eastAsia="Times New Roman" w:hAnsi="Times New Roman"/>
          <w:sz w:val="18"/>
          <w:szCs w:val="18"/>
          <w:color w:val="auto"/>
        </w:rPr>
        <w:t>” means any and all activity to discover, evaluate, test (including clinical and non-clinical testing), research, or otherwise develop an Antibody or product, including any Licensed Antibody, Derived Antibody, Product, Multispecific Antibody, or Multispecific Product, as applicable. When used as a noun, “</w:t>
      </w:r>
      <w:r>
        <w:rPr>
          <w:rFonts w:ascii="Times New Roman" w:cs="Times New Roman" w:eastAsia="Times New Roman" w:hAnsi="Times New Roman"/>
          <w:sz w:val="18"/>
          <w:szCs w:val="18"/>
          <w:b w:val="1"/>
          <w:bCs w:val="1"/>
          <w:color w:val="auto"/>
        </w:rPr>
        <w:t>Development</w:t>
      </w:r>
      <w:r>
        <w:rPr>
          <w:rFonts w:ascii="Times New Roman" w:cs="Times New Roman" w:eastAsia="Times New Roman" w:hAnsi="Times New Roman"/>
          <w:sz w:val="18"/>
          <w:szCs w:val="18"/>
          <w:color w:val="auto"/>
        </w:rPr>
        <w:t>” means any and all activities involved in Developing.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b w:val="1"/>
          <w:bCs w:val="1"/>
          <w:color w:val="auto"/>
        </w:rPr>
        <w:t>Directed To</w:t>
      </w:r>
      <w:r>
        <w:rPr>
          <w:rFonts w:ascii="Times New Roman" w:cs="Times New Roman" w:eastAsia="Times New Roman" w:hAnsi="Times New Roman"/>
          <w:sz w:val="18"/>
          <w:szCs w:val="18"/>
          <w:color w:val="auto"/>
        </w:rPr>
        <w:t>” means, with regard to an Antibody or product, that such Antibody or product is developed or designed to (a) [***], and (b)</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1.28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has the meaning set forth in Section 1.21.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1.29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has the meaning set forth in Section 10.7(a).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1.30 “</w:t>
      </w:r>
      <w:r>
        <w:rPr>
          <w:rFonts w:ascii="Times New Roman" w:cs="Times New Roman" w:eastAsia="Times New Roman" w:hAnsi="Times New Roman"/>
          <w:sz w:val="18"/>
          <w:szCs w:val="18"/>
          <w:b w:val="1"/>
          <w:bCs w:val="1"/>
          <w:color w:val="auto"/>
        </w:rPr>
        <w:t>Dollar</w:t>
      </w:r>
      <w:r>
        <w:rPr>
          <w:rFonts w:ascii="Times New Roman" w:cs="Times New Roman" w:eastAsia="Times New Roman" w:hAnsi="Times New Roman"/>
          <w:sz w:val="18"/>
          <w:szCs w:val="18"/>
          <w:color w:val="auto"/>
        </w:rPr>
        <w:t>” means a U.S. dollar, and “$” shall be interpreted accordingly.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1.31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1.32 “</w:t>
      </w:r>
      <w:r>
        <w:rPr>
          <w:rFonts w:ascii="Times New Roman" w:cs="Times New Roman" w:eastAsia="Times New Roman" w:hAnsi="Times New Roman"/>
          <w:sz w:val="18"/>
          <w:szCs w:val="18"/>
          <w:b w:val="1"/>
          <w:bCs w:val="1"/>
          <w:color w:val="auto"/>
        </w:rPr>
        <w:t>Exclusivity Period</w:t>
      </w:r>
      <w:r>
        <w:rPr>
          <w:rFonts w:ascii="Times New Roman" w:cs="Times New Roman" w:eastAsia="Times New Roman" w:hAnsi="Times New Roman"/>
          <w:sz w:val="18"/>
          <w:szCs w:val="18"/>
          <w:color w:val="auto"/>
        </w:rPr>
        <w:t>” means the period commencing on the Effective Date and continuing until the fifth (5th) anniversary of the Effective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1.33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means the United States Food and Drug Administration, or a successor federal agency thereto.</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1.34 “</w:t>
      </w:r>
      <w:r>
        <w:rPr>
          <w:rFonts w:ascii="Times New Roman" w:cs="Times New Roman" w:eastAsia="Times New Roman" w:hAnsi="Times New Roman"/>
          <w:sz w:val="18"/>
          <w:szCs w:val="18"/>
          <w:b w:val="1"/>
          <w:bCs w:val="1"/>
          <w:color w:val="auto"/>
        </w:rPr>
        <w:t>Field</w:t>
      </w:r>
      <w:r>
        <w:rPr>
          <w:rFonts w:ascii="Times New Roman" w:cs="Times New Roman" w:eastAsia="Times New Roman" w:hAnsi="Times New Roman"/>
          <w:sz w:val="18"/>
          <w:szCs w:val="18"/>
          <w:color w:val="auto"/>
        </w:rPr>
        <w:t>” means the prophylaxis, palliation, treatment and diagnosis of human disease and disorders except the therapeutic area of inflammatory bowel disease.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1.35 “</w:t>
      </w:r>
      <w:r>
        <w:rPr>
          <w:rFonts w:ascii="Times New Roman" w:cs="Times New Roman" w:eastAsia="Times New Roman" w:hAnsi="Times New Roman"/>
          <w:sz w:val="18"/>
          <w:szCs w:val="18"/>
          <w:b w:val="1"/>
          <w:bCs w:val="1"/>
          <w:color w:val="auto"/>
        </w:rPr>
        <w:t>First Commercial Sale</w:t>
      </w:r>
      <w:r>
        <w:rPr>
          <w:rFonts w:ascii="Times New Roman" w:cs="Times New Roman" w:eastAsia="Times New Roman" w:hAnsi="Times New Roman"/>
          <w:sz w:val="18"/>
          <w:szCs w:val="18"/>
          <w:color w:val="auto"/>
        </w:rPr>
        <w:t>” means the first sale of an Oruka Product by Oruka, or one of its Affiliates or its or their Sublicensees, to a Third Party after receipt of all Regulatory Approvals required to market and sell the Oruka Product have been obtained in the country in the Territory in which such Oruka Product is sold. Sales for purposes of testing the Oruka Product and sample purposes shall not be deemed a First Commercial Sale. Furthermore, for purposes of clarity, the term “First Commercial Sale” as used in this Agreement shall not include: (a) [***]; (b) [***]; nor (c) [***].</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1.36 “</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has the meaning set forth in Section 10.2.</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1.37 “</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national, international, federal, state, provincial, or local government, or political subdivision thereof, or any multinational organization or any authority, agency, or commission entitled to exercise any administrative, executive, judicial, legislative, police, regulatory, or taxing authority or power, or any court or tribunal (or any department, bureau or division thereof, or any governmental arbitrator or arbitral body).</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1.38 “</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means an investigational new drug application or equivalent application that is required to commence clinical trials for a product in the Territory and filed with the applicable Regulatory Authority.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0" w:name="page241"/>
    <w:bookmarkEnd w:id="240"/>
    <w:p>
      <w:pPr>
        <w:ind w:left="660"/>
        <w:spacing w:after="0"/>
        <w:rPr>
          <w:sz w:val="20"/>
          <w:szCs w:val="20"/>
          <w:color w:val="auto"/>
        </w:rPr>
      </w:pPr>
      <w:r>
        <w:rPr>
          <w:rFonts w:ascii="Times New Roman" w:cs="Times New Roman" w:eastAsia="Times New Roman" w:hAnsi="Times New Roman"/>
          <w:sz w:val="18"/>
          <w:szCs w:val="18"/>
          <w:color w:val="auto"/>
        </w:rPr>
        <w:t>1.39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has the meaning set forth in Section 9.3.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1.40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has the meaning set forth in Section 9.3.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1.41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means any and all proprietary rights provided under (a) patent law, including any Patents; (b) copyright law;</w:t>
      </w:r>
    </w:p>
    <w:p>
      <w:pPr>
        <w:spacing w:after="0" w:line="31" w:lineRule="exact"/>
        <w:rPr>
          <w:sz w:val="20"/>
          <w:szCs w:val="20"/>
          <w:color w:val="auto"/>
        </w:rPr>
      </w:pPr>
    </w:p>
    <w:p>
      <w:pPr>
        <w:ind w:firstLine="8"/>
        <w:spacing w:after="0" w:line="260" w:lineRule="auto"/>
        <w:tabs>
          <w:tab w:leader="none" w:pos="253"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 law; or (d) any other applicable statutory provision or common law principle, including trade secret law, that may provide a right in Know-How, or the expression or use thereof.</w:t>
      </w:r>
    </w:p>
    <w:p>
      <w:pPr>
        <w:spacing w:after="0" w:line="1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1.42 “</w:t>
      </w:r>
      <w:r>
        <w:rPr>
          <w:rFonts w:ascii="Times New Roman" w:cs="Times New Roman" w:eastAsia="Times New Roman" w:hAnsi="Times New Roman"/>
          <w:sz w:val="18"/>
          <w:szCs w:val="18"/>
          <w:b w:val="1"/>
          <w:bCs w:val="1"/>
          <w:color w:val="auto"/>
        </w:rPr>
        <w:t>Inventions</w:t>
      </w:r>
      <w:r>
        <w:rPr>
          <w:rFonts w:ascii="Times New Roman" w:cs="Times New Roman" w:eastAsia="Times New Roman" w:hAnsi="Times New Roman"/>
          <w:sz w:val="18"/>
          <w:szCs w:val="18"/>
          <w:color w:val="auto"/>
        </w:rPr>
        <w:t>” means all Know-How, and all Intellectual Property Rights therein, that are conceived, reduced to practice, discovered, developed, or made by or on behalf of either Party or any Third Parties acting on their behalf (or any of their Representatives, Affiliates, licensees, or sublicensees) in the course of performing activities under this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1.43 “</w:t>
      </w:r>
      <w:r>
        <w:rPr>
          <w:rFonts w:ascii="Times New Roman" w:cs="Times New Roman" w:eastAsia="Times New Roman" w:hAnsi="Times New Roman"/>
          <w:sz w:val="18"/>
          <w:szCs w:val="18"/>
          <w:b w:val="1"/>
          <w:bCs w:val="1"/>
          <w:color w:val="auto"/>
        </w:rPr>
        <w:t>JAMS Rules</w:t>
      </w:r>
      <w:r>
        <w:rPr>
          <w:rFonts w:ascii="Times New Roman" w:cs="Times New Roman" w:eastAsia="Times New Roman" w:hAnsi="Times New Roman"/>
          <w:sz w:val="18"/>
          <w:szCs w:val="18"/>
          <w:color w:val="auto"/>
        </w:rPr>
        <w:t>” has the meaning set forth in Section 10.7(a)(ii).</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1.44 “</w:t>
      </w:r>
      <w:r>
        <w:rPr>
          <w:rFonts w:ascii="Times New Roman" w:cs="Times New Roman" w:eastAsia="Times New Roman" w:hAnsi="Times New Roman"/>
          <w:sz w:val="18"/>
          <w:szCs w:val="18"/>
          <w:b w:val="1"/>
          <w:bCs w:val="1"/>
          <w:color w:val="auto"/>
        </w:rPr>
        <w:t>Know-How</w:t>
      </w:r>
      <w:r>
        <w:rPr>
          <w:rFonts w:ascii="Times New Roman" w:cs="Times New Roman" w:eastAsia="Times New Roman" w:hAnsi="Times New Roman"/>
          <w:sz w:val="18"/>
          <w:szCs w:val="18"/>
          <w:color w:val="auto"/>
        </w:rPr>
        <w:t>” means all technical information and know-how in any tangible or intangible form, including (a) inventions, discoveries, trade secrets, data, specifications, instructions, processes, formulae, materials (including cell lines, vectors, plasmids, nucleic acids and the like), methods, protocols, expertise and any other technology, including the applicability of any of the foregoing to formulations, compositions or products or to their manufacture, development, registration, use or marketing or to methods of assaying or testing them or processes for their manufacture, formulations containing them or compositions incorporating or comprising them, and (b) all data, instructions, processes, formulae, strategies, and expertise, whether biological, chemical, pharmacological, biochemical, toxicological, pharmaceutical, physical, analytical, or otherwise and whether related to safety, quality control, manufacturing or other disciplines. Notwithstanding the foregoing, Know-How excludes any Patents.</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1.45 “</w:t>
      </w:r>
      <w:r>
        <w:rPr>
          <w:rFonts w:ascii="Times New Roman" w:cs="Times New Roman" w:eastAsia="Times New Roman" w:hAnsi="Times New Roman"/>
          <w:sz w:val="18"/>
          <w:szCs w:val="18"/>
          <w:b w:val="1"/>
          <w:bCs w:val="1"/>
          <w:color w:val="auto"/>
        </w:rPr>
        <w:t>Licensed Antibody</w:t>
      </w:r>
      <w:r>
        <w:rPr>
          <w:rFonts w:ascii="Times New Roman" w:cs="Times New Roman" w:eastAsia="Times New Roman" w:hAnsi="Times New Roman"/>
          <w:sz w:val="18"/>
          <w:szCs w:val="18"/>
          <w:color w:val="auto"/>
        </w:rPr>
        <w:t xml:space="preserve">” means the Antibodies listed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as “Licensed Antibodies” that are Directed To the Licensed Target and that were discovered, generated, identified or characterized by Paragon in the course of performing the Research Program. Notwithstanding the foregoing, the Licensed Antibodies shall not include (a) [***], or (b) [***].</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1.46 “</w:t>
      </w:r>
      <w:r>
        <w:rPr>
          <w:rFonts w:ascii="Times New Roman" w:cs="Times New Roman" w:eastAsia="Times New Roman" w:hAnsi="Times New Roman"/>
          <w:sz w:val="18"/>
          <w:szCs w:val="18"/>
          <w:b w:val="1"/>
          <w:bCs w:val="1"/>
          <w:color w:val="auto"/>
        </w:rPr>
        <w:t>Licensed Antibody Invention</w:t>
      </w:r>
      <w:r>
        <w:rPr>
          <w:rFonts w:ascii="Times New Roman" w:cs="Times New Roman" w:eastAsia="Times New Roman" w:hAnsi="Times New Roman"/>
          <w:sz w:val="18"/>
          <w:szCs w:val="18"/>
          <w:color w:val="auto"/>
        </w:rPr>
        <w:t>” means (a) any invention or discovery, whether or not patentable, that was discovered or reduced to practice by or on behalf of Paragon under the Research Program that constitutes the composition of matter of, or any method of specifically making or using, any Licensed Antibody; and (b) all Intellectual Property Rights therein, that in each case is Controlled by Paragon or its Affiliates as of the Effective Date or during the Term. Notwithstanding the foregoing, the Licensed Antibody Inventions shall not include (i) [***], (x) [***], or (y) [***], or (ii) any Intellectual Property Rights therein.</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1.47 “</w:t>
      </w:r>
      <w:r>
        <w:rPr>
          <w:rFonts w:ascii="Times New Roman" w:cs="Times New Roman" w:eastAsia="Times New Roman" w:hAnsi="Times New Roman"/>
          <w:sz w:val="18"/>
          <w:szCs w:val="18"/>
          <w:b w:val="1"/>
          <w:bCs w:val="1"/>
          <w:color w:val="auto"/>
        </w:rPr>
        <w:t>Licensed Antibody Patents</w:t>
      </w:r>
      <w:r>
        <w:rPr>
          <w:rFonts w:ascii="Times New Roman" w:cs="Times New Roman" w:eastAsia="Times New Roman" w:hAnsi="Times New Roman"/>
          <w:sz w:val="18"/>
          <w:szCs w:val="18"/>
          <w:color w:val="auto"/>
        </w:rPr>
        <w:t>” means all Patents that Cover the composition of matter of, or any method of specifically making or using, any Licensed Antibody, that in each case are Controlled by Paragon or its Affiliates as of the Effective Date or during the Term, excluding in each case any claims in such Patents that Cover the composition of matter of, or any method of specifically making or using (a) [***], or (b) [***].</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1" w:name="page242"/>
    <w:bookmarkEnd w:id="241"/>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1.48 “</w:t>
      </w:r>
      <w:r>
        <w:rPr>
          <w:rFonts w:ascii="Times New Roman" w:cs="Times New Roman" w:eastAsia="Times New Roman" w:hAnsi="Times New Roman"/>
          <w:sz w:val="18"/>
          <w:szCs w:val="18"/>
          <w:b w:val="1"/>
          <w:bCs w:val="1"/>
          <w:color w:val="auto"/>
        </w:rPr>
        <w:t>Licensed Antibody Technology</w:t>
      </w:r>
      <w:r>
        <w:rPr>
          <w:rFonts w:ascii="Times New Roman" w:cs="Times New Roman" w:eastAsia="Times New Roman" w:hAnsi="Times New Roman"/>
          <w:sz w:val="18"/>
          <w:szCs w:val="18"/>
          <w:color w:val="auto"/>
        </w:rPr>
        <w:t>” means (a) the Licensed Antibody Inventions; (b) the Licensed Antibody Patents; (c) the Sequence Information; (d) the Results; (e) the Research Program Materials; and (f) all Intellectual Property Rights therein Controlled by Paragon or its Affiliates as of the Effective Date and during the Term.</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1.49 “</w:t>
      </w:r>
      <w:r>
        <w:rPr>
          <w:rFonts w:ascii="Times New Roman" w:cs="Times New Roman" w:eastAsia="Times New Roman" w:hAnsi="Times New Roman"/>
          <w:sz w:val="18"/>
          <w:szCs w:val="18"/>
          <w:b w:val="1"/>
          <w:bCs w:val="1"/>
          <w:color w:val="auto"/>
        </w:rPr>
        <w:t>Licensed Component</w:t>
      </w:r>
      <w:r>
        <w:rPr>
          <w:rFonts w:ascii="Times New Roman" w:cs="Times New Roman" w:eastAsia="Times New Roman" w:hAnsi="Times New Roman"/>
          <w:sz w:val="18"/>
          <w:szCs w:val="18"/>
          <w:color w:val="auto"/>
        </w:rPr>
        <w:t>” has the meaning set forth in Section 1.59.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1.50 “</w:t>
      </w:r>
      <w:r>
        <w:rPr>
          <w:rFonts w:ascii="Times New Roman" w:cs="Times New Roman" w:eastAsia="Times New Roman" w:hAnsi="Times New Roman"/>
          <w:sz w:val="18"/>
          <w:szCs w:val="18"/>
          <w:b w:val="1"/>
          <w:bCs w:val="1"/>
          <w:color w:val="auto"/>
        </w:rPr>
        <w:t>Licensed Target</w:t>
      </w:r>
      <w:r>
        <w:rPr>
          <w:rFonts w:ascii="Times New Roman" w:cs="Times New Roman" w:eastAsia="Times New Roman" w:hAnsi="Times New Roman"/>
          <w:sz w:val="18"/>
          <w:szCs w:val="18"/>
          <w:color w:val="auto"/>
        </w:rPr>
        <w:t>” means IL-23.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1.51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has the meaning set forth in Section 9.1.</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1.52 “</w:t>
      </w:r>
      <w:r>
        <w:rPr>
          <w:rFonts w:ascii="Times New Roman" w:cs="Times New Roman" w:eastAsia="Times New Roman" w:hAnsi="Times New Roman"/>
          <w:sz w:val="18"/>
          <w:szCs w:val="18"/>
          <w:b w:val="1"/>
          <w:bCs w:val="1"/>
          <w:color w:val="auto"/>
        </w:rPr>
        <w:t>MAA</w:t>
      </w:r>
      <w:r>
        <w:rPr>
          <w:rFonts w:ascii="Times New Roman" w:cs="Times New Roman" w:eastAsia="Times New Roman" w:hAnsi="Times New Roman"/>
          <w:sz w:val="18"/>
          <w:szCs w:val="18"/>
          <w:color w:val="auto"/>
        </w:rPr>
        <w:t>” means (a) a New Drug Application in the United States, as defined in the United States Federal Food, Drug and Cosmetics Act, and applicable regulations promulgated thereunder by the FDA; (b) a Biologics License Application in the United States, as defined in the United States Public Health Service Act; or (c) any application filed with any Regulatory Authority in a country other than the United States that is equivalent to either of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1.53 “</w:t>
      </w:r>
      <w:r>
        <w:rPr>
          <w:rFonts w:ascii="Times New Roman" w:cs="Times New Roman" w:eastAsia="Times New Roman" w:hAnsi="Times New Roman"/>
          <w:sz w:val="18"/>
          <w:szCs w:val="18"/>
          <w:b w:val="1"/>
          <w:bCs w:val="1"/>
          <w:color w:val="auto"/>
        </w:rPr>
        <w:t>Major Market Country</w:t>
      </w:r>
      <w:r>
        <w:rPr>
          <w:rFonts w:ascii="Times New Roman" w:cs="Times New Roman" w:eastAsia="Times New Roman" w:hAnsi="Times New Roman"/>
          <w:sz w:val="18"/>
          <w:szCs w:val="18"/>
          <w:color w:val="auto"/>
        </w:rPr>
        <w:t>” means any of the following: [***].</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1.54 “</w:t>
      </w:r>
      <w:r>
        <w:rPr>
          <w:rFonts w:ascii="Times New Roman" w:cs="Times New Roman" w:eastAsia="Times New Roman" w:hAnsi="Times New Roman"/>
          <w:sz w:val="18"/>
          <w:szCs w:val="18"/>
          <w:b w:val="1"/>
          <w:bCs w:val="1"/>
          <w:color w:val="auto"/>
        </w:rPr>
        <w:t>Manufacture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Manufacturing</w:t>
      </w:r>
      <w:r>
        <w:rPr>
          <w:rFonts w:ascii="Times New Roman" w:cs="Times New Roman" w:eastAsia="Times New Roman" w:hAnsi="Times New Roman"/>
          <w:sz w:val="18"/>
          <w:szCs w:val="18"/>
          <w:color w:val="auto"/>
        </w:rPr>
        <w:t>” means any and all activity to make, have made, produce, manufacture, process, fill, finish, package, label, perform quality assurance testing, release, or ship an Antibody or product, including any Licensed Antibody, Derived Antibody, Product, Multispecific Antibody, or Multispecific Product, as applicable, or any component thereof. When used as a noun, “</w:t>
      </w:r>
      <w:r>
        <w:rPr>
          <w:rFonts w:ascii="Times New Roman" w:cs="Times New Roman" w:eastAsia="Times New Roman" w:hAnsi="Times New Roman"/>
          <w:sz w:val="18"/>
          <w:szCs w:val="18"/>
          <w:b w:val="1"/>
          <w:bCs w:val="1"/>
          <w:color w:val="auto"/>
        </w:rPr>
        <w:t>Manufacture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Manufacturing</w:t>
      </w:r>
      <w:r>
        <w:rPr>
          <w:rFonts w:ascii="Times New Roman" w:cs="Times New Roman" w:eastAsia="Times New Roman" w:hAnsi="Times New Roman"/>
          <w:sz w:val="18"/>
          <w:szCs w:val="18"/>
          <w:color w:val="auto"/>
        </w:rPr>
        <w:t>” means any and all activities involved in Manufacturing an Antibody or product, including any Licensed Antibody, Derived Antibody, Product, Multispecific Antibody, or Multispecific Product, as applicable, or any component thereof.</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1.55 “</w:t>
      </w:r>
      <w:r>
        <w:rPr>
          <w:rFonts w:ascii="Times New Roman" w:cs="Times New Roman" w:eastAsia="Times New Roman" w:hAnsi="Times New Roman"/>
          <w:sz w:val="18"/>
          <w:szCs w:val="18"/>
          <w:b w:val="1"/>
          <w:bCs w:val="1"/>
          <w:color w:val="auto"/>
        </w:rPr>
        <w:t>Milestone</w:t>
      </w:r>
      <w:r>
        <w:rPr>
          <w:rFonts w:ascii="Times New Roman" w:cs="Times New Roman" w:eastAsia="Times New Roman" w:hAnsi="Times New Roman"/>
          <w:sz w:val="18"/>
          <w:szCs w:val="18"/>
          <w:color w:val="auto"/>
        </w:rPr>
        <w:t>” has the meaning set forth in Section 4.1.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1.56 “</w:t>
      </w:r>
      <w:r>
        <w:rPr>
          <w:rFonts w:ascii="Times New Roman" w:cs="Times New Roman" w:eastAsia="Times New Roman" w:hAnsi="Times New Roman"/>
          <w:sz w:val="18"/>
          <w:szCs w:val="18"/>
          <w:b w:val="1"/>
          <w:bCs w:val="1"/>
          <w:color w:val="auto"/>
        </w:rPr>
        <w:t>Milestone Payment</w:t>
      </w:r>
      <w:r>
        <w:rPr>
          <w:rFonts w:ascii="Times New Roman" w:cs="Times New Roman" w:eastAsia="Times New Roman" w:hAnsi="Times New Roman"/>
          <w:sz w:val="18"/>
          <w:szCs w:val="18"/>
          <w:color w:val="auto"/>
        </w:rPr>
        <w:t>” has the meaning set forth in Section 4.1.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1.57 “</w:t>
      </w:r>
      <w:r>
        <w:rPr>
          <w:rFonts w:ascii="Times New Roman" w:cs="Times New Roman" w:eastAsia="Times New Roman" w:hAnsi="Times New Roman"/>
          <w:sz w:val="18"/>
          <w:szCs w:val="18"/>
          <w:b w:val="1"/>
          <w:bCs w:val="1"/>
          <w:color w:val="auto"/>
        </w:rPr>
        <w:t>Multispecific Antibody</w:t>
      </w:r>
      <w:r>
        <w:rPr>
          <w:rFonts w:ascii="Times New Roman" w:cs="Times New Roman" w:eastAsia="Times New Roman" w:hAnsi="Times New Roman"/>
          <w:sz w:val="18"/>
          <w:szCs w:val="18"/>
          <w:color w:val="auto"/>
        </w:rPr>
        <w:t>” means any Antibody that is comprised of (a) [***], and (b)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1.58 “</w:t>
      </w:r>
      <w:r>
        <w:rPr>
          <w:rFonts w:ascii="Times New Roman" w:cs="Times New Roman" w:eastAsia="Times New Roman" w:hAnsi="Times New Roman"/>
          <w:sz w:val="18"/>
          <w:szCs w:val="18"/>
          <w:b w:val="1"/>
          <w:bCs w:val="1"/>
          <w:color w:val="auto"/>
        </w:rPr>
        <w:t>Multispecific Product</w:t>
      </w:r>
      <w:r>
        <w:rPr>
          <w:rFonts w:ascii="Times New Roman" w:cs="Times New Roman" w:eastAsia="Times New Roman" w:hAnsi="Times New Roman"/>
          <w:sz w:val="18"/>
          <w:szCs w:val="18"/>
          <w:color w:val="auto"/>
        </w:rPr>
        <w:t>” means any product that comprises or contains any Multispecific Antibody.</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1.59 “</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means the gross amounts received for Oruka Product by Oruka, its Affiliates and Sublicensees for sales or other commercial disposition of such Oruka Product in the Territory to unrelated Third Parties, less the following, in each case related specifically to the Oruka Product and actually incurred, paid or accrued by Oruka, its Affiliates or Sublicensees and not otherwise recovered by or reimbursed to Oruka, its Affiliates or Sublicensees;</w:t>
      </w:r>
    </w:p>
    <w:p>
      <w:pPr>
        <w:spacing w:after="0" w:line="180" w:lineRule="exact"/>
        <w:rPr>
          <w:sz w:val="20"/>
          <w:szCs w:val="20"/>
          <w:color w:val="auto"/>
        </w:rPr>
      </w:pPr>
    </w:p>
    <w:p>
      <w:pPr>
        <w:ind w:left="1540" w:hanging="236"/>
        <w:spacing w:after="0"/>
        <w:tabs>
          <w:tab w:leader="none" w:pos="15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2" w:name="page243"/>
    <w:bookmarkEnd w:id="242"/>
    <w:p>
      <w:pPr>
        <w:ind w:left="1540" w:hanging="236"/>
        <w:spacing w:after="0"/>
        <w:tabs>
          <w:tab w:leader="none" w:pos="15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Net Sales will include [***]. Net Sales will be calculated only once for the first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arm’s length sale of the Oruka Product by Oruka, its Affiliates or its Sublicensees to a Third Party, and will not include sales between or among [***]. Net Sales shall not include any amounts invoiced for [***], (ii) [***], or (iii) [***].</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Net Sales shall be determined from the books and records of Oruka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Affiliates of Oruka or any Sublicensee maintained in accordance with U.S. generally accepted accounting principles (GAAP) consistently applied. Oruka further agrees in determining Net Sales, it (or its applicable Affiliate or Sublicensee) will use Oruka’s (or such Affiliate’s or Sublicensee’s) then current standard procedures and methodology.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 Oruka Product is sold as a Combination Product (as defined below), the Net Sales of such Combination Product for the purpose of calculating royalties and sales-based milestones owed under this Agreement for sales of such Combination Product, shall be determined as follows: [***]. If any Other Component in the Combination Product is not sold separately, Net Sales shall be calculated by [***]. If both the Licensed Component and any of the Other Components are not sold separately, the adjustment to Net Sales shall be determined by the Parties [***] to reasonably reflect [***] of such Licensed Component in the Combination Product to the total fair market value of such Combination Product.</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purposes of this definition, “</w:t>
      </w:r>
      <w:r>
        <w:rPr>
          <w:rFonts w:ascii="Times New Roman" w:cs="Times New Roman" w:eastAsia="Times New Roman" w:hAnsi="Times New Roman"/>
          <w:sz w:val="18"/>
          <w:szCs w:val="18"/>
          <w:b w:val="1"/>
          <w:bCs w:val="1"/>
          <w:color w:val="auto"/>
        </w:rPr>
        <w:t>Combination Product</w:t>
      </w:r>
      <w:r>
        <w:rPr>
          <w:rFonts w:ascii="Times New Roman" w:cs="Times New Roman" w:eastAsia="Times New Roman" w:hAnsi="Times New Roman"/>
          <w:sz w:val="18"/>
          <w:szCs w:val="18"/>
          <w:color w:val="auto"/>
        </w:rPr>
        <w:t>” means any pharmaceutical product that contains two (2) or more active ingredients, including (A) one (1) or more Licensed Antibodies, Derived Antibodies or Multispecific Antibodies (the “</w:t>
      </w:r>
      <w:r>
        <w:rPr>
          <w:rFonts w:ascii="Times New Roman" w:cs="Times New Roman" w:eastAsia="Times New Roman" w:hAnsi="Times New Roman"/>
          <w:sz w:val="18"/>
          <w:szCs w:val="18"/>
          <w:b w:val="1"/>
          <w:bCs w:val="1"/>
          <w:color w:val="auto"/>
        </w:rPr>
        <w:t>Licensed Component</w:t>
      </w:r>
      <w:r>
        <w:rPr>
          <w:rFonts w:ascii="Times New Roman" w:cs="Times New Roman" w:eastAsia="Times New Roman" w:hAnsi="Times New Roman"/>
          <w:sz w:val="18"/>
          <w:szCs w:val="18"/>
          <w:color w:val="auto"/>
        </w:rPr>
        <w:t>”), and (B) one (1) or more active pharmaceutical or biological ingredients that are not (x) a Licensed Antibody, Derived Antibody or Multispecific Antibody, or (y) an Antibody owned or controlled by Paragon or its Affiliate, the rights to which have been licensed to Oruka or its Affiliate under a separate agreement (“</w:t>
      </w:r>
      <w:r>
        <w:rPr>
          <w:rFonts w:ascii="Times New Roman" w:cs="Times New Roman" w:eastAsia="Times New Roman" w:hAnsi="Times New Roman"/>
          <w:sz w:val="18"/>
          <w:szCs w:val="18"/>
          <w:b w:val="1"/>
          <w:bCs w:val="1"/>
          <w:color w:val="auto"/>
        </w:rPr>
        <w:t>Other Component(s)</w:t>
      </w:r>
      <w:r>
        <w:rPr>
          <w:rFonts w:ascii="Times New Roman" w:cs="Times New Roman" w:eastAsia="Times New Roman" w:hAnsi="Times New Roman"/>
          <w:sz w:val="18"/>
          <w:szCs w:val="18"/>
          <w:color w:val="auto"/>
        </w:rPr>
        <w:t>”), either as a [***], [***] or [***], and [***].</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1.60 “</w:t>
      </w:r>
      <w:r>
        <w:rPr>
          <w:rFonts w:ascii="Times New Roman" w:cs="Times New Roman" w:eastAsia="Times New Roman" w:hAnsi="Times New Roman"/>
          <w:sz w:val="18"/>
          <w:szCs w:val="18"/>
          <w:b w:val="1"/>
          <w:bCs w:val="1"/>
          <w:color w:val="auto"/>
        </w:rPr>
        <w:t>Notice of Dispute</w:t>
      </w:r>
      <w:r>
        <w:rPr>
          <w:rFonts w:ascii="Times New Roman" w:cs="Times New Roman" w:eastAsia="Times New Roman" w:hAnsi="Times New Roman"/>
          <w:sz w:val="18"/>
          <w:szCs w:val="18"/>
          <w:color w:val="auto"/>
        </w:rPr>
        <w:t>” has the meaning set forth in 10.7(a)(i).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1.61 “</w:t>
      </w:r>
      <w:r>
        <w:rPr>
          <w:rFonts w:ascii="Times New Roman" w:cs="Times New Roman" w:eastAsia="Times New Roman" w:hAnsi="Times New Roman"/>
          <w:sz w:val="18"/>
          <w:szCs w:val="18"/>
          <w:b w:val="1"/>
          <w:bCs w:val="1"/>
          <w:color w:val="auto"/>
        </w:rPr>
        <w:t>Oruka</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1.62 “</w:t>
      </w:r>
      <w:r>
        <w:rPr>
          <w:rFonts w:ascii="Times New Roman" w:cs="Times New Roman" w:eastAsia="Times New Roman" w:hAnsi="Times New Roman"/>
          <w:sz w:val="18"/>
          <w:szCs w:val="18"/>
          <w:b w:val="1"/>
          <w:bCs w:val="1"/>
          <w:color w:val="auto"/>
        </w:rPr>
        <w:t>Oruka Antibody Patents</w:t>
      </w:r>
      <w:r>
        <w:rPr>
          <w:rFonts w:ascii="Times New Roman" w:cs="Times New Roman" w:eastAsia="Times New Roman" w:hAnsi="Times New Roman"/>
          <w:sz w:val="18"/>
          <w:szCs w:val="18"/>
          <w:color w:val="auto"/>
        </w:rPr>
        <w:t xml:space="preserve">” means all Patents that Cover the composition of matter of, or any method of specifically making or using any Licensed Antibody or Derived Antibody that, in each case, are owned or in-licensed by Oruka or its Affiliates or Sublicensees as of the Effective Date or during the Term,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if a Change of Control of Oruka occurs, the Oruka Antibody Patents shall not include any Patents owned or in-licensed by the Acquiring Entity as of the closing of such Change of Control.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3" w:name="page244"/>
    <w:bookmarkEnd w:id="243"/>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1.63 “</w:t>
      </w:r>
      <w:r>
        <w:rPr>
          <w:rFonts w:ascii="Times New Roman" w:cs="Times New Roman" w:eastAsia="Times New Roman" w:hAnsi="Times New Roman"/>
          <w:sz w:val="18"/>
          <w:szCs w:val="18"/>
          <w:b w:val="1"/>
          <w:bCs w:val="1"/>
          <w:color w:val="auto"/>
        </w:rPr>
        <w:t>Oruka Cross License Patents</w:t>
      </w:r>
      <w:r>
        <w:rPr>
          <w:rFonts w:ascii="Times New Roman" w:cs="Times New Roman" w:eastAsia="Times New Roman" w:hAnsi="Times New Roman"/>
          <w:sz w:val="18"/>
          <w:szCs w:val="18"/>
          <w:color w:val="auto"/>
        </w:rPr>
        <w:t>” means any Patents Controlled by Oruka or its Affiliates as of the Effective Date or during the Term that Cover the composition of matter or method of treatment of the Retained IL-23 Project Antibodies. Notwithstanding the foregoing, the Oruka Cross License Patents shall not include any Patents that Cover (a) [***], or (b) [***].</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1.64 “</w:t>
      </w:r>
      <w:r>
        <w:rPr>
          <w:rFonts w:ascii="Times New Roman" w:cs="Times New Roman" w:eastAsia="Times New Roman" w:hAnsi="Times New Roman"/>
          <w:sz w:val="18"/>
          <w:szCs w:val="18"/>
          <w:b w:val="1"/>
          <w:bCs w:val="1"/>
          <w:color w:val="auto"/>
        </w:rPr>
        <w:t>Oruka Indemnitee</w:t>
      </w:r>
      <w:r>
        <w:rPr>
          <w:rFonts w:ascii="Times New Roman" w:cs="Times New Roman" w:eastAsia="Times New Roman" w:hAnsi="Times New Roman"/>
          <w:sz w:val="18"/>
          <w:szCs w:val="18"/>
          <w:color w:val="auto"/>
        </w:rPr>
        <w:t>” has the meaning set forth in Section 9.2.</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1.65 “</w:t>
      </w:r>
      <w:r>
        <w:rPr>
          <w:rFonts w:ascii="Times New Roman" w:cs="Times New Roman" w:eastAsia="Times New Roman" w:hAnsi="Times New Roman"/>
          <w:sz w:val="18"/>
          <w:szCs w:val="18"/>
          <w:b w:val="1"/>
          <w:bCs w:val="1"/>
          <w:color w:val="auto"/>
        </w:rPr>
        <w:t>Oruka Intellectual Property</w:t>
      </w:r>
      <w:r>
        <w:rPr>
          <w:rFonts w:ascii="Times New Roman" w:cs="Times New Roman" w:eastAsia="Times New Roman" w:hAnsi="Times New Roman"/>
          <w:sz w:val="18"/>
          <w:szCs w:val="18"/>
          <w:color w:val="auto"/>
        </w:rPr>
        <w:t>” means any Patents, Know-How or other Intellectual Property Rights that are Controlled by Oruka and are necessary for, and actually used (or held for use) by Oruka or its Affiliates as of the effective date of termination of this Agreement in the Development, Manufacturing, or Commercialization of Oruka Products.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1.66 “</w:t>
      </w:r>
      <w:r>
        <w:rPr>
          <w:rFonts w:ascii="Times New Roman" w:cs="Times New Roman" w:eastAsia="Times New Roman" w:hAnsi="Times New Roman"/>
          <w:sz w:val="18"/>
          <w:szCs w:val="18"/>
          <w:b w:val="1"/>
          <w:bCs w:val="1"/>
          <w:color w:val="auto"/>
        </w:rPr>
        <w:t>Oruka Invention</w:t>
      </w:r>
      <w:r>
        <w:rPr>
          <w:rFonts w:ascii="Times New Roman" w:cs="Times New Roman" w:eastAsia="Times New Roman" w:hAnsi="Times New Roman"/>
          <w:sz w:val="18"/>
          <w:szCs w:val="18"/>
          <w:color w:val="auto"/>
        </w:rPr>
        <w:t xml:space="preserve">” means (a) any Invention that is owned or Controlled by Oruka, and (b) all Intellectual Property Rights therein,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in each case (a) – (b), Oruka Inventions shall not include (i) any Inventions owned or Controlled by Paragon or its Affiliate, the rights to which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licensed to Oruka or its Affiliate under this Agreement or a separate agreement, or (ii) any Intellectual Property Rights therein.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1.67 “</w:t>
      </w:r>
      <w:r>
        <w:rPr>
          <w:rFonts w:ascii="Times New Roman" w:cs="Times New Roman" w:eastAsia="Times New Roman" w:hAnsi="Times New Roman"/>
          <w:sz w:val="18"/>
          <w:szCs w:val="18"/>
          <w:b w:val="1"/>
          <w:bCs w:val="1"/>
          <w:color w:val="auto"/>
        </w:rPr>
        <w:t>Oruka Multispecific Antibody</w:t>
      </w:r>
      <w:r>
        <w:rPr>
          <w:rFonts w:ascii="Times New Roman" w:cs="Times New Roman" w:eastAsia="Times New Roman" w:hAnsi="Times New Roman"/>
          <w:sz w:val="18"/>
          <w:szCs w:val="18"/>
          <w:color w:val="auto"/>
        </w:rPr>
        <w:t>” means any Multispecific Antibody that is Developed, Manufactured, Commercialized or otherwise exploited by Oruka, its Affiliates or Sublicensees, excluding in each case, and subject to Section 2.7, any Paragon Multispecific Antibody.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1.68 “</w:t>
      </w:r>
      <w:r>
        <w:rPr>
          <w:rFonts w:ascii="Times New Roman" w:cs="Times New Roman" w:eastAsia="Times New Roman" w:hAnsi="Times New Roman"/>
          <w:sz w:val="18"/>
          <w:szCs w:val="18"/>
          <w:b w:val="1"/>
          <w:bCs w:val="1"/>
          <w:color w:val="auto"/>
        </w:rPr>
        <w:t>Oruka Multispecific Patents</w:t>
      </w:r>
      <w:r>
        <w:rPr>
          <w:rFonts w:ascii="Times New Roman" w:cs="Times New Roman" w:eastAsia="Times New Roman" w:hAnsi="Times New Roman"/>
          <w:sz w:val="18"/>
          <w:szCs w:val="18"/>
          <w:color w:val="auto"/>
        </w:rPr>
        <w:t>” means those Patents that Cover the composition of matter of, or any method of specifically making or using, an Oruka Multispecific Antibody.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1.69 “</w:t>
      </w:r>
      <w:r>
        <w:rPr>
          <w:rFonts w:ascii="Times New Roman" w:cs="Times New Roman" w:eastAsia="Times New Roman" w:hAnsi="Times New Roman"/>
          <w:sz w:val="18"/>
          <w:szCs w:val="18"/>
          <w:b w:val="1"/>
          <w:bCs w:val="1"/>
          <w:color w:val="auto"/>
        </w:rPr>
        <w:t>Oruka Multispecific Product</w:t>
      </w:r>
      <w:r>
        <w:rPr>
          <w:rFonts w:ascii="Times New Roman" w:cs="Times New Roman" w:eastAsia="Times New Roman" w:hAnsi="Times New Roman"/>
          <w:sz w:val="18"/>
          <w:szCs w:val="18"/>
          <w:color w:val="auto"/>
        </w:rPr>
        <w:t>” means any product that comprises or contains any Oruka Multispecific Antibody.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1.70 “</w:t>
      </w:r>
      <w:r>
        <w:rPr>
          <w:rFonts w:ascii="Times New Roman" w:cs="Times New Roman" w:eastAsia="Times New Roman" w:hAnsi="Times New Roman"/>
          <w:sz w:val="18"/>
          <w:szCs w:val="18"/>
          <w:b w:val="1"/>
          <w:bCs w:val="1"/>
          <w:color w:val="auto"/>
        </w:rPr>
        <w:t>Oruka Product</w:t>
      </w:r>
      <w:r>
        <w:rPr>
          <w:rFonts w:ascii="Times New Roman" w:cs="Times New Roman" w:eastAsia="Times New Roman" w:hAnsi="Times New Roman"/>
          <w:sz w:val="18"/>
          <w:szCs w:val="18"/>
          <w:color w:val="auto"/>
        </w:rPr>
        <w:t>” means, individually or collectively, as applicable, Licensed Antibodies, Derived Antibodies, Products, Oruka Multispecific Antibodies and Oruka Multispecific Products.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1.71 “</w:t>
      </w:r>
      <w:r>
        <w:rPr>
          <w:rFonts w:ascii="Times New Roman" w:cs="Times New Roman" w:eastAsia="Times New Roman" w:hAnsi="Times New Roman"/>
          <w:sz w:val="18"/>
          <w:szCs w:val="18"/>
          <w:b w:val="1"/>
          <w:bCs w:val="1"/>
          <w:color w:val="auto"/>
        </w:rPr>
        <w:t>Other Component(s)</w:t>
      </w:r>
      <w:r>
        <w:rPr>
          <w:rFonts w:ascii="Times New Roman" w:cs="Times New Roman" w:eastAsia="Times New Roman" w:hAnsi="Times New Roman"/>
          <w:sz w:val="18"/>
          <w:szCs w:val="18"/>
          <w:color w:val="auto"/>
        </w:rPr>
        <w:t>” has the meaning set forth in Section 1.59.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1.72 “</w:t>
      </w:r>
      <w:r>
        <w:rPr>
          <w:rFonts w:ascii="Times New Roman" w:cs="Times New Roman" w:eastAsia="Times New Roman" w:hAnsi="Times New Roman"/>
          <w:sz w:val="18"/>
          <w:szCs w:val="18"/>
          <w:b w:val="1"/>
          <w:bCs w:val="1"/>
          <w:color w:val="auto"/>
        </w:rPr>
        <w:t>Other Licensed Know-How</w:t>
      </w:r>
      <w:r>
        <w:rPr>
          <w:rFonts w:ascii="Times New Roman" w:cs="Times New Roman" w:eastAsia="Times New Roman" w:hAnsi="Times New Roman"/>
          <w:sz w:val="18"/>
          <w:szCs w:val="18"/>
          <w:color w:val="auto"/>
        </w:rPr>
        <w:t>” means all Know-How Controlled by Paragon or its Affiliates on the Effective Date or during the Term that</w:t>
      </w:r>
    </w:p>
    <w:p>
      <w:pPr>
        <w:spacing w:after="0" w:line="31" w:lineRule="exact"/>
        <w:rPr>
          <w:sz w:val="20"/>
          <w:szCs w:val="20"/>
          <w:color w:val="auto"/>
        </w:rPr>
      </w:pPr>
    </w:p>
    <w:p>
      <w:pPr>
        <w:jc w:val="both"/>
        <w:ind w:firstLine="8"/>
        <w:spacing w:after="0" w:line="253" w:lineRule="auto"/>
        <w:tabs>
          <w:tab w:leader="none" w:pos="2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used by or on behalf of Paragon in the performance of the Research Program, and (b) is necessary to Develop, Manufacture, Commercialize or otherwise exploit (i) Licensed Antibodies, or (ii) Products, Multispecific Antibodies or Multispecific Products, in each case solely to the extent comprising or containing a Licensed Antibody. For clarity, the Other Licensed Know-How shall exclude (x) the Licensed Antibody Technology, and (y) any Know-How Controlled by Paragon or its Affiliates relating to (1) that [***], or (2) [***].</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1.73 “</w:t>
      </w:r>
      <w:r>
        <w:rPr>
          <w:rFonts w:ascii="Times New Roman" w:cs="Times New Roman" w:eastAsia="Times New Roman" w:hAnsi="Times New Roman"/>
          <w:sz w:val="18"/>
          <w:szCs w:val="18"/>
          <w:b w:val="1"/>
          <w:bCs w:val="1"/>
          <w:color w:val="auto"/>
        </w:rPr>
        <w:t>Other Licensed Patents</w:t>
      </w:r>
      <w:r>
        <w:rPr>
          <w:rFonts w:ascii="Times New Roman" w:cs="Times New Roman" w:eastAsia="Times New Roman" w:hAnsi="Times New Roman"/>
          <w:sz w:val="18"/>
          <w:szCs w:val="18"/>
          <w:color w:val="auto"/>
        </w:rPr>
        <w:t>” means any Patents other than Licensed Antibody Patents Controlled by Paragon or its Affiliates as of the Effective Date or during the Term that (a) include a claim that expressly recites the sequence of a Licensed Antibody or Derived Antibody, and (b) are necessary to Develop, Manufacture or Commercialize Licensed Antibodies or Derived Antibodies in the Field in the Territory. Notwithstanding the foregoing, the Other Licensed Patents shall not include (i) Paragon Multispecific Patents, (ii) the Paragon Platform Patents (as defined in the Option Agreement), or (iii) any Patents that Cover (x) that [***], or (y) [***].</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4" w:name="page245"/>
    <w:bookmarkEnd w:id="244"/>
    <w:p>
      <w:pPr>
        <w:ind w:left="660"/>
        <w:spacing w:after="0"/>
        <w:rPr>
          <w:sz w:val="20"/>
          <w:szCs w:val="20"/>
          <w:color w:val="auto"/>
        </w:rPr>
      </w:pPr>
      <w:r>
        <w:rPr>
          <w:rFonts w:ascii="Times New Roman" w:cs="Times New Roman" w:eastAsia="Times New Roman" w:hAnsi="Times New Roman"/>
          <w:sz w:val="18"/>
          <w:szCs w:val="18"/>
          <w:color w:val="auto"/>
        </w:rPr>
        <w:t>1.74 “</w:t>
      </w:r>
      <w:r>
        <w:rPr>
          <w:rFonts w:ascii="Times New Roman" w:cs="Times New Roman" w:eastAsia="Times New Roman" w:hAnsi="Times New Roman"/>
          <w:sz w:val="18"/>
          <w:szCs w:val="18"/>
          <w:b w:val="1"/>
          <w:bCs w:val="1"/>
          <w:color w:val="auto"/>
        </w:rPr>
        <w:t>Other Licensed Technology</w:t>
      </w:r>
      <w:r>
        <w:rPr>
          <w:rFonts w:ascii="Times New Roman" w:cs="Times New Roman" w:eastAsia="Times New Roman" w:hAnsi="Times New Roman"/>
          <w:sz w:val="18"/>
          <w:szCs w:val="18"/>
          <w:color w:val="auto"/>
        </w:rPr>
        <w:t>” means all (a) Other Licensed Know-How, and (b) Other Licensed Patents.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1.75 “</w:t>
      </w:r>
      <w:r>
        <w:rPr>
          <w:rFonts w:ascii="Times New Roman" w:cs="Times New Roman" w:eastAsia="Times New Roman" w:hAnsi="Times New Roman"/>
          <w:sz w:val="18"/>
          <w:szCs w:val="18"/>
          <w:b w:val="1"/>
          <w:bCs w:val="1"/>
          <w:color w:val="auto"/>
        </w:rPr>
        <w:t>Paragon</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1.76 “</w:t>
      </w:r>
      <w:r>
        <w:rPr>
          <w:rFonts w:ascii="Times New Roman" w:cs="Times New Roman" w:eastAsia="Times New Roman" w:hAnsi="Times New Roman"/>
          <w:sz w:val="18"/>
          <w:szCs w:val="18"/>
          <w:b w:val="1"/>
          <w:bCs w:val="1"/>
          <w:color w:val="auto"/>
        </w:rPr>
        <w:t>Paragon Cross License Patents</w:t>
      </w:r>
      <w:r>
        <w:rPr>
          <w:rFonts w:ascii="Times New Roman" w:cs="Times New Roman" w:eastAsia="Times New Roman" w:hAnsi="Times New Roman"/>
          <w:sz w:val="18"/>
          <w:szCs w:val="18"/>
          <w:color w:val="auto"/>
        </w:rPr>
        <w:t>” means any Patents (other than Licensed Antibody Patents or Other Licensed Patents) Controlled by Paragon or its Affiliates as of the Effective Date or during the Term that Cover the composition of matter or method of treatment of the Licensed Antibodies. Notwithstanding the foregoing, the Paragon Cross License Patents shall not include (a) the Paragon Multispecific Patents, (b) the Paragon Platform Patents (as defined in the Option Agreement), or (c) any Patents that Cover (i) [***], or (ii) [***].</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1.77 “</w:t>
      </w:r>
      <w:r>
        <w:rPr>
          <w:rFonts w:ascii="Times New Roman" w:cs="Times New Roman" w:eastAsia="Times New Roman" w:hAnsi="Times New Roman"/>
          <w:sz w:val="18"/>
          <w:szCs w:val="18"/>
          <w:b w:val="1"/>
          <w:bCs w:val="1"/>
          <w:color w:val="auto"/>
        </w:rPr>
        <w:t>Paragon Indemnitee</w:t>
      </w:r>
      <w:r>
        <w:rPr>
          <w:rFonts w:ascii="Times New Roman" w:cs="Times New Roman" w:eastAsia="Times New Roman" w:hAnsi="Times New Roman"/>
          <w:sz w:val="18"/>
          <w:szCs w:val="18"/>
          <w:color w:val="auto"/>
        </w:rPr>
        <w:t>” has the meaning set forth in Section 9.1.</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1.78 “</w:t>
      </w:r>
      <w:r>
        <w:rPr>
          <w:rFonts w:ascii="Times New Roman" w:cs="Times New Roman" w:eastAsia="Times New Roman" w:hAnsi="Times New Roman"/>
          <w:sz w:val="18"/>
          <w:szCs w:val="18"/>
          <w:b w:val="1"/>
          <w:bCs w:val="1"/>
          <w:color w:val="auto"/>
        </w:rPr>
        <w:t>Paragon Multispecific Antibody</w:t>
      </w:r>
      <w:r>
        <w:rPr>
          <w:rFonts w:ascii="Times New Roman" w:cs="Times New Roman" w:eastAsia="Times New Roman" w:hAnsi="Times New Roman"/>
          <w:sz w:val="18"/>
          <w:szCs w:val="18"/>
          <w:color w:val="auto"/>
        </w:rPr>
        <w:t>” means any Multispecific Antibody that is Developed, Manufactured, Commercialized or otherwise exploited by Paragon or its Affiliate or licensees (other than Oruka and its Affiliates and Sublicensees), excluding in each case any Oruka Multispecific Antibodies.</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1.79 “</w:t>
      </w:r>
      <w:r>
        <w:rPr>
          <w:rFonts w:ascii="Times New Roman" w:cs="Times New Roman" w:eastAsia="Times New Roman" w:hAnsi="Times New Roman"/>
          <w:sz w:val="18"/>
          <w:szCs w:val="18"/>
          <w:b w:val="1"/>
          <w:bCs w:val="1"/>
          <w:color w:val="auto"/>
        </w:rPr>
        <w:t>Paragon Multispecific Patents</w:t>
      </w:r>
      <w:r>
        <w:rPr>
          <w:rFonts w:ascii="Times New Roman" w:cs="Times New Roman" w:eastAsia="Times New Roman" w:hAnsi="Times New Roman"/>
          <w:sz w:val="18"/>
          <w:szCs w:val="18"/>
          <w:color w:val="auto"/>
        </w:rPr>
        <w:t>” means those Patents that Cover the composition of matter of, or any method of specifically making or using, a Paragon Multispecific Antibody, in each case excluding the Licensed Antibody Patents.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1.80 “</w:t>
      </w:r>
      <w:r>
        <w:rPr>
          <w:rFonts w:ascii="Times New Roman" w:cs="Times New Roman" w:eastAsia="Times New Roman" w:hAnsi="Times New Roman"/>
          <w:sz w:val="18"/>
          <w:szCs w:val="18"/>
          <w:b w:val="1"/>
          <w:bCs w:val="1"/>
          <w:color w:val="auto"/>
        </w:rPr>
        <w:t>Paragon Patents</w:t>
      </w:r>
      <w:r>
        <w:rPr>
          <w:rFonts w:ascii="Times New Roman" w:cs="Times New Roman" w:eastAsia="Times New Roman" w:hAnsi="Times New Roman"/>
          <w:sz w:val="18"/>
          <w:szCs w:val="18"/>
          <w:color w:val="auto"/>
        </w:rPr>
        <w:t>” has the meaning set forth in Section 5.2(c).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1.81 “</w:t>
      </w:r>
      <w:r>
        <w:rPr>
          <w:rFonts w:ascii="Times New Roman" w:cs="Times New Roman" w:eastAsia="Times New Roman" w:hAnsi="Times New Roman"/>
          <w:sz w:val="18"/>
          <w:szCs w:val="18"/>
          <w:b w:val="1"/>
          <w:bCs w:val="1"/>
          <w:color w:val="auto"/>
        </w:rPr>
        <w:t>Paragon Third Party Agreement</w:t>
      </w:r>
      <w:r>
        <w:rPr>
          <w:rFonts w:ascii="Times New Roman" w:cs="Times New Roman" w:eastAsia="Times New Roman" w:hAnsi="Times New Roman"/>
          <w:sz w:val="18"/>
          <w:szCs w:val="18"/>
          <w:color w:val="auto"/>
        </w:rPr>
        <w:t>” has the meaning set forth in Section 2.8.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1.82 “</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has the meaning set forth in Section 1.15.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1.83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1.84 “</w:t>
      </w:r>
      <w:r>
        <w:rPr>
          <w:rFonts w:ascii="Times New Roman" w:cs="Times New Roman" w:eastAsia="Times New Roman" w:hAnsi="Times New Roman"/>
          <w:sz w:val="18"/>
          <w:szCs w:val="18"/>
          <w:b w:val="1"/>
          <w:bCs w:val="1"/>
          <w:color w:val="auto"/>
        </w:rPr>
        <w:t>Patent Challenge</w:t>
      </w:r>
      <w:r>
        <w:rPr>
          <w:rFonts w:ascii="Times New Roman" w:cs="Times New Roman" w:eastAsia="Times New Roman" w:hAnsi="Times New Roman"/>
          <w:sz w:val="18"/>
          <w:szCs w:val="18"/>
          <w:color w:val="auto"/>
        </w:rPr>
        <w:t>” has the meaning set forth in Section 5.3(a).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1.85 “</w:t>
      </w:r>
      <w:r>
        <w:rPr>
          <w:rFonts w:ascii="Times New Roman" w:cs="Times New Roman" w:eastAsia="Times New Roman" w:hAnsi="Times New Roman"/>
          <w:sz w:val="18"/>
          <w:szCs w:val="18"/>
          <w:b w:val="1"/>
          <w:bCs w:val="1"/>
          <w:color w:val="auto"/>
        </w:rPr>
        <w:t>Patent Infringement</w:t>
      </w:r>
      <w:r>
        <w:rPr>
          <w:rFonts w:ascii="Times New Roman" w:cs="Times New Roman" w:eastAsia="Times New Roman" w:hAnsi="Times New Roman"/>
          <w:sz w:val="18"/>
          <w:szCs w:val="18"/>
          <w:color w:val="auto"/>
        </w:rPr>
        <w:t>” has the meaning set forth in Section 5.3(a).</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1.86 “</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(a) unexpired patents and patent applications, (b) any and all patent applications filed either from such patent or patent applications or from a patent application claiming priority from any of those, including divisionals, provisionals, continuations, continuations-in-part, and reissues, (c) substitutions, renewals, registrations, re-examinations, revalidations, extensions, supplementary protection certificates and the like of any such patents and patent applications, and (d) any and all foreign equivalents of the foregoing.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5" w:name="page246"/>
    <w:bookmarkEnd w:id="245"/>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1.87 “</w:t>
      </w:r>
      <w:r>
        <w:rPr>
          <w:rFonts w:ascii="Times New Roman" w:cs="Times New Roman" w:eastAsia="Times New Roman" w:hAnsi="Times New Roman"/>
          <w:sz w:val="18"/>
          <w:szCs w:val="18"/>
          <w:b w:val="1"/>
          <w:bCs w:val="1"/>
          <w:color w:val="auto"/>
        </w:rPr>
        <w:t>Phase I Trial</w:t>
      </w:r>
      <w:r>
        <w:rPr>
          <w:rFonts w:ascii="Times New Roman" w:cs="Times New Roman" w:eastAsia="Times New Roman" w:hAnsi="Times New Roman"/>
          <w:sz w:val="18"/>
          <w:szCs w:val="18"/>
          <w:color w:val="auto"/>
        </w:rPr>
        <w:t>” means a human clinical trial in any country of the type described in 21 C.F.R. §312.21(a), or the foreign equivalent thereof, regardless of where such clinical trial is conducted.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1.88 “</w:t>
      </w:r>
      <w:r>
        <w:rPr>
          <w:rFonts w:ascii="Times New Roman" w:cs="Times New Roman" w:eastAsia="Times New Roman" w:hAnsi="Times New Roman"/>
          <w:sz w:val="18"/>
          <w:szCs w:val="18"/>
          <w:b w:val="1"/>
          <w:bCs w:val="1"/>
          <w:color w:val="auto"/>
        </w:rPr>
        <w:t>Phase II Trial</w:t>
      </w:r>
      <w:r>
        <w:rPr>
          <w:rFonts w:ascii="Times New Roman" w:cs="Times New Roman" w:eastAsia="Times New Roman" w:hAnsi="Times New Roman"/>
          <w:sz w:val="18"/>
          <w:szCs w:val="18"/>
          <w:color w:val="auto"/>
        </w:rPr>
        <w:t>” means a human clinical trial in any country of the type described in 21 C.F.R. §312.21(b), or the foreign equivalent thereof, regardless of where such clinical trial is conducted.</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1.89 “</w:t>
      </w:r>
      <w:r>
        <w:rPr>
          <w:rFonts w:ascii="Times New Roman" w:cs="Times New Roman" w:eastAsia="Times New Roman" w:hAnsi="Times New Roman"/>
          <w:sz w:val="18"/>
          <w:szCs w:val="18"/>
          <w:b w:val="1"/>
          <w:bCs w:val="1"/>
          <w:color w:val="auto"/>
        </w:rPr>
        <w:t>Phase III Trial</w:t>
      </w:r>
      <w:r>
        <w:rPr>
          <w:rFonts w:ascii="Times New Roman" w:cs="Times New Roman" w:eastAsia="Times New Roman" w:hAnsi="Times New Roman"/>
          <w:sz w:val="18"/>
          <w:szCs w:val="18"/>
          <w:color w:val="auto"/>
        </w:rPr>
        <w:t>” means a human clinical trial in any country of the type described in 21 C.F.R. §312.21(c), or the foreign equivalent thereof, regardless of where such clinical trial is conducted.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1.90 “</w:t>
      </w:r>
      <w:r>
        <w:rPr>
          <w:rFonts w:ascii="Times New Roman" w:cs="Times New Roman" w:eastAsia="Times New Roman" w:hAnsi="Times New Roman"/>
          <w:sz w:val="18"/>
          <w:szCs w:val="18"/>
          <w:b w:val="1"/>
          <w:bCs w:val="1"/>
          <w:color w:val="auto"/>
        </w:rPr>
        <w:t>Post-Effective Date Patents</w:t>
      </w:r>
      <w:r>
        <w:rPr>
          <w:rFonts w:ascii="Times New Roman" w:cs="Times New Roman" w:eastAsia="Times New Roman" w:hAnsi="Times New Roman"/>
          <w:sz w:val="18"/>
          <w:szCs w:val="18"/>
          <w:color w:val="auto"/>
        </w:rPr>
        <w:t>” has the meaning set forth in Section 5.2(b)(i).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1.91 “</w:t>
      </w:r>
      <w:r>
        <w:rPr>
          <w:rFonts w:ascii="Times New Roman" w:cs="Times New Roman" w:eastAsia="Times New Roman" w:hAnsi="Times New Roman"/>
          <w:sz w:val="18"/>
          <w:szCs w:val="18"/>
          <w:b w:val="1"/>
          <w:bCs w:val="1"/>
          <w:color w:val="auto"/>
        </w:rPr>
        <w:t>Pre-Existing Entities</w:t>
      </w:r>
      <w:r>
        <w:rPr>
          <w:rFonts w:ascii="Times New Roman" w:cs="Times New Roman" w:eastAsia="Times New Roman" w:hAnsi="Times New Roman"/>
          <w:sz w:val="18"/>
          <w:szCs w:val="18"/>
          <w:color w:val="auto"/>
        </w:rPr>
        <w:t>” has the meaning set forth in Section 1.3.</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1.92 “</w:t>
      </w: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means any product that comprises or contains any Licensed Antibody or Derived Antibody other than as part of a Multispecific Antibody or a Multispecific Product.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1.93 “</w:t>
      </w:r>
      <w:r>
        <w:rPr>
          <w:rFonts w:ascii="Times New Roman" w:cs="Times New Roman" w:eastAsia="Times New Roman" w:hAnsi="Times New Roman"/>
          <w:sz w:val="18"/>
          <w:szCs w:val="18"/>
          <w:b w:val="1"/>
          <w:bCs w:val="1"/>
          <w:color w:val="auto"/>
        </w:rPr>
        <w:t>Prosecute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Prosecution</w:t>
      </w:r>
      <w:r>
        <w:rPr>
          <w:rFonts w:ascii="Times New Roman" w:cs="Times New Roman" w:eastAsia="Times New Roman" w:hAnsi="Times New Roman"/>
          <w:sz w:val="18"/>
          <w:szCs w:val="18"/>
          <w:color w:val="auto"/>
        </w:rPr>
        <w:t>” has the meaning set forth in Section 5.2(a).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1.94 “</w:t>
      </w:r>
      <w:r>
        <w:rPr>
          <w:rFonts w:ascii="Times New Roman" w:cs="Times New Roman" w:eastAsia="Times New Roman" w:hAnsi="Times New Roman"/>
          <w:sz w:val="18"/>
          <w:szCs w:val="18"/>
          <w:b w:val="1"/>
          <w:bCs w:val="1"/>
          <w:color w:val="auto"/>
        </w:rPr>
        <w:t>Prosecuting Party</w:t>
      </w:r>
      <w:r>
        <w:rPr>
          <w:rFonts w:ascii="Times New Roman" w:cs="Times New Roman" w:eastAsia="Times New Roman" w:hAnsi="Times New Roman"/>
          <w:sz w:val="18"/>
          <w:szCs w:val="18"/>
          <w:color w:val="auto"/>
        </w:rPr>
        <w:t>” has the meaning set forth in Section 5.2(b)(iii).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1.95 “</w:t>
      </w:r>
      <w:r>
        <w:rPr>
          <w:rFonts w:ascii="Times New Roman" w:cs="Times New Roman" w:eastAsia="Times New Roman" w:hAnsi="Times New Roman"/>
          <w:sz w:val="18"/>
          <w:szCs w:val="18"/>
          <w:b w:val="1"/>
          <w:bCs w:val="1"/>
          <w:color w:val="auto"/>
        </w:rPr>
        <w:t>Publication</w:t>
      </w:r>
      <w:r>
        <w:rPr>
          <w:rFonts w:ascii="Times New Roman" w:cs="Times New Roman" w:eastAsia="Times New Roman" w:hAnsi="Times New Roman"/>
          <w:sz w:val="18"/>
          <w:szCs w:val="18"/>
          <w:color w:val="auto"/>
        </w:rPr>
        <w:t>” has the meaning set forth in Section 6.6(b).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1.96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has the meaning set forth in Section 1.21.</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1.97 “</w:t>
      </w:r>
      <w:r>
        <w:rPr>
          <w:rFonts w:ascii="Times New Roman" w:cs="Times New Roman" w:eastAsia="Times New Roman" w:hAnsi="Times New Roman"/>
          <w:sz w:val="18"/>
          <w:szCs w:val="18"/>
          <w:b w:val="1"/>
          <w:bCs w:val="1"/>
          <w:color w:val="auto"/>
        </w:rPr>
        <w:t>Regulatory Approval</w:t>
      </w:r>
      <w:r>
        <w:rPr>
          <w:rFonts w:ascii="Times New Roman" w:cs="Times New Roman" w:eastAsia="Times New Roman" w:hAnsi="Times New Roman"/>
          <w:sz w:val="18"/>
          <w:szCs w:val="18"/>
          <w:color w:val="auto"/>
        </w:rPr>
        <w:t>” means all clearances, approvals (including approval of an MAA as well as any applicable pricing and/or reimbursement approvals), licenses, registrations or authorizations of any Regulatory Authority necessary to commercially distribute, sell and market a pharmaceutical product in a country or territory under this Agreement.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1.98 “</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any supranational, multinational, federal, national, state, provincial or local regulatory agency, department, bureau or other Governmental Authority with authority over the clinical development, manufacture marketing or sale of an Oruka Product in a country or region, including the FDA in the United States and the EMA in Europe.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1.99 “</w:t>
      </w:r>
      <w:r>
        <w:rPr>
          <w:rFonts w:ascii="Times New Roman" w:cs="Times New Roman" w:eastAsia="Times New Roman" w:hAnsi="Times New Roman"/>
          <w:sz w:val="18"/>
          <w:szCs w:val="18"/>
          <w:b w:val="1"/>
          <w:bCs w:val="1"/>
          <w:color w:val="auto"/>
        </w:rPr>
        <w:t>Reimbursement Obligation</w:t>
      </w:r>
      <w:r>
        <w:rPr>
          <w:rFonts w:ascii="Times New Roman" w:cs="Times New Roman" w:eastAsia="Times New Roman" w:hAnsi="Times New Roman"/>
          <w:sz w:val="18"/>
          <w:szCs w:val="18"/>
          <w:color w:val="auto"/>
        </w:rPr>
        <w:t>” has the meaning set forth in Section 2.8.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1.100 “</w:t>
      </w:r>
      <w:r>
        <w:rPr>
          <w:rFonts w:ascii="Times New Roman" w:cs="Times New Roman" w:eastAsia="Times New Roman" w:hAnsi="Times New Roman"/>
          <w:sz w:val="18"/>
          <w:szCs w:val="18"/>
          <w:b w:val="1"/>
          <w:bCs w:val="1"/>
          <w:color w:val="auto"/>
        </w:rPr>
        <w:t>Remaining Recovery</w:t>
      </w:r>
      <w:r>
        <w:rPr>
          <w:rFonts w:ascii="Times New Roman" w:cs="Times New Roman" w:eastAsia="Times New Roman" w:hAnsi="Times New Roman"/>
          <w:sz w:val="18"/>
          <w:szCs w:val="18"/>
          <w:color w:val="auto"/>
        </w:rPr>
        <w:t>” has the meaning set forth in Section 5.3(f).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1.101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of a Party means such Party’s officers, directors, employees, contractors, subcontractors, agents and consultants.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1.102 “</w:t>
      </w:r>
      <w:r>
        <w:rPr>
          <w:rFonts w:ascii="Times New Roman" w:cs="Times New Roman" w:eastAsia="Times New Roman" w:hAnsi="Times New Roman"/>
          <w:sz w:val="18"/>
          <w:szCs w:val="18"/>
          <w:b w:val="1"/>
          <w:bCs w:val="1"/>
          <w:color w:val="auto"/>
        </w:rPr>
        <w:t>Research Program</w:t>
      </w:r>
      <w:r>
        <w:rPr>
          <w:rFonts w:ascii="Times New Roman" w:cs="Times New Roman" w:eastAsia="Times New Roman" w:hAnsi="Times New Roman"/>
          <w:sz w:val="18"/>
          <w:szCs w:val="18"/>
          <w:color w:val="auto"/>
        </w:rPr>
        <w:t>” means the Research Program (as defined in the Option Agreement) conducted by the Parties pursuant to the Option Agreement with respect to the Licensed Target.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6" w:name="page247"/>
    <w:bookmarkEnd w:id="246"/>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1.103 “</w:t>
      </w:r>
      <w:r>
        <w:rPr>
          <w:rFonts w:ascii="Times New Roman" w:cs="Times New Roman" w:eastAsia="Times New Roman" w:hAnsi="Times New Roman"/>
          <w:sz w:val="18"/>
          <w:szCs w:val="18"/>
          <w:b w:val="1"/>
          <w:bCs w:val="1"/>
          <w:color w:val="auto"/>
        </w:rPr>
        <w:t>Research Program Materials</w:t>
      </w:r>
      <w:r>
        <w:rPr>
          <w:rFonts w:ascii="Times New Roman" w:cs="Times New Roman" w:eastAsia="Times New Roman" w:hAnsi="Times New Roman"/>
          <w:sz w:val="18"/>
          <w:szCs w:val="18"/>
          <w:color w:val="auto"/>
        </w:rPr>
        <w:t xml:space="preserve">” means the tangible materials resulting from the Research Program that are Controlled by Paragon or its Affiliates as of the Effective Date or during the Term that are listed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hereto, as may be amended in writing from time to time upon mutual agreement of the Parties. For clarity, Research Program Materials shall not include materials that are consumed or destroyed in the performance of the Research Program or that are not available to be transferred by Paragon to Oruka without violating the terms of any agreement or other arrangement with a Third Party.</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1.104 “</w:t>
      </w:r>
      <w:r>
        <w:rPr>
          <w:rFonts w:ascii="Times New Roman" w:cs="Times New Roman" w:eastAsia="Times New Roman" w:hAnsi="Times New Roman"/>
          <w:sz w:val="18"/>
          <w:szCs w:val="18"/>
          <w:b w:val="1"/>
          <w:bCs w:val="1"/>
          <w:color w:val="auto"/>
        </w:rPr>
        <w:t>Results</w:t>
      </w:r>
      <w:r>
        <w:rPr>
          <w:rFonts w:ascii="Times New Roman" w:cs="Times New Roman" w:eastAsia="Times New Roman" w:hAnsi="Times New Roman"/>
          <w:sz w:val="18"/>
          <w:szCs w:val="18"/>
          <w:color w:val="auto"/>
        </w:rPr>
        <w:t>” means all data, results, analysis, conclusions, outcomes, information, documentation and reports that are generated by or on behalf of Paragon in performance of the Research Program, excluding in each case any other Licensed Antibody Technology.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1.105 “</w:t>
      </w:r>
      <w:r>
        <w:rPr>
          <w:rFonts w:ascii="Times New Roman" w:cs="Times New Roman" w:eastAsia="Times New Roman" w:hAnsi="Times New Roman"/>
          <w:sz w:val="18"/>
          <w:szCs w:val="18"/>
          <w:b w:val="1"/>
          <w:bCs w:val="1"/>
          <w:color w:val="auto"/>
        </w:rPr>
        <w:t>Retained IL-23 Antibody Patents</w:t>
      </w:r>
      <w:r>
        <w:rPr>
          <w:rFonts w:ascii="Times New Roman" w:cs="Times New Roman" w:eastAsia="Times New Roman" w:hAnsi="Times New Roman"/>
          <w:sz w:val="18"/>
          <w:szCs w:val="18"/>
          <w:color w:val="auto"/>
        </w:rPr>
        <w:t xml:space="preserve">” means all Patents that Cover the composition of matter of, or any method of specifically making or using, the Retained IL-23 Project Antibodies that in each case are owned by Paragon as of the Effective Date and are set forth on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1.106 “</w:t>
      </w:r>
      <w:r>
        <w:rPr>
          <w:rFonts w:ascii="Times New Roman" w:cs="Times New Roman" w:eastAsia="Times New Roman" w:hAnsi="Times New Roman"/>
          <w:sz w:val="18"/>
          <w:szCs w:val="18"/>
          <w:b w:val="1"/>
          <w:bCs w:val="1"/>
          <w:color w:val="auto"/>
        </w:rPr>
        <w:t>Retained IL-23 Project Antibodies</w:t>
      </w:r>
      <w:r>
        <w:rPr>
          <w:rFonts w:ascii="Times New Roman" w:cs="Times New Roman" w:eastAsia="Times New Roman" w:hAnsi="Times New Roman"/>
          <w:sz w:val="18"/>
          <w:szCs w:val="18"/>
          <w:color w:val="auto"/>
        </w:rPr>
        <w:t xml:space="preserve">” has the meaning set forth in the Option Agreement. A list of the Retained IL-23 Project Antibodies, identified by individual sequence identifier numbers, is set forth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1.107 “</w:t>
      </w:r>
      <w:r>
        <w:rPr>
          <w:rFonts w:ascii="Times New Roman" w:cs="Times New Roman" w:eastAsia="Times New Roman" w:hAnsi="Times New Roman"/>
          <w:sz w:val="18"/>
          <w:szCs w:val="18"/>
          <w:b w:val="1"/>
          <w:bCs w:val="1"/>
          <w:color w:val="auto"/>
        </w:rPr>
        <w:t>Retained IL-23 Project Antibody Licensee</w:t>
      </w:r>
      <w:r>
        <w:rPr>
          <w:rFonts w:ascii="Times New Roman" w:cs="Times New Roman" w:eastAsia="Times New Roman" w:hAnsi="Times New Roman"/>
          <w:sz w:val="18"/>
          <w:szCs w:val="18"/>
          <w:color w:val="auto"/>
        </w:rPr>
        <w:t>” means any assignee or licensee of Paragon with respect to Paragon’s rights in the Retained IL-23 Project Antibodies and the Retained IL-23 Antibody Patents.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1.108 “</w:t>
      </w:r>
      <w:r>
        <w:rPr>
          <w:rFonts w:ascii="Times New Roman" w:cs="Times New Roman" w:eastAsia="Times New Roman" w:hAnsi="Times New Roman"/>
          <w:sz w:val="18"/>
          <w:szCs w:val="18"/>
          <w:b w:val="1"/>
          <w:bCs w:val="1"/>
          <w:color w:val="auto"/>
        </w:rPr>
        <w:t>Reversion Products</w:t>
      </w:r>
      <w:r>
        <w:rPr>
          <w:rFonts w:ascii="Times New Roman" w:cs="Times New Roman" w:eastAsia="Times New Roman" w:hAnsi="Times New Roman"/>
          <w:sz w:val="18"/>
          <w:szCs w:val="18"/>
          <w:color w:val="auto"/>
        </w:rPr>
        <w:t>” has the meaning set forth in Section 8.5(c).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1.109 “</w:t>
      </w:r>
      <w:r>
        <w:rPr>
          <w:rFonts w:ascii="Times New Roman" w:cs="Times New Roman" w:eastAsia="Times New Roman" w:hAnsi="Times New Roman"/>
          <w:sz w:val="18"/>
          <w:szCs w:val="18"/>
          <w:b w:val="1"/>
          <w:bCs w:val="1"/>
          <w:color w:val="auto"/>
        </w:rPr>
        <w:t>Review Period</w:t>
      </w:r>
      <w:r>
        <w:rPr>
          <w:rFonts w:ascii="Times New Roman" w:cs="Times New Roman" w:eastAsia="Times New Roman" w:hAnsi="Times New Roman"/>
          <w:sz w:val="18"/>
          <w:szCs w:val="18"/>
          <w:color w:val="auto"/>
        </w:rPr>
        <w:t>” has the meaning set forth in Section 6.6(b).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1.110 “</w:t>
      </w:r>
      <w:r>
        <w:rPr>
          <w:rFonts w:ascii="Times New Roman" w:cs="Times New Roman" w:eastAsia="Times New Roman" w:hAnsi="Times New Roman"/>
          <w:sz w:val="18"/>
          <w:szCs w:val="18"/>
          <w:b w:val="1"/>
          <w:bCs w:val="1"/>
          <w:color w:val="auto"/>
        </w:rPr>
        <w:t>ROFN Information</w:t>
      </w:r>
      <w:r>
        <w:rPr>
          <w:rFonts w:ascii="Times New Roman" w:cs="Times New Roman" w:eastAsia="Times New Roman" w:hAnsi="Times New Roman"/>
          <w:sz w:val="18"/>
          <w:szCs w:val="18"/>
          <w:color w:val="auto"/>
        </w:rPr>
        <w:t>” has the meaning set forth in Section 2.7(a).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1.111 “</w:t>
      </w:r>
      <w:r>
        <w:rPr>
          <w:rFonts w:ascii="Times New Roman" w:cs="Times New Roman" w:eastAsia="Times New Roman" w:hAnsi="Times New Roman"/>
          <w:sz w:val="18"/>
          <w:szCs w:val="18"/>
          <w:b w:val="1"/>
          <w:bCs w:val="1"/>
          <w:color w:val="auto"/>
        </w:rPr>
        <w:t>ROFN Negotiation Period</w:t>
      </w:r>
      <w:r>
        <w:rPr>
          <w:rFonts w:ascii="Times New Roman" w:cs="Times New Roman" w:eastAsia="Times New Roman" w:hAnsi="Times New Roman"/>
          <w:sz w:val="18"/>
          <w:szCs w:val="18"/>
          <w:color w:val="auto"/>
        </w:rPr>
        <w:t>” has the meaning set forth in Section 2.7(c).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1.112 “</w:t>
      </w:r>
      <w:r>
        <w:rPr>
          <w:rFonts w:ascii="Times New Roman" w:cs="Times New Roman" w:eastAsia="Times New Roman" w:hAnsi="Times New Roman"/>
          <w:sz w:val="18"/>
          <w:szCs w:val="18"/>
          <w:b w:val="1"/>
          <w:bCs w:val="1"/>
          <w:color w:val="auto"/>
        </w:rPr>
        <w:t>ROFN Period</w:t>
      </w:r>
      <w:r>
        <w:rPr>
          <w:rFonts w:ascii="Times New Roman" w:cs="Times New Roman" w:eastAsia="Times New Roman" w:hAnsi="Times New Roman"/>
          <w:sz w:val="18"/>
          <w:szCs w:val="18"/>
          <w:color w:val="auto"/>
        </w:rPr>
        <w:t>” has the meaning set forth in Section 2.7(a).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1.113 “</w:t>
      </w:r>
      <w:r>
        <w:rPr>
          <w:rFonts w:ascii="Times New Roman" w:cs="Times New Roman" w:eastAsia="Times New Roman" w:hAnsi="Times New Roman"/>
          <w:sz w:val="18"/>
          <w:szCs w:val="18"/>
          <w:b w:val="1"/>
          <w:bCs w:val="1"/>
          <w:color w:val="auto"/>
        </w:rPr>
        <w:t>Royalty Payments</w:t>
      </w:r>
      <w:r>
        <w:rPr>
          <w:rFonts w:ascii="Times New Roman" w:cs="Times New Roman" w:eastAsia="Times New Roman" w:hAnsi="Times New Roman"/>
          <w:sz w:val="18"/>
          <w:szCs w:val="18"/>
          <w:color w:val="auto"/>
        </w:rPr>
        <w:t>” has the meaning set forth in Section 4.2(a).</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1.114 “</w:t>
      </w:r>
      <w:r>
        <w:rPr>
          <w:rFonts w:ascii="Times New Roman" w:cs="Times New Roman" w:eastAsia="Times New Roman" w:hAnsi="Times New Roman"/>
          <w:sz w:val="18"/>
          <w:szCs w:val="18"/>
          <w:b w:val="1"/>
          <w:bCs w:val="1"/>
          <w:color w:val="auto"/>
        </w:rPr>
        <w:t>Royalty Term</w:t>
      </w:r>
      <w:r>
        <w:rPr>
          <w:rFonts w:ascii="Times New Roman" w:cs="Times New Roman" w:eastAsia="Times New Roman" w:hAnsi="Times New Roman"/>
          <w:sz w:val="18"/>
          <w:szCs w:val="18"/>
          <w:color w:val="auto"/>
        </w:rPr>
        <w:t>” means, on an Oruka Product-by-Oruka Product and country-by-country basis, the period commencing on First Commercial Sale of the applicable Oruka Product in the applicable country in the Territory and ending, with respect to the particular Oruka Product and country at issue on the latest of the following dates: (a) the twelfth (12th) anniversary of the date of First Commercial Sale of such Oruka Product in such country; or (b) the expiration of the last-to-expire Valid Claim of a Licensed Antibody Patent or an Oruka Antibody Patent Covering the Manufacture, use or sale of such Oruka Product in the country at issue.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1.115 “</w:t>
      </w:r>
      <w:r>
        <w:rPr>
          <w:rFonts w:ascii="Times New Roman" w:cs="Times New Roman" w:eastAsia="Times New Roman" w:hAnsi="Times New Roman"/>
          <w:sz w:val="18"/>
          <w:szCs w:val="18"/>
          <w:b w:val="1"/>
          <w:bCs w:val="1"/>
          <w:color w:val="auto"/>
        </w:rPr>
        <w:t>Sequence Information</w:t>
      </w:r>
      <w:r>
        <w:rPr>
          <w:rFonts w:ascii="Times New Roman" w:cs="Times New Roman" w:eastAsia="Times New Roman" w:hAnsi="Times New Roman"/>
          <w:sz w:val="18"/>
          <w:szCs w:val="18"/>
          <w:color w:val="auto"/>
        </w:rPr>
        <w:t>” means any files of Paragon containing all Licensed Antibody sequences generated under the Research Program.</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7" w:name="page248"/>
    <w:bookmarkEnd w:id="247"/>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1.116 “</w:t>
      </w:r>
      <w:r>
        <w:rPr>
          <w:rFonts w:ascii="Times New Roman" w:cs="Times New Roman" w:eastAsia="Times New Roman" w:hAnsi="Times New Roman"/>
          <w:sz w:val="18"/>
          <w:szCs w:val="18"/>
          <w:b w:val="1"/>
          <w:bCs w:val="1"/>
          <w:color w:val="auto"/>
        </w:rPr>
        <w:t>Sublicensee</w:t>
      </w:r>
      <w:r>
        <w:rPr>
          <w:rFonts w:ascii="Times New Roman" w:cs="Times New Roman" w:eastAsia="Times New Roman" w:hAnsi="Times New Roman"/>
          <w:sz w:val="18"/>
          <w:szCs w:val="18"/>
          <w:color w:val="auto"/>
        </w:rPr>
        <w:t>” means any Affiliate of Oruka or any Third Party with respect to Oruka, to whom Oruka grants a sublicense of, or other authorization or permission granted under, the rights granted to Oruka in Section 2.1.</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1.117 “</w:t>
      </w:r>
      <w:r>
        <w:rPr>
          <w:rFonts w:ascii="Times New Roman" w:cs="Times New Roman" w:eastAsia="Times New Roman" w:hAnsi="Times New Roman"/>
          <w:sz w:val="18"/>
          <w:szCs w:val="18"/>
          <w:b w:val="1"/>
          <w:bCs w:val="1"/>
          <w:color w:val="auto"/>
        </w:rPr>
        <w:t>Target</w:t>
      </w:r>
      <w:r>
        <w:rPr>
          <w:rFonts w:ascii="Times New Roman" w:cs="Times New Roman" w:eastAsia="Times New Roman" w:hAnsi="Times New Roman"/>
          <w:sz w:val="18"/>
          <w:szCs w:val="18"/>
          <w:color w:val="auto"/>
        </w:rPr>
        <w:t>” means a protein molecule that (a) is chemically distinct from other molecules, and (b) wherein a binding entity derives recognized therapeutic value from binding to such molecule.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1.118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has the meaning set forth in Section 8.1.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1.119 “</w:t>
      </w: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18"/>
          <w:szCs w:val="18"/>
          <w:color w:val="auto"/>
        </w:rPr>
        <w:t>” means worldwide.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1.120 “</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person or entity other than Paragon or Oruka or an Affiliate of either Paragon or Oruka.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1.121 “</w:t>
      </w:r>
      <w:r>
        <w:rPr>
          <w:rFonts w:ascii="Times New Roman" w:cs="Times New Roman" w:eastAsia="Times New Roman" w:hAnsi="Times New Roman"/>
          <w:sz w:val="18"/>
          <w:szCs w:val="18"/>
          <w:b w:val="1"/>
          <w:bCs w:val="1"/>
          <w:color w:val="auto"/>
        </w:rPr>
        <w:t>Third Party Claim</w:t>
      </w:r>
      <w:r>
        <w:rPr>
          <w:rFonts w:ascii="Times New Roman" w:cs="Times New Roman" w:eastAsia="Times New Roman" w:hAnsi="Times New Roman"/>
          <w:sz w:val="18"/>
          <w:szCs w:val="18"/>
          <w:color w:val="auto"/>
        </w:rPr>
        <w:t>” has the meaning set forth in Section 9.1.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1.122 “</w:t>
      </w:r>
      <w:r>
        <w:rPr>
          <w:rFonts w:ascii="Times New Roman" w:cs="Times New Roman" w:eastAsia="Times New Roman" w:hAnsi="Times New Roman"/>
          <w:sz w:val="18"/>
          <w:szCs w:val="18"/>
          <w:b w:val="1"/>
          <w:bCs w:val="1"/>
          <w:color w:val="auto"/>
        </w:rPr>
        <w:t>Transfer Period</w:t>
      </w:r>
      <w:r>
        <w:rPr>
          <w:rFonts w:ascii="Times New Roman" w:cs="Times New Roman" w:eastAsia="Times New Roman" w:hAnsi="Times New Roman"/>
          <w:sz w:val="18"/>
          <w:szCs w:val="18"/>
          <w:color w:val="auto"/>
        </w:rPr>
        <w:t>” has the meaning set forth in Section 2.5(c).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1.123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means the United States of America and its possessions and territories, including Puerto Rico.</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1.124 “</w:t>
      </w:r>
      <w:r>
        <w:rPr>
          <w:rFonts w:ascii="Times New Roman" w:cs="Times New Roman" w:eastAsia="Times New Roman" w:hAnsi="Times New Roman"/>
          <w:sz w:val="18"/>
          <w:szCs w:val="18"/>
          <w:b w:val="1"/>
          <w:bCs w:val="1"/>
          <w:color w:val="auto"/>
        </w:rPr>
        <w:t>Valid Claim</w:t>
      </w:r>
      <w:r>
        <w:rPr>
          <w:rFonts w:ascii="Times New Roman" w:cs="Times New Roman" w:eastAsia="Times New Roman" w:hAnsi="Times New Roman"/>
          <w:sz w:val="18"/>
          <w:szCs w:val="18"/>
          <w:color w:val="auto"/>
        </w:rPr>
        <w:t>” means, with respect to a particular country, a claim (including a process, use or composition of matter claim) of an issued and unexpired patent (or a supplementary protection certificate thereof) that has not (a) irretrievably lapsed or been abandoned, permanently revoked, dedicated to the public or disclaimed, or (b) been held invalid, unenforceable or not patentable by a court, governmental agency, national or regional patent office or other appropriate body that has competent jurisdiction, which holding, finding or decision is final and unappealable or unappealed within the time allowed for appeal.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LICENSES; TECHNOLOGY TRANSFER; MULTISPECIFIC ANTIBODIES.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License Grants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61" w:lineRule="auto"/>
        <w:tabs>
          <w:tab w:leader="none" w:pos="156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Paragon hereby grants to Oruka a royalty-bearing, exclusive (even as to Paragon and its Affiliates, subject to Paragon’s retained rights under Section 2.4) license, including the right to sublicense through multiple tiers, under the Licensed Antibody Technology to Develop, Manufacture, Commercialize, or otherwise exploit Licensed Antibodies, Derived Antibodies and Products in the Field in the Territory.</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8"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including Section 2.7, Paragon hereby grants to Oruka a royalty-bearing, non-exclusive right and license, including the right to sublicense through multiple tiers, under the Licensed Antibody Technology to Develop, Manufacture, Commercialize or otherwise exploit Multispecific Antibodies and Multispecific Products in the Field in the Territory.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8" w:name="page249"/>
    <w:bookmarkEnd w:id="248"/>
    <w:p>
      <w:pPr>
        <w:jc w:val="both"/>
        <w:ind w:firstLine="1304"/>
        <w:spacing w:after="0" w:line="266" w:lineRule="auto"/>
        <w:tabs>
          <w:tab w:leader="none" w:pos="1541"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Paragon hereby grants to Oruka a royalty-bearing, non-exclusive license, including the right to sublicense through multiple tiers, under the Other Licensed Patents to Develop, Manufacture, Commercialize or otherwise exploit Licensed Antibodies, Derived Antibodies, Multispecific Antibodies, Products and Multispecific Products in the Field in the Territory.</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Paragon hereby grants to Oruka a royalty-bearing, non-exclusive license, including the right to sublicense through multiple tiers, under the Other Licensed Know-How to Develop, Manufacture, Commercialize or otherwise exploit (i) Licensed Antibodies, or (ii) Products, Multispecific Antibodies or Multispecific Products, in each case solely to the extent comprising or containing a Licensed Antibody, in the Field in the Territory.</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1"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Paragon hereby grants to Oruka a non-exclusive license, including the right to sublicense through multiple tiers, under the Paragon Cross License Patents to Develop, Manufacture, Commercialize or otherwise exploit the Licensed Antibodies solely in the Field in the Territory.</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2"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Oruka hereby grants to Paragon a non-exclusive license, including the right to sublicense through multiple tiers, under the Oruka Cross License Patents to Develop, Manufacture, Commercialize or otherwise exploit the Retained IL-23 Project Antibodies solely in the Territory in the therapeutic area of inflammatory bowel disease.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color w:val="auto"/>
        </w:rPr>
        <w:t>Exclusivity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5" w:lineRule="auto"/>
        <w:tabs>
          <w:tab w:leader="none" w:pos="15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Section 2.2, to the maximum extent permissible under Applicable Law, during the Exclusivity Period, Paragon shall not, and shall ensure that its Affiliates do not, directly or indirectly, conduct any activity, either on its own or with, for the benefit of, or sponsored by, any Third Party, including granting any license to any Third Party that would permit such Third Party, to develop, manufacture, commercialize or otherwise exploit any monospecific Antibody that is Directed To the Licensed Target in the Field. It will not be a violation of this Section 2.2(a) if Paragon or its Affiliate, directly or through a Third Party, (i) conducts screening activities solely for the purposes of ensuring compliance with this Section 2.2(a), (ii) conducts activities in accordance with the terms of this Agreement, the Option Agreement or any other written agreement between the Parties, or (iii) conducts activities with the prior written consent of Oruka.</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2"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if a Change of Control occurs with respect to Paragon or its Parent Entity, and the Acquiring Entity (or any of such Acquiring Entity’s successors or assigns, other than the relevant Pre-Existing Entities) as of the Change of Control has a program or product (or rights thereto) that would otherwise violate Section 2.2(a) (each, a “</w:t>
      </w:r>
      <w:r>
        <w:rPr>
          <w:rFonts w:ascii="Times New Roman" w:cs="Times New Roman" w:eastAsia="Times New Roman" w:hAnsi="Times New Roman"/>
          <w:sz w:val="18"/>
          <w:szCs w:val="18"/>
          <w:b w:val="1"/>
          <w:bCs w:val="1"/>
          <w:color w:val="auto"/>
        </w:rPr>
        <w:t>COC Program</w:t>
      </w:r>
      <w:r>
        <w:rPr>
          <w:rFonts w:ascii="Times New Roman" w:cs="Times New Roman" w:eastAsia="Times New Roman" w:hAnsi="Times New Roman"/>
          <w:sz w:val="18"/>
          <w:szCs w:val="18"/>
          <w:color w:val="auto"/>
        </w:rPr>
        <w:t xml:space="preserve">”), then (i) Section 2.2(a) shall not apply with respect to such COC Program, and (ii) such Acquiring Entity will be permitted to continue such COC Program after such Change of Control and such continuation will not constitute a violation of Section 2.2(a),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Licensed Antibody Technology and Confidential Information of Paragon and Oruka relating to the Oruka Products is not used in the COC Program.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9" w:name="page250"/>
    <w:bookmarkEnd w:id="249"/>
    <w:p>
      <w:pPr>
        <w:jc w:val="both"/>
        <w:ind w:firstLine="1304"/>
        <w:spacing w:after="0" w:line="256" w:lineRule="auto"/>
        <w:tabs>
          <w:tab w:leader="none" w:pos="1546"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if Paragon or its Parent Entity (i) acquires a Third Party entity that has a program or product (or rights thereto) that would otherwise violate Section 2.2(a), or (ii) acquires asset(s) from a Third Party entity that would otherwise violate Section 2.2(a) (each, an “</w:t>
      </w:r>
      <w:r>
        <w:rPr>
          <w:rFonts w:ascii="Times New Roman" w:cs="Times New Roman" w:eastAsia="Times New Roman" w:hAnsi="Times New Roman"/>
          <w:sz w:val="18"/>
          <w:szCs w:val="18"/>
          <w:b w:val="1"/>
          <w:bCs w:val="1"/>
          <w:color w:val="auto"/>
        </w:rPr>
        <w:t>Acquired Program</w:t>
      </w:r>
      <w:r>
        <w:rPr>
          <w:rFonts w:ascii="Times New Roman" w:cs="Times New Roman" w:eastAsia="Times New Roman" w:hAnsi="Times New Roman"/>
          <w:sz w:val="18"/>
          <w:szCs w:val="18"/>
          <w:color w:val="auto"/>
        </w:rPr>
        <w:t xml:space="preserve">”), then (1) Section 2.2(a) shall not apply with respect to such Acquired Program, and (2) Paragon or its Parent Entity will be permitted to continue such Acquired Program after such acquisition and such continuation will not constitute a violation of Section 2.2(a), </w:t>
      </w: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the Licensed Antibody Technology and Confidential Information of Paragon and Oruka relating to the Oruka Products is not used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Program.</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color w:val="auto"/>
        </w:rPr>
        <w:t>Sublicenses</w:t>
      </w:r>
      <w:r>
        <w:rPr>
          <w:rFonts w:ascii="Times New Roman" w:cs="Times New Roman" w:eastAsia="Times New Roman" w:hAnsi="Times New Roman"/>
          <w:sz w:val="18"/>
          <w:szCs w:val="18"/>
          <w:color w:val="auto"/>
        </w:rPr>
        <w:t xml:space="preserve">. Oruka shall have the right to grant sublicenses under the rights granted to it in Section 2.1 to its Affiliates and Third Parties; </w:t>
      </w: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(a) each such sublicense shall be granted in writing and each such relevant sublicense agreement shall be consistent with all relevant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and restrictions of this Agreement, (b) Oruka will provide Paragon with a true and complete copy of each sublicense agreement (other than sublicense agreements with Third Party service providers) and any amendments thereto within [***] days following the execution thereof (which sublicense agreement and amendments may be redacted except to the extent necessary for Paragon to determine Oruka’s compliance with this Agreement), and (c) Oruka shall remain responsible for all of its payments and other performance obligations due under this Agreement, notwithstanding any license or sublicense that it may grant.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color w:val="auto"/>
        </w:rPr>
        <w:t>No Implied Licenses; Reservation of Rights</w:t>
      </w:r>
      <w:r>
        <w:rPr>
          <w:rFonts w:ascii="Times New Roman" w:cs="Times New Roman" w:eastAsia="Times New Roman" w:hAnsi="Times New Roman"/>
          <w:sz w:val="18"/>
          <w:szCs w:val="18"/>
          <w:color w:val="auto"/>
        </w:rPr>
        <w:t>. Except as expressly set forth herein, no right or license under any Patents, Know-How or Intellectual Property Right of either Party is granted or shall be granted by implication hereunder. All such rights or licenses are or shall be granted only as expressly provided in this Agreement, and each Party reserves to itself all rights not expressly granted under this Agreement. Notwithstanding anything to the contrary under this Agreement, Paragon retains rights under the Licensed Antibody Technology solely to perform its obligations and exercise its rights under this Agreement and the Option Agreement; provided, that during the Term, Paragon shall not, and shall ensure that its Affiliates do not, (a) use the Licensed Antibody Technology to, or (b) grant a license to a Third Party under the Licensed Antibody Technology to, Develop, Manufacture, Commercialize, or otherwise exploit the Licensed Antibodies or Derived Antibodies, in each case as part of a Product, in the Territory for the therapeutic area of inflammatory bowel disease; provided, further, that the foregoing proviso does not, and is not intended to, limit Paragon’s rights under Section 2.6. Oruka acknowledges and agrees that it has no rights under this Agreement or the Option Agreement with respect to any Antibodies that were discovered, generated, identified or characterized by Paragon in the course of performing the Research Program (including the Retained IL-23 Project Antibodies) other than the Licensed Antibodies and the Derived Antibodies.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color w:val="auto"/>
        </w:rPr>
        <w:t>Information Transfer and Support to Oruka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8" w:lineRule="auto"/>
        <w:tabs>
          <w:tab w:leader="none" w:pos="15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possible and within not more than [***] days after the Effective Date, Paragon shall provide Oruka with the Results and Sequence Information in existence as of the Effective Date not already provided to Oruka under the Option Agreement. Additionally, on a continuing basis during the term of the Research Program, as soon as possible and within not more than [***] days after additional Results or Sequence Information come into existence or are identified by Paragon that in each case have not already been provided to Oruka under the Option Agreement, Paragon shall disclose and transfer such additional Results and Sequence Information to Oruka.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0" w:name="page251"/>
    <w:bookmarkEnd w:id="250"/>
    <w:p>
      <w:pPr>
        <w:ind w:firstLine="1304"/>
        <w:spacing w:after="0" w:line="282" w:lineRule="auto"/>
        <w:tabs>
          <w:tab w:leader="none" w:pos="1552"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reasonable request of Oruka made from time to time during the Term, Paragon shall promptly disclose and transfer to Oruka tangible embodiments of the Other Licensed Know-How that is the subject of Oruka’s request.</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and agree that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has been agreed by the Parties as of the Effective Date, and that materials that are different than or in addition to the materials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may result from the Research Program to the extent that the Research Program continues to be performed following the Effective Date. Upon the reasonable request of Oruka made at any time prior to the end of the [***] day period following the expiration of the Research Term (as defined in the Option Agreement), the Parties shall update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reflect the tangible materials, including samples, reagents, nucleic acids and Antibodies, resulting from the Research Program that constitute Research Program Materials hereunder. During the period beginning on the Effective Date and ending [***] months after the expiration of the Research Term (the “</w:t>
      </w:r>
      <w:r>
        <w:rPr>
          <w:rFonts w:ascii="Times New Roman" w:cs="Times New Roman" w:eastAsia="Times New Roman" w:hAnsi="Times New Roman"/>
          <w:sz w:val="18"/>
          <w:szCs w:val="18"/>
          <w:b w:val="1"/>
          <w:bCs w:val="1"/>
          <w:color w:val="auto"/>
        </w:rPr>
        <w:t>Transfer Period</w:t>
      </w:r>
      <w:r>
        <w:rPr>
          <w:rFonts w:ascii="Times New Roman" w:cs="Times New Roman" w:eastAsia="Times New Roman" w:hAnsi="Times New Roman"/>
          <w:sz w:val="18"/>
          <w:szCs w:val="18"/>
          <w:color w:val="auto"/>
        </w:rPr>
        <w:t>”), at [***] request and expense, Paragon will provide Oruka or a Third Party designated by Oruka with any Research Program Materials, provided that any Third Party recipient of such Research Program Materials shall be bound by the relevant terms of this Agreement and that the Research Program Materials are used solely to further Develop, Manufacture and Commercialize the Oruka Products. For clarity, [***] shall be responsible for any out-of-pocket costs incurred by Paragon or its Affiliates to store and maintain the Research Program Materials during the Transfer Period.</w:t>
      </w:r>
    </w:p>
    <w:p>
      <w:pPr>
        <w:spacing w:after="0" w:line="194" w:lineRule="exact"/>
        <w:rPr>
          <w:rFonts w:ascii="Times New Roman" w:cs="Times New Roman" w:eastAsia="Times New Roman" w:hAnsi="Times New Roman"/>
          <w:sz w:val="18"/>
          <w:szCs w:val="18"/>
          <w:color w:val="auto"/>
        </w:rPr>
      </w:pPr>
    </w:p>
    <w:p>
      <w:pPr>
        <w:ind w:firstLine="1304"/>
        <w:spacing w:after="0" w:line="282" w:lineRule="auto"/>
        <w:tabs>
          <w:tab w:leader="none" w:pos="1557"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bear all costs and expenses incurred by such Party in connection with the disclosure and transfer of any Results and Sequence Information as set forth above.</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9"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 day period following completion of the Research Program, in the event Oruka makes any reasonable request for assistance in order to understand the Licensed Antibody Technology and use the Licensed Antibody Technology to continue the uninterrupted Development of the Licensed Antibodies, Paragon shall provide up to [***] month of additional assistance during such period, at [***] cost and expense at the then current [***] Rate (as defined in the Option Agreement) in the Option Agreement. Paragon shall consider and discuss in good faith any additional requests for assistance made by Oruka, which assistance may be provided upon mutual agreement of the Parties.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b w:val="1"/>
          <w:bCs w:val="1"/>
          <w:color w:val="auto"/>
        </w:rPr>
        <w:t>Paragon Rights with Respect to Multispecific Antibodies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6" w:lineRule="auto"/>
        <w:tabs>
          <w:tab w:leader="none" w:pos="1573"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this Agreement, including Section 2.6(b) below and Section 2.7, Paragon reserves and retains the non-exclusive right under the Licensed Antibody Technology to Develop, Manufacture, Commercialize and otherwise exploit Multispecific Antibodies and Multispecific Products in the Field in the Territory. If Paragon exercises such right, then Paragon shall pay royalties to Oruka in accordance with Article IV (at the rate specified in Section 4.2(b)),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with respect to any Multispecific Antibodies and Multispecific Products that are Commercialized by Paragon or its Affiliates or sublicensees (other than Oruka and its Affiliates and Sublicensees) in the Field in the Territory,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references to Oruka Antibody Patents in clause (b) of the Royalty Term definition and Section 4.3 shall be disregarded.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1" w:name="page252"/>
    <w:bookmarkEnd w:id="251"/>
    <w:p>
      <w:pPr>
        <w:jc w:val="both"/>
        <w:ind w:firstLine="1304"/>
        <w:spacing w:after="0" w:line="255" w:lineRule="auto"/>
        <w:tabs>
          <w:tab w:leader="none" w:pos="156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Oruka has designated [***] Licensed Antibody or Derived Antibody as its lead compound and [***] Licensed Antibody or Derived Antibody as its backup compound, as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(each such designated Licensed Antibody or Derived Antibody, a “</w:t>
      </w:r>
      <w:r>
        <w:rPr>
          <w:rFonts w:ascii="Times New Roman" w:cs="Times New Roman" w:eastAsia="Times New Roman" w:hAnsi="Times New Roman"/>
          <w:sz w:val="18"/>
          <w:szCs w:val="18"/>
          <w:b w:val="1"/>
          <w:bCs w:val="1"/>
          <w:color w:val="auto"/>
        </w:rPr>
        <w:t>Designated Multispecific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Antibody</w:t>
      </w:r>
      <w:r>
        <w:rPr>
          <w:rFonts w:ascii="Times New Roman" w:cs="Times New Roman" w:eastAsia="Times New Roman" w:hAnsi="Times New Roman"/>
          <w:sz w:val="18"/>
          <w:szCs w:val="18"/>
          <w:color w:val="auto"/>
        </w:rPr>
        <w:t>”). Paragon’s rights under Section 2.6(a) shall expressly exclude the right to Develop, Manufacture, Commercialize or otherwise exploit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Multispecific Antibodies that have identical sequence identity within their variable regions as a Designated Multispecific Antibody, or (ii) Multispecific Products that comprise or contain any Multispecific Antibody referenced in clause (i). For the avoidance of doubt, if Paragon engaged in Development or Manufacture of a Multispecific Antibody that meets the criteria of clause (i) or (ii) above prior to the Effective Date, then Paragon shall not be in breach of this Agreement,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Paragon ceases all such Development or Manufacture within [***] days following the Effective Date.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b w:val="1"/>
          <w:bCs w:val="1"/>
          <w:color w:val="auto"/>
        </w:rPr>
        <w:t>Right of First Negotiation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49"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on the Effective Date and continuing until the [***] anniversary thereof (the “</w:t>
      </w:r>
      <w:r>
        <w:rPr>
          <w:rFonts w:ascii="Times New Roman" w:cs="Times New Roman" w:eastAsia="Times New Roman" w:hAnsi="Times New Roman"/>
          <w:sz w:val="18"/>
          <w:szCs w:val="18"/>
          <w:b w:val="1"/>
          <w:bCs w:val="1"/>
          <w:color w:val="auto"/>
        </w:rPr>
        <w:t>ROFN Period</w:t>
      </w:r>
      <w:r>
        <w:rPr>
          <w:rFonts w:ascii="Times New Roman" w:cs="Times New Roman" w:eastAsia="Times New Roman" w:hAnsi="Times New Roman"/>
          <w:sz w:val="18"/>
          <w:szCs w:val="18"/>
          <w:color w:val="auto"/>
        </w:rPr>
        <w:t>”), Paragon will promptly notify Oruka in writing if (i) Paragon has developed a descriptive research plan with respect to the Development of a Multispecific Antibody or a plan to license or grant rights in a Multispecific Antibody to a Third Party, or (ii) Paragon enters into [***] negotiations pursuant to an offer to or from any Third Party relating to the foregoing. Together with such notice, Paragon will provide to Oruka all material information and research plans developed by Paragon with respect to such Multispecific Antibody (the “</w:t>
      </w:r>
      <w:r>
        <w:rPr>
          <w:rFonts w:ascii="Times New Roman" w:cs="Times New Roman" w:eastAsia="Times New Roman" w:hAnsi="Times New Roman"/>
          <w:sz w:val="18"/>
          <w:szCs w:val="18"/>
          <w:b w:val="1"/>
          <w:bCs w:val="1"/>
          <w:color w:val="auto"/>
        </w:rPr>
        <w:t>ROFN Information</w:t>
      </w:r>
      <w:r>
        <w:rPr>
          <w:rFonts w:ascii="Times New Roman" w:cs="Times New Roman" w:eastAsia="Times New Roman" w:hAnsi="Times New Roman"/>
          <w:sz w:val="18"/>
          <w:szCs w:val="18"/>
          <w:color w:val="auto"/>
        </w:rPr>
        <w:t>”). Oruka will have [***] days from receipt of the ROFN Information to deliver a written notice to Paragon of Oruka’s desire to engage in negotiations for an agreement concerning the Development, or exclusive license or grant of rights to, such Multispecific Antibody.</w:t>
      </w:r>
    </w:p>
    <w:p>
      <w:pPr>
        <w:spacing w:after="0" w:line="186"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Oruka does not provide such written notice to Paragon of its interest to engage in such negotiations within such [***] day period, then (i) Paragon shall be free to enter into an agreement with a Third Party with respect to the grant of a license or other rights to such Multispecific Antibody and corresponding Multispecific Products without further obligation to Oruka under this Section 2.7, and (ii) Oruka’s license under Section 2.1(b) shall automatically exclude any right to Develop, Manufacture, Commercialize or otherwise exploit the identical Multispecific Antibodies Developed by or on behalf of Paragon and corresponding Multispecific Products.</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3"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Oruka does provide Paragon such written notice within such [***] day period, the Parties will negotiate [***] on an exclusive basis for a period of up to [***] months from the date of Oruka’s notice (“</w:t>
      </w:r>
      <w:r>
        <w:rPr>
          <w:rFonts w:ascii="Times New Roman" w:cs="Times New Roman" w:eastAsia="Times New Roman" w:hAnsi="Times New Roman"/>
          <w:sz w:val="18"/>
          <w:szCs w:val="18"/>
          <w:b w:val="1"/>
          <w:bCs w:val="1"/>
          <w:color w:val="auto"/>
        </w:rPr>
        <w:t>ROFN Negotiation Period</w:t>
      </w:r>
      <w:r>
        <w:rPr>
          <w:rFonts w:ascii="Times New Roman" w:cs="Times New Roman" w:eastAsia="Times New Roman" w:hAnsi="Times New Roman"/>
          <w:sz w:val="18"/>
          <w:szCs w:val="18"/>
          <w:color w:val="auto"/>
        </w:rPr>
        <w:t>”), an agreement for the Development, or exclusive license or grant of rights to, such Multispecific Antibody and corresponding Multispecific Products. Prior to and during the ROFN Negotiation Period, Paragon shall not enter into an agreement with respect to such Multispecific Antibody with any Third Party that will prevent Paragon from entering into an agreement with Oruka for the Development, or exclusive license or grant of rights to, such Multispecific Antibody and corresponding Multispecific Products. Unless and until the Parties have entered into an agreement with respect to such Multispecific Antibody and corresponding Multispecific Products, Oruka shall have no rights or license with respect to such Multispecific Antibody and corresponding Multispecific Products except as otherwise expressly provided in Section 2.1. In the event that the Parties have not entered into an agreement with respect to such Multispecific Antibody and corresponding Multispecific Products prior to the expiration of the ROFN Negotiation Period, then (i) Paragon shall be free to enter into an agreement with a Third Party with respect to the grant of a license or other rights to such Multispecific Antibody and corresponding Multispecific Products without further obligation to Oruka under this Section 2.7, and (ii) Oruka’s license under Section 2.1(b) shall automatically exclude any right to Develop, Manufacture, Commercialize or otherwise exploit the identical Multispecific Antibodies Developed by or on behalf of Paragon and corresponding Multispecific Products.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2" w:name="page253"/>
    <w:bookmarkEnd w:id="25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b w:val="1"/>
          <w:bCs w:val="1"/>
          <w:color w:val="auto"/>
        </w:rPr>
        <w:t>Third Party In-Licenses</w:t>
      </w:r>
      <w:r>
        <w:rPr>
          <w:rFonts w:ascii="Times New Roman" w:cs="Times New Roman" w:eastAsia="Times New Roman" w:hAnsi="Times New Roman"/>
          <w:sz w:val="18"/>
          <w:szCs w:val="18"/>
          <w:color w:val="auto"/>
        </w:rPr>
        <w:t>. If Paragon (or its Affiliate) enters into any in-license agreement with a Third Party after the Effective Date with respect to any Patent that would, if Controlled by Paragon, be included within the Licensed Antibody Patents or the Other Licensed Patents (each such agreement, a “</w:t>
      </w:r>
      <w:r>
        <w:rPr>
          <w:rFonts w:ascii="Times New Roman" w:cs="Times New Roman" w:eastAsia="Times New Roman" w:hAnsi="Times New Roman"/>
          <w:sz w:val="18"/>
          <w:szCs w:val="18"/>
          <w:b w:val="1"/>
          <w:bCs w:val="1"/>
          <w:color w:val="auto"/>
        </w:rPr>
        <w:t>Paragon Third Party Agreement</w:t>
      </w:r>
      <w:r>
        <w:rPr>
          <w:rFonts w:ascii="Times New Roman" w:cs="Times New Roman" w:eastAsia="Times New Roman" w:hAnsi="Times New Roman"/>
          <w:sz w:val="18"/>
          <w:szCs w:val="18"/>
          <w:color w:val="auto"/>
        </w:rPr>
        <w:t>”), Paragon shall notify Oruka in writing that it entered into such Paragon Third Party Agreement and provide a copy of such Paragon Third Party Agreement to Oruka, which may be redacted solely concerning [***] or other confidential terms not applicable to sublicensees. Oruka shall have the right, by delivery of notice to Paragon, to elect to take a sublicense under such Patents in-licensed by Paragon under such Paragon Third Party Agreement. If Oruka elects to become a sublicensee thereunder pursuant to this Section 2.8, then (a) the applicable Patents under such Paragon Third Party Agreement shall be included within the Licensed Antibody Patents or the Other Licensed Patents, as applicable, that are licensed to Oruka under Section 2.1, (b) Oruka shall reimburse Paragon for Paragon’s pro rata share of royalties or other consideration, as mutually agreed by the Parties, payable by Paragon under the Paragon Third Party Agreement for Oruka’s Development, Manufacture, Commercialization or other exploitation of an Oruka Product in the Field in the Territory in connection with the grant to Oruka of such Patents (the “</w:t>
      </w:r>
      <w:r>
        <w:rPr>
          <w:rFonts w:ascii="Times New Roman" w:cs="Times New Roman" w:eastAsia="Times New Roman" w:hAnsi="Times New Roman"/>
          <w:sz w:val="18"/>
          <w:szCs w:val="18"/>
          <w:b w:val="1"/>
          <w:bCs w:val="1"/>
          <w:color w:val="auto"/>
        </w:rPr>
        <w:t>Reimbursement Obligation</w:t>
      </w:r>
      <w:r>
        <w:rPr>
          <w:rFonts w:ascii="Times New Roman" w:cs="Times New Roman" w:eastAsia="Times New Roman" w:hAnsi="Times New Roman"/>
          <w:sz w:val="18"/>
          <w:szCs w:val="18"/>
          <w:color w:val="auto"/>
        </w:rPr>
        <w:t xml:space="preserve">”), and (c) Oruka shall comply with the terms of such Paragon Third Party Agreement to the extent applicable to Oruka as a sublicensee of such Patents. In the event of any conflict between the terms of this Agreement and any Paragon Third Party Agreement applicable to a sublicense granted by Paragon to Oruka in accordance with this Section 2.8, the terms of the Paragon Third Party Agreement shall control solely to the extent necessary for the Parties to maintain compliance with such Paragon Third Party Agreement. Oruka shall comply with the Reimbursement Obligation by paying to Paragon any amounts subject to the Reimbursement Obligation within the earlier of (i) [***] days after Oruka’s receipt from Paragon of an invoice for such payment, and (ii) the date when such payment is due to the counterparty licensor under the applicable Paragon Third Party Agreement,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payment shall not be due prior to the date when such amounts are payable by Paragon to the counterparty licensor under the applicable Paragon Third Party Agreement.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DEVELOPMENT, MANUFACTURING &amp; COMMERCIALIZATION.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Oruka Responsibilities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61" w:lineRule="auto"/>
        <w:tabs>
          <w:tab w:leader="none" w:pos="1538"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between the Parties, Oruka shall be solely responsible for and shall have the sole right to control, all aspects of the Development, Manufacturing, and Commercialization of the Oruka Products in the Field in the Territory during the Term, including distribution, product positioning, product strategy, product branding, core messaging, marketing, promotion, detailing activities and all decisions relating to the setting of prices in the Territory, invoicing and booking sales, establishing all terms of sale, and all regulatory activities.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3" w:name="page254"/>
    <w:bookmarkEnd w:id="253"/>
    <w:p>
      <w:pPr>
        <w:jc w:val="both"/>
        <w:ind w:firstLine="1304"/>
        <w:spacing w:after="0" w:line="266" w:lineRule="auto"/>
        <w:tabs>
          <w:tab w:leader="none" w:pos="1553"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between the Parties, Oruka shall be solely responsible for, and shall have the sole right to control, the selection, registration and maintenance of all trademarks associated with the Oruka Products in the Field in the Territory. As between the Parties, Oruka shall solely own such trademarks in the Territory and pay all relevant costs thereof.</w:t>
      </w:r>
    </w:p>
    <w:p>
      <w:pPr>
        <w:spacing w:after="0" w:line="1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Regulatory</w:t>
      </w:r>
      <w:r>
        <w:rPr>
          <w:rFonts w:ascii="Times New Roman" w:cs="Times New Roman" w:eastAsia="Times New Roman" w:hAnsi="Times New Roman"/>
          <w:sz w:val="18"/>
          <w:szCs w:val="18"/>
          <w:color w:val="auto"/>
        </w:rPr>
        <w:t>. As between the Parties, Oruka shall control all regulatory matters, including the regulatory strategy, regulatory filings, regulatory activities (including clinical trials for Oruka Products) and communication with each Regulatory Authority for the Oruka Products in the Field in the Territory. Oruka shall have the right to reference any relevant data included within the Licensed Antibody Technology for the purposes of regulatory filings and safety reporting, including all nonclinical data, pre-approval and post-approval clinical use data, and regulatory data with respect thereto, and Paragon shall cooperate as reasonably requested by Oruka with respect to providing to Oruka when requested, and on a timely basis, any of the foregoing information, data filings or reporting. Oruka or its designee shall be the party to file an application to each applicable Regulatory Authority in the Territory for, and to obtain and maintain, in its own name, Regulatory Approval for the Oruka Products in each country in the Territory.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color w:val="auto"/>
        </w:rPr>
        <w:t>Diligence; Reporting</w:t>
      </w:r>
      <w:r>
        <w:rPr>
          <w:rFonts w:ascii="Times New Roman" w:cs="Times New Roman" w:eastAsia="Times New Roman" w:hAnsi="Times New Roman"/>
          <w:sz w:val="18"/>
          <w:szCs w:val="18"/>
          <w:color w:val="auto"/>
        </w:rPr>
        <w:t xml:space="preserve">. Oruka shall use Commercially Reasonable Efforts (a) to Develop and seek Regulatory Approval for at least one Oruka Product in the Field in the United States and at least one other Major Market Country, and (b) upon receipt of Regulatory Approval for a given Oruka Product in a given country, to Commercialize such Oruka Product in such country, in each case ((a) or (b)) either by itself or through its Affiliates or Sublicensees or its or their respective contractors. Additionally, on or before [***] of each year during the Term, Oruka shall deliver to Paragon a report summarizing its material development efforts with respect to the Oruka Products, including a summary of current and anticipated preclinical and clinical activities, a summary of the status of any regulatory filings and any anticipated regulatory filings, and achievement of any Milestones, during the preceding [***];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Oruka may satisfy the reporting obligations set forth in this Section 3.3 by providing Paragon with copies of any annual report or other filings with a securities exchange that include the relevant information. For the avoidance of doubt, if Oruka determines, in its sole discretion, that it is inconsistent with the use of Commercially Reasonable Efforts to pursue Commercialization of an Oruka Product in any country (other than the United States), it will not be considered a material breach of this Agreement to cease Development or Commercialization of such Oruka Product with respect to such country.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4" w:name="page255"/>
    <w:bookmarkEnd w:id="254"/>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TERMS.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Milestone Payments</w:t>
      </w:r>
      <w:r>
        <w:rPr>
          <w:rFonts w:ascii="Times New Roman" w:cs="Times New Roman" w:eastAsia="Times New Roman" w:hAnsi="Times New Roman"/>
          <w:sz w:val="18"/>
          <w:szCs w:val="18"/>
          <w:color w:val="auto"/>
        </w:rPr>
        <w:t>. Oruka shall make the following one-time, non-refundable and non-creditable payments to Paragon (or to such other designee(s), as requested by Paragon in an invoice) (each payment, a “</w:t>
      </w:r>
      <w:r>
        <w:rPr>
          <w:rFonts w:ascii="Times New Roman" w:cs="Times New Roman" w:eastAsia="Times New Roman" w:hAnsi="Times New Roman"/>
          <w:sz w:val="18"/>
          <w:szCs w:val="18"/>
          <w:b w:val="1"/>
          <w:bCs w:val="1"/>
          <w:color w:val="auto"/>
        </w:rPr>
        <w:t>Milestone Payment</w:t>
      </w:r>
      <w:r>
        <w:rPr>
          <w:rFonts w:ascii="Times New Roman" w:cs="Times New Roman" w:eastAsia="Times New Roman" w:hAnsi="Times New Roman"/>
          <w:sz w:val="18"/>
          <w:szCs w:val="18"/>
          <w:color w:val="auto"/>
        </w:rPr>
        <w:t>”), based on the achievement of the corresponding milestone (each, a “</w:t>
      </w:r>
      <w:r>
        <w:rPr>
          <w:rFonts w:ascii="Times New Roman" w:cs="Times New Roman" w:eastAsia="Times New Roman" w:hAnsi="Times New Roman"/>
          <w:sz w:val="18"/>
          <w:szCs w:val="18"/>
          <w:b w:val="1"/>
          <w:bCs w:val="1"/>
          <w:color w:val="auto"/>
        </w:rPr>
        <w:t>Milestone</w:t>
      </w:r>
      <w:r>
        <w:rPr>
          <w:rFonts w:ascii="Times New Roman" w:cs="Times New Roman" w:eastAsia="Times New Roman" w:hAnsi="Times New Roman"/>
          <w:sz w:val="18"/>
          <w:szCs w:val="18"/>
          <w:color w:val="auto"/>
        </w:rPr>
        <w:t>”) by Oruka, its Affiliates, or its Sublicensees with respect to the first Oruka Product to achieve such Milestone. Oruka shall, within</w:t>
      </w:r>
    </w:p>
    <w:p>
      <w:pPr>
        <w:jc w:val="both"/>
        <w:ind w:firstLine="8"/>
        <w:spacing w:after="0" w:line="251" w:lineRule="auto"/>
        <w:tabs>
          <w:tab w:leader="none" w:pos="451"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it or its Affiliates achieve a Milestone, or within [***] Business Days after it learns that its or its Affiliate’s Sublicensee has achieved a Milestone, notify Paragon of the achievement of such Milestone in writing. Following receipt of such notice, Paragon shall invoice Oruka for such Milestone Payment, which invoice shall specify whether Paragon or its designee should receive such Milestone Payment and the bank account information into which such Milestone Payment should be paid. Oruka shall make such Milestone Payment to Paragon or Paragon’s designee within [***] days after receipt of Paragon’s invoice. Each Milestone Payment shall be paid no more than once, and Oruka’s total Milestone Payments hereunder shall not exceed Twenty-Two Million Dollars ($22,000,000). For avoidance of doubt, upon achievement of any Milestone, all prior unachieved Milestones shall be deemed thereby achieved and, if the Milestone Payment for any such prior Milestone has not previously been paid, it shall thereupon also be paid at the same time that the Milestone Payment for such subsequent achieved Milestone is paid.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040" w:type="dxa"/>
            <w:vAlign w:val="bottom"/>
          </w:tcPr>
          <w:p>
            <w:pPr>
              <w:spacing w:after="0"/>
              <w:rPr>
                <w:sz w:val="22"/>
                <w:szCs w:val="22"/>
                <w:color w:val="auto"/>
              </w:rPr>
            </w:pPr>
          </w:p>
        </w:tc>
        <w:tc>
          <w:tcPr>
            <w:tcW w:w="516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Milestone</w:t>
            </w: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Milestone Payment</w:t>
            </w:r>
          </w:p>
        </w:tc>
      </w:tr>
      <w:tr>
        <w:trPr>
          <w:trHeight w:val="243"/>
        </w:trPr>
        <w:tc>
          <w:tcPr>
            <w:tcW w:w="1040" w:type="dxa"/>
            <w:vAlign w:val="bottom"/>
            <w:tcBorders>
              <w:top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w:t>
            </w:r>
          </w:p>
        </w:tc>
        <w:tc>
          <w:tcPr>
            <w:tcW w:w="5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Achievement of Development Candidate</w:t>
            </w:r>
          </w:p>
        </w:tc>
        <w:tc>
          <w:tcPr>
            <w:tcW w:w="120" w:type="dxa"/>
            <w:vAlign w:val="bottom"/>
            <w:tcBorders>
              <w:top w:val="single" w:sz="8" w:color="CCEEFF"/>
            </w:tcBorders>
            <w:shd w:val="clear" w:color="auto" w:fill="CCEEFF"/>
          </w:tcPr>
          <w:p>
            <w:pPr>
              <w:spacing w:after="0"/>
              <w:rPr>
                <w:sz w:val="21"/>
                <w:szCs w:val="21"/>
                <w:color w:val="auto"/>
              </w:rPr>
            </w:pPr>
          </w:p>
        </w:tc>
        <w:tc>
          <w:tcPr>
            <w:tcW w:w="504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One Million Five Hundred Thousand Dollars ($1,500,000)</w:t>
            </w:r>
          </w:p>
        </w:tc>
      </w:tr>
      <w:tr>
        <w:trPr>
          <w:trHeight w:val="241"/>
        </w:trPr>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w:t>
            </w: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dosing of a human patient in a Phase I Trial of an Oruka Product</w:t>
            </w: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Two Million Five Hundred Thousand Dollars ($2,500,000)</w:t>
            </w:r>
          </w:p>
        </w:tc>
      </w:tr>
      <w:tr>
        <w:trPr>
          <w:trHeight w:val="200"/>
        </w:trPr>
        <w:tc>
          <w:tcPr>
            <w:tcW w:w="1040" w:type="dxa"/>
            <w:vAlign w:val="bottom"/>
            <w:shd w:val="clear" w:color="auto" w:fill="CCEEFF"/>
          </w:tcPr>
          <w:p>
            <w:pPr>
              <w:jc w:val="right"/>
              <w:ind w:right="350"/>
              <w:spacing w:after="0" w:line="200" w:lineRule="exact"/>
              <w:rPr>
                <w:sz w:val="20"/>
                <w:szCs w:val="20"/>
                <w:color w:val="auto"/>
              </w:rPr>
            </w:pPr>
            <w:r>
              <w:rPr>
                <w:rFonts w:ascii="Times New Roman" w:cs="Times New Roman" w:eastAsia="Times New Roman" w:hAnsi="Times New Roman"/>
                <w:sz w:val="18"/>
                <w:szCs w:val="18"/>
                <w:b w:val="1"/>
                <w:bCs w:val="1"/>
                <w:color w:val="auto"/>
              </w:rPr>
              <w:t>#3</w:t>
            </w:r>
          </w:p>
        </w:tc>
        <w:tc>
          <w:tcPr>
            <w:tcW w:w="5160" w:type="dxa"/>
            <w:vAlign w:val="bottom"/>
            <w:gridSpan w:val="2"/>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auto"/>
              </w:rPr>
              <w:t>First dosing of a human patient in a Phase II Trial of an Oruka</w:t>
            </w:r>
          </w:p>
        </w:tc>
        <w:tc>
          <w:tcPr>
            <w:tcW w:w="5040" w:type="dxa"/>
            <w:vAlign w:val="bottom"/>
            <w:shd w:val="clear" w:color="auto" w:fill="CCEEFF"/>
          </w:tcPr>
          <w:p>
            <w:pPr>
              <w:spacing w:after="0"/>
              <w:rPr>
                <w:sz w:val="17"/>
                <w:szCs w:val="17"/>
                <w:color w:val="auto"/>
              </w:rPr>
            </w:pPr>
          </w:p>
        </w:tc>
      </w:tr>
      <w:tr>
        <w:trPr>
          <w:trHeight w:val="241"/>
        </w:trPr>
        <w:tc>
          <w:tcPr>
            <w:tcW w:w="1040" w:type="dxa"/>
            <w:vAlign w:val="bottom"/>
            <w:tcBorders>
              <w:bottom w:val="single" w:sz="8" w:color="CCEEFF"/>
            </w:tcBorders>
            <w:shd w:val="clear" w:color="auto" w:fill="CCEEFF"/>
          </w:tcPr>
          <w:p>
            <w:pPr>
              <w:spacing w:after="0"/>
              <w:rPr>
                <w:sz w:val="20"/>
                <w:szCs w:val="20"/>
                <w:color w:val="auto"/>
              </w:rPr>
            </w:pPr>
          </w:p>
        </w:tc>
        <w:tc>
          <w:tcPr>
            <w:tcW w:w="5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w:t>
            </w:r>
          </w:p>
        </w:tc>
        <w:tc>
          <w:tcPr>
            <w:tcW w:w="5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Three Million Dollars ($3,000,000)</w:t>
            </w:r>
          </w:p>
        </w:tc>
      </w:tr>
      <w:tr>
        <w:trPr>
          <w:trHeight w:val="198"/>
        </w:trPr>
        <w:tc>
          <w:tcPr>
            <w:tcW w:w="104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b w:val="1"/>
                <w:bCs w:val="1"/>
                <w:color w:val="auto"/>
              </w:rPr>
              <w:t>#4</w:t>
            </w:r>
          </w:p>
        </w:tc>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 dosing of a human patient in a Phase III Trial of an Oruka</w:t>
            </w:r>
          </w:p>
        </w:tc>
        <w:tc>
          <w:tcPr>
            <w:tcW w:w="5040" w:type="dxa"/>
            <w:vAlign w:val="bottom"/>
          </w:tcPr>
          <w:p>
            <w:pPr>
              <w:spacing w:after="0"/>
              <w:rPr>
                <w:sz w:val="17"/>
                <w:szCs w:val="17"/>
                <w:color w:val="auto"/>
              </w:rPr>
            </w:pPr>
          </w:p>
        </w:tc>
      </w:tr>
      <w:tr>
        <w:trPr>
          <w:trHeight w:val="234"/>
        </w:trPr>
        <w:tc>
          <w:tcPr>
            <w:tcW w:w="10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w:t>
            </w:r>
          </w:p>
        </w:tc>
        <w:tc>
          <w:tcPr>
            <w:tcW w:w="50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Five Million Dollars ($5,000,000)</w:t>
            </w:r>
          </w:p>
        </w:tc>
      </w:tr>
      <w:tr>
        <w:trPr>
          <w:trHeight w:val="27"/>
        </w:trPr>
        <w:tc>
          <w:tcPr>
            <w:tcW w:w="10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43"/>
        </w:trPr>
        <w:tc>
          <w:tcPr>
            <w:tcW w:w="1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#5</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Receipt of Regulatory Approval from the FDA of an Oruka Product</w:t>
            </w:r>
          </w:p>
        </w:tc>
        <w:tc>
          <w:tcPr>
            <w:tcW w:w="5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Ten Million Dollars ($10,000,000)</w:t>
            </w: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Royalties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2" w:lineRule="auto"/>
        <w:tabs>
          <w:tab w:leader="none" w:pos="15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Royalty Rate for Products</w:t>
      </w:r>
      <w:r>
        <w:rPr>
          <w:rFonts w:ascii="Times New Roman" w:cs="Times New Roman" w:eastAsia="Times New Roman" w:hAnsi="Times New Roman"/>
          <w:sz w:val="18"/>
          <w:szCs w:val="18"/>
          <w:color w:val="auto"/>
        </w:rPr>
        <w:t>. During the applicable Royalty Term (which shall be measured on a country-by-country and Product-by-Product basis), Oruka shall pay tiered royalties to Paragon (or to such other designee(s), as requested by Paragon) as set forth in the table below on Annual Net Sales of all Products sold by Oruka, its Affiliates or its Sublicensees in the Field in the Territory (together with any royalties payable under Section 4.2(b), the “</w:t>
      </w:r>
      <w:r>
        <w:rPr>
          <w:rFonts w:ascii="Times New Roman" w:cs="Times New Roman" w:eastAsia="Times New Roman" w:hAnsi="Times New Roman"/>
          <w:sz w:val="18"/>
          <w:szCs w:val="18"/>
          <w:b w:val="1"/>
          <w:bCs w:val="1"/>
          <w:color w:val="auto"/>
        </w:rPr>
        <w:t>Royalty Payments</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Royalty</w:t>
            </w:r>
          </w:p>
        </w:tc>
      </w:tr>
      <w:tr>
        <w:trPr>
          <w:trHeight w:val="245"/>
        </w:trPr>
        <w:tc>
          <w:tcPr>
            <w:tcW w:w="9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Annual Net Sales of the Products in a Given Calendar Year</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Portion Of Annual Net Sales Of The Products In A Given Calendar Year Above $0 But Up To And Including $[***]</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Portion Of Annual Net Sales Of The Products In A Given Calendar Year Of More Than $[***], Up To And Including $[***]</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Portion Of Annual Net Sales Of The Products In A Given Calendar Year Of More Than $[***]</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jc w:val="both"/>
        <w:ind w:firstLine="1304"/>
        <w:spacing w:after="0" w:line="262" w:lineRule="auto"/>
        <w:tabs>
          <w:tab w:leader="none" w:pos="156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Royalty Rate for Oruka Multispecific Products</w:t>
      </w:r>
      <w:r>
        <w:rPr>
          <w:rFonts w:ascii="Times New Roman" w:cs="Times New Roman" w:eastAsia="Times New Roman" w:hAnsi="Times New Roman"/>
          <w:sz w:val="18"/>
          <w:szCs w:val="18"/>
          <w:color w:val="auto"/>
        </w:rPr>
        <w:t>. During the applicable Royalty Term (which shall be measured on a country-by-country and Oruka Multispecific Product-by-Oruka Multispecific Product basis), Oruka shall pay royalties to Paragon (or to such other designee(s), as requested by Paragon) equal to [***] percent ([***]%) of Net Sales of all Oruka Multispecific Products sold by Oruka, its Affiliates or its Sublicensees in the Field in the Territory.</w:t>
      </w:r>
    </w:p>
    <w:p>
      <w:pPr>
        <w:spacing w:after="0" w:line="180"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7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Oruka Product contains (a) a combination of more than one Licensed Antibody, Derived Antibody and/or Multispecific Antibody, or (b) a combination of (i) one or more Licensed Antibodies, Derived Antibodies or Multispecific Antibodies, and (ii) one or more other Antibodies owned or Controlled by Paragon or its Affiliates, the rights to which have been licensed to Oruka or its Affiliates under a separate agreement, then, in each case (a) or (b) unless otherwise agreed by the Parties, the royalty rate for the Royalty Payments payable to Paragon with respect to such Oruka Product (x) shall be determined in accordance with the Royalty Rate chart set forth in Section 4.2(a) if such Oruka Product does not contain a Multispecific Antibody, and (y) shall be determined in accordance with Section 4.2(b) if such Oruka Product contains a Multispecific Antibody.</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color w:val="auto"/>
        </w:rPr>
        <w:t>Royalty Reductions for No Valid Claim</w:t>
      </w:r>
      <w:r>
        <w:rPr>
          <w:rFonts w:ascii="Times New Roman" w:cs="Times New Roman" w:eastAsia="Times New Roman" w:hAnsi="Times New Roman"/>
          <w:sz w:val="18"/>
          <w:szCs w:val="18"/>
          <w:color w:val="auto"/>
        </w:rPr>
        <w:t>. If, during any Calendar Quarter during the Royalty Term for a particular Oruka Product in a particular country, no Valid Claim of a Licensed Antibody Patent Covers the Manufacture or Commercialization of such Oruka Product in such country, then the applicable royalty rate for the Royalty Payments set forth in Section 4.2 for such Calendar Quarter shall be reduced by [***].</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color w:val="auto"/>
        </w:rPr>
        <w:t>Payment Reports</w:t>
      </w:r>
      <w:r>
        <w:rPr>
          <w:rFonts w:ascii="Times New Roman" w:cs="Times New Roman" w:eastAsia="Times New Roman" w:hAnsi="Times New Roman"/>
          <w:sz w:val="18"/>
          <w:szCs w:val="18"/>
          <w:color w:val="auto"/>
        </w:rPr>
        <w:t xml:space="preserve">. Within [***] days after the end of [***] days for [***] in which an Oruka Product is sold, Oruka shall provide to Paragon a written report, on an [***] basis, stating the [***], including [***]; [***]. All Royalty Payments described in such written report shall be made by Oruka at the same time it submits such written report to Paragon. All such Royalty Payments shall be paid to Paragon or Paragon’s designee,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in the case of payment to a designee, Paragon has notified Oruka in writing [***] days prior to the due date for any Royalty Payment of the designee to be paid and the bank account information for such designee.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6" w:name="page257"/>
    <w:bookmarkEnd w:id="256"/>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color w:val="auto"/>
        </w:rPr>
        <w:t>Payment Method</w:t>
      </w:r>
      <w:r>
        <w:rPr>
          <w:rFonts w:ascii="Times New Roman" w:cs="Times New Roman" w:eastAsia="Times New Roman" w:hAnsi="Times New Roman"/>
          <w:sz w:val="18"/>
          <w:szCs w:val="18"/>
          <w:color w:val="auto"/>
        </w:rPr>
        <w:t>. All payments due under this Agreement to Paragon shall be made in U.S. Dollars by bank wire transfer in funds to an account designated by Paragon from time to time reasonably in advance of any payment due date.</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The Parties agree to cooperate with one another and use reasonable efforts to minimize obligations for any and all income or other taxes required by Applicable Law to be withheld or deducted from any Royalty Payments, Milestone Payments or other payments made by Oruka to Paragon or its designee(s) under this Agreement, including by completing all procedural steps, and taking all reasonable measures, to ensure that any withholding tax is reduced or eliminated to the extent permitted under Applicable Law, including income tax treaty provisions and related procedures for claiming treaty relief. To the extent that Oruka is required to deduct and withhold taxes on any payment to Paragon or its designee(s), Oruka shall: (i) deduct such taxes from such payment to Paragon or its designee(s), (ii) pay the amounts of such taxes to the proper Governmental Authority in a timely manner, and (iii) promptly submit to Paragon an official tax certificate or other available evidence of such withholding sufficient to enable Paragon or its designee(s) to claim such payment of taxes. For the avoidance of doubt, Oruka’s remittance of such withheld amounts to the appropriate Governmental Authority, together with payment to Paragon or its designee(s) of the remaining amount owed, shall constitute full satisfaction of the applicable payment due to Paragon. Oruka shall provide Paragon with any reasonably requested tax forms or certificates available to Oruka in order to allow Paragon or its designee(s) to recover, as permitted by Applicable Law, withholding taxes, value added taxes or similar obligations resulting from payments made hereunder or to obtain the benefit of any present or future treaty against double taxation that may apply to such payments. Paragon shall promptly provide Oruka with any requested tax forms that may be reasonably necessary in order for Oruka to not withhold tax or to withhold tax at a reduced rate under an applicable bilateral tax income treaty.</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b w:val="1"/>
          <w:bCs w:val="1"/>
          <w:color w:val="auto"/>
        </w:rPr>
        <w:t>Foreign Exchange</w:t>
      </w:r>
      <w:r>
        <w:rPr>
          <w:rFonts w:ascii="Times New Roman" w:cs="Times New Roman" w:eastAsia="Times New Roman" w:hAnsi="Times New Roman"/>
          <w:sz w:val="18"/>
          <w:szCs w:val="18"/>
          <w:color w:val="auto"/>
        </w:rPr>
        <w:t>. If any currency conversion shall be required in connection with the calculation of amounts payable hereunder, including in connection with the calculation of Net Sales, such conversions shall be made using the methodology used by Oruka in preparing its publicly filed financial statements.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b w:val="1"/>
          <w:bCs w:val="1"/>
          <w:color w:val="auto"/>
        </w:rPr>
        <w:t>Late Payments</w:t>
      </w:r>
      <w:r>
        <w:rPr>
          <w:rFonts w:ascii="Times New Roman" w:cs="Times New Roman" w:eastAsia="Times New Roman" w:hAnsi="Times New Roman"/>
          <w:sz w:val="18"/>
          <w:szCs w:val="18"/>
          <w:color w:val="auto"/>
        </w:rPr>
        <w:t xml:space="preserve">. Any amount owed by Oruka to Paragon under this Agreement that is not paid within the applicable time period set forth herein will accrue interest at the per annum rate of [***] percentage point above the then-applicable United States prime rate as quoted in the </w:t>
      </w:r>
      <w:r>
        <w:rPr>
          <w:rFonts w:ascii="Times New Roman" w:cs="Times New Roman" w:eastAsia="Times New Roman" w:hAnsi="Times New Roman"/>
          <w:sz w:val="18"/>
          <w:szCs w:val="18"/>
          <w:i w:val="1"/>
          <w:iCs w:val="1"/>
          <w:color w:val="auto"/>
        </w:rPr>
        <w:t>Wall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Journal (East Coast Edition) </w:t>
      </w:r>
      <w:r>
        <w:rPr>
          <w:rFonts w:ascii="Times New Roman" w:cs="Times New Roman" w:eastAsia="Times New Roman" w:hAnsi="Times New Roman"/>
          <w:sz w:val="18"/>
          <w:szCs w:val="18"/>
          <w:color w:val="auto"/>
        </w:rPr>
        <w:t>(or if it no longer exists, a similarly authoritative source), calculated on a [***] basis, or, if lower, the highest rate permitted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Applicable Law.</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b w:val="1"/>
          <w:bCs w:val="1"/>
          <w:color w:val="auto"/>
        </w:rPr>
        <w:t>Blocked Currency</w:t>
      </w:r>
      <w:r>
        <w:rPr>
          <w:rFonts w:ascii="Times New Roman" w:cs="Times New Roman" w:eastAsia="Times New Roman" w:hAnsi="Times New Roman"/>
          <w:sz w:val="18"/>
          <w:szCs w:val="18"/>
          <w:color w:val="auto"/>
        </w:rPr>
        <w:t>. If by Applicable Law of a country in which Net Sales occurred, conversion of funds into Dollars or transfer of funds from such country to the United States is restricted, forbidden or delayed for more than [***] days, then Oruka can elect, at its sole discretion, that the amounts accrued in such country and owed by Oruka to Paragon under this Agreement shall be paid to Paragon in such country in local currency by deposit in a local bank designated by Paragon, unless the Parties otherwise agree in writing.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b w:val="1"/>
          <w:bCs w:val="1"/>
          <w:color w:val="auto"/>
        </w:rPr>
        <w:t>Records; Inspection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66" w:lineRule="auto"/>
        <w:tabs>
          <w:tab w:leader="none" w:pos="157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Oruka shall, and shall cause its applicable Affiliates to, create and keep complete and accurate records of its sales and other dispositions of all Oruka Products, including all records that are reasonably necessary for the purposes of calculating all payments due under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7" w:name="page258"/>
    <w:bookmarkEnd w:id="257"/>
    <w:p>
      <w:pPr>
        <w:jc w:val="both"/>
        <w:ind w:firstLine="1304"/>
        <w:spacing w:after="0" w:line="254" w:lineRule="auto"/>
        <w:tabs>
          <w:tab w:leader="none" w:pos="1591"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advance written notice to Oruka, Paragon shall have the right to retain a nationally recognized (in the US) independent certified public accounting firm to perform on behalf of Paragon an audit, conducted in accordance with U.S. generally accepted accounting principles (GAAP), of such books and records of Oruka or its applicable Affiliates as may be reasonably necessary to verify the accuracy of any reports provided pursuant to Section 4.4 hereunder for any Calendar Quarter in which an Oruka Product was sold, ending not more than [***] calendar months prior to the date of such request. Such audits shall be conducted during normal business hours, shall not occur more frequently than [***] in each Calendar Year and shall not be conducted more than [***] with respect to any reporting period, in each case other than for cause. All information disclosed or observed during any audit pursuant to this Section 4.10 shall be the Confidential Information of Oruka, and Paragon shall cause the accounting firm to retain all such information as Confidential Information, including, if requested by Oruka, by requiring such accounting firm to enter into a customary confidentiality agreement with Oruka prior to the initiation of any such audit.</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1"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any audit hereunder, the accounting firm shall provide both Oruka and Paragon a written report disclosing whether the reports submitted by Oruka are correct or incorrect, whether the amounts paid are correct or incorrect, and in each case, the specific details concerning any discrepancies. No other information regarding Oruka’s records shall be provided to Paragon.</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Paragon shall bear its internal expenses and the out-of-pocket costs for engaging such accounting firm in connection with performing such audits;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any such audit uncovers an underpayment by Oruka that exceeds [***] percent ([***]%) of the total owed for such payment or payment period, as applicable, then Oruka shall reimburse Paragon or its designee(s) for the amounts actually paid to such accounting firm for performing such audit.</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7"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accounting firm concludes that Oruka has in aggregate underpaid amounts owed to Paragon during the audited period, Oruka shall pay Paragon or its designee(s) the amount of the discrepancy within [***] days of the date Paragon delivers to Oruka such accounting firm’s written report and an invoice for such amounts. If such accounting firm concludes that Oruka has in aggregate overpaid amounts owed to Paragon during the audited period, then Oruka may, at its election, either credit such overpaid amount against any future payment obligation to Paragon or require Paragon to refund such amounts within [***].</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8" w:name="page259"/>
    <w:bookmarkEnd w:id="258"/>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Ownership</w:t>
      </w:r>
      <w:r>
        <w:rPr>
          <w:rFonts w:ascii="Times New Roman" w:cs="Times New Roman" w:eastAsia="Times New Roman" w:hAnsi="Times New Roman"/>
          <w:sz w:val="18"/>
          <w:szCs w:val="18"/>
          <w:color w:val="auto"/>
        </w:rPr>
        <w:t>. As between the Parties (a) Paragon solely owns the Licensed Antibody Technology, the Other Licensed Patents and the Retained IL-23 Antibody Patents, (b) Oruka solely owns the Oruka Inventions, including any Derived Antibodies and Oruka Multispecific Antibodies to the extent they constitute Oruka Inventions, (c) each Party solely owns all Intellectual Property Rights owned or Controlled by such Party as of the Effective Date or that come into the ownership or control of such Party during the Term outside the scope of this Agreement, and (d) ownership of Inventions shall be determined in accordance with U.S. laws of inventorship. Other than rights granted to Oruka under this Agreement with respect to the Licensed Antibody Technology and the Other Licensed Patents, nothing in this Agreement shall affect Paragon’s rights in any Patents, Know-How or other Intellectual Property Rights owned or controlled by Paragon or its Affiliates, now or in the future. Other than rights granted to Paragon under Section 8.5(c) of this Agreement with respect to the Oruka Intellectual Property, nothing in the Agreement shall affect Oruka’s rights in any Patents, Know-How or other Intellectual Property Rights owned or controlled by Oruka or its Affiliates, now or in the future.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Patent Prosecution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2" w:lineRule="auto"/>
        <w:tabs>
          <w:tab w:leader="none" w:pos="1567"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Prosecution Generally</w:t>
      </w:r>
      <w:r>
        <w:rPr>
          <w:rFonts w:ascii="Times New Roman" w:cs="Times New Roman" w:eastAsia="Times New Roman" w:hAnsi="Times New Roman"/>
          <w:sz w:val="18"/>
          <w:szCs w:val="18"/>
          <w:color w:val="auto"/>
        </w:rPr>
        <w:t>. For the purpose of this Article V, “</w:t>
      </w:r>
      <w:r>
        <w:rPr>
          <w:rFonts w:ascii="Times New Roman" w:cs="Times New Roman" w:eastAsia="Times New Roman" w:hAnsi="Times New Roman"/>
          <w:sz w:val="18"/>
          <w:szCs w:val="18"/>
          <w:b w:val="1"/>
          <w:bCs w:val="1"/>
          <w:color w:val="auto"/>
        </w:rPr>
        <w:t>Prosecute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Prosecution</w:t>
      </w:r>
      <w:r>
        <w:rPr>
          <w:rFonts w:ascii="Times New Roman" w:cs="Times New Roman" w:eastAsia="Times New Roman" w:hAnsi="Times New Roman"/>
          <w:sz w:val="18"/>
          <w:szCs w:val="18"/>
          <w:color w:val="auto"/>
        </w:rPr>
        <w:t>” shall include any patent interference,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opposition, pre-issuance Third Party submission,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other similar proceeding, appeals or petitions to any board of appeals in a patent office, appeals to any court for any patent office decisions, reissue proceedings and applications for patent term extensions and the like.</w:t>
      </w:r>
    </w:p>
    <w:p>
      <w:pPr>
        <w:spacing w:after="0" w:line="17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Prosecution of Licensed Antibody Patents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5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between the Parties, with respect to any patent applications for Licensed Antibody Patents that have not been filed prior to the Effective Date and any resulting patents (the “</w:t>
      </w:r>
      <w:r>
        <w:rPr>
          <w:rFonts w:ascii="Times New Roman" w:cs="Times New Roman" w:eastAsia="Times New Roman" w:hAnsi="Times New Roman"/>
          <w:sz w:val="18"/>
          <w:szCs w:val="18"/>
          <w:b w:val="1"/>
          <w:bCs w:val="1"/>
          <w:color w:val="auto"/>
        </w:rPr>
        <w:t>Post-Effective Date Patents</w:t>
      </w:r>
      <w:r>
        <w:rPr>
          <w:rFonts w:ascii="Times New Roman" w:cs="Times New Roman" w:eastAsia="Times New Roman" w:hAnsi="Times New Roman"/>
          <w:sz w:val="18"/>
          <w:szCs w:val="18"/>
          <w:color w:val="auto"/>
        </w:rPr>
        <w:t>”), Paragon shall have the sole right, but not the obligation, to prepare, file, Prosecute and maintain the Post-Effective Date Patents until the date on which the Final Deliverable (as defined in the Option Agreement) for the Research Program is delivered to Oruka, and during such period Paragon shall provide Oruka with drafts of all proposed filings to any patent office with respect to Post-Effective Date Patents in reasonably adequate time before submission of such filings for Oruka’s review and comment.</w:t>
      </w:r>
    </w:p>
    <w:p>
      <w:pPr>
        <w:spacing w:after="0" w:line="183"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09"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between the Parties, with respect to (x) any patent applications and resulting patents for Licensed Antibody Patents that were filed prior to the Effective Date, and (y) the Post-Effective Date Patents after the date on which the Final Deliverable (as defined in the Option Agreement) for the Research Program is delivered to Oruka, Oruka shall have the first right to prepare, file, Prosecute and maintain the Licensed Antibody Patents, in each case, at Oruka’s sole expense. Oruka shall provide Paragon (and, at the direction of Paragon, shall also provide directly to the Retained IL-23 Project Antibody Licensee) with copies of all material correspondence from and to any patent office relating to such Licensed Antibody Patents, and Oruka shall provide Paragon (and, at the direction of Paragon, shall also provide directly to the Retained IL-23 Project Antibody Licensee) with drafts of all proposed filings to any patent office with respect to such Licensed Antibody Patents before submission of such filings, with reasonably adequate time for Paragon’s (and the Retained IL-23 Project Antibody Licensee’s) review and comment, which review shall be at Paragon’s (and the Retained IL-23 Project Antibody Licensee’s) sole expense.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9" w:name="page260"/>
    <w:bookmarkEnd w:id="259"/>
    <w:p>
      <w:pPr>
        <w:jc w:val="both"/>
        <w:ind w:firstLine="1952"/>
        <w:spacing w:after="0" w:line="259" w:lineRule="auto"/>
        <w:tabs>
          <w:tab w:leader="none" w:pos="2272"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when acting as the prosecuting Party (in such capacity, the “</w:t>
      </w:r>
      <w:r>
        <w:rPr>
          <w:rFonts w:ascii="Times New Roman" w:cs="Times New Roman" w:eastAsia="Times New Roman" w:hAnsi="Times New Roman"/>
          <w:sz w:val="18"/>
          <w:szCs w:val="18"/>
          <w:b w:val="1"/>
          <w:bCs w:val="1"/>
          <w:color w:val="auto"/>
        </w:rPr>
        <w:t>Prosecuting Party</w:t>
      </w:r>
      <w:r>
        <w:rPr>
          <w:rFonts w:ascii="Times New Roman" w:cs="Times New Roman" w:eastAsia="Times New Roman" w:hAnsi="Times New Roman"/>
          <w:sz w:val="18"/>
          <w:szCs w:val="18"/>
          <w:color w:val="auto"/>
        </w:rPr>
        <w:t>”) will take into consideration the non-Prosecuting Party’s reasonable comments (and, if Oruka is the Prosecuting Party, the Retained IL-23 Project Antibody Licensee’s reasonable comments) prior to submitting such filings. At the Prosecuting Party’s request, the non-Prosecuting Party will sign all documents and take any other actions required for filing, maintenance and grant of Licensed Antibody Patents. Oruka shall reimburse Paragon for any costs and expenses actually incurred by Paragon to the extent Paragon is prosecuting or maintaining any Licensed Antibody Patents.</w:t>
      </w:r>
    </w:p>
    <w:p>
      <w:pPr>
        <w:spacing w:after="0" w:line="18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64"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Prosecuting Party shall notify the non-Prosecuting Party of any decision not to prepare or file, or to abandon, cease Prosecution or not maintain any Licensed Antibody Patent anywhere in the Territory. The Prosecuting Party shall provide such notice at least [***] days prior to any filing or payment due date, or any other due date that requires action, in connection with such Licensed Antibody Patent. In such event, the non-Prosecuting Party shall have a backup right, but not the obligation, to prepare, file, or continue Prosecution or maintenance of, such Licensed Antibody Patent, at its own expense.</w:t>
      </w:r>
    </w:p>
    <w:p>
      <w:pPr>
        <w:spacing w:after="0" w:line="18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01"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cooperate with the other Party in the preparation, filing, Prosecution and maintenance of Licensed Antibody Patents, including in each case by providing the prosecuting Party with data and other information as appropriate and executing all necessary affidavits, assignments and other paperwork.</w:t>
      </w:r>
    </w:p>
    <w:p>
      <w:pPr>
        <w:spacing w:after="0" w:line="17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7"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Prosecution by Paragon</w:t>
      </w:r>
      <w:r>
        <w:rPr>
          <w:rFonts w:ascii="Times New Roman" w:cs="Times New Roman" w:eastAsia="Times New Roman" w:hAnsi="Times New Roman"/>
          <w:sz w:val="18"/>
          <w:szCs w:val="18"/>
          <w:color w:val="auto"/>
        </w:rPr>
        <w:t>. Except with respect to Licensed Antibody Patents (which are addressed in Section 5.2(b)), Paragon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or indirectly through the Retained IL-23 Project Antibody Licensee) shall be solely responsible for, and have sole discretion over, preparing, filing, Prosecuting and maintaining any Patents (including the Other Licensed Patents, Paragon Multispecific Patents and Retained IL-23 Antibody Patents) that it owns in whole or in part or otherwise Controls (the “</w:t>
      </w:r>
      <w:r>
        <w:rPr>
          <w:rFonts w:ascii="Times New Roman" w:cs="Times New Roman" w:eastAsia="Times New Roman" w:hAnsi="Times New Roman"/>
          <w:sz w:val="18"/>
          <w:szCs w:val="18"/>
          <w:b w:val="1"/>
          <w:bCs w:val="1"/>
          <w:color w:val="auto"/>
        </w:rPr>
        <w:t>Paragon Patents</w:t>
      </w:r>
      <w:r>
        <w:rPr>
          <w:rFonts w:ascii="Times New Roman" w:cs="Times New Roman" w:eastAsia="Times New Roman" w:hAnsi="Times New Roman"/>
          <w:sz w:val="18"/>
          <w:szCs w:val="18"/>
          <w:color w:val="auto"/>
        </w:rPr>
        <w:t>”). Paragon’s Prosecution of any Paragon Patents shall be at Paragon’s sole expense. Notwithstanding the foregoing, in Prosecuting any Paragon Multispecific Patents, Paragon hereby agrees that during the Term, neither Paragon nor any of its Affiliates or licensees will file, or assist any Third Party in filing, any Patent that includes a claim that expressly recites the sequence of a Licensed Antibody or Derived Antibody other than as part of a Paragon Multispecific Antibody. In the Prosecution by Paragon or the Retained IL-23 Project Antibody Licensee of any Retained IL-23 Antibody Patents, (i) Paragon shall provide or cause to be provided (directly or indirectly through the Retained IL-23 Project Antibody Licensee) to Oruka copies of all material correspondence from and to any patent office relating to such Retained IL-23 Antibody Patents, and (ii) Paragon shall provide or cause to be provided (directly or indirectly through the Retained IL-23 Project Antibody Licensee) to Oruka drafts of all proposed filings to any patent office with respect to such Retained IL-23 Antibody Patents before submission of such filings, with reasonably adequate time for Oruka’s review and comment, and Paragon or the Retained IL-23 Project Antibody Licensee, as applicable, will take into consideration Oruka’s reasonable comments prior to submitting such filings.</w:t>
      </w:r>
    </w:p>
    <w:p>
      <w:pPr>
        <w:spacing w:after="0" w:line="187"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6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Patent Prosecution Costs Prior to the Effective Date</w:t>
      </w:r>
      <w:r>
        <w:rPr>
          <w:rFonts w:ascii="Times New Roman" w:cs="Times New Roman" w:eastAsia="Times New Roman" w:hAnsi="Times New Roman"/>
          <w:sz w:val="18"/>
          <w:szCs w:val="18"/>
          <w:color w:val="auto"/>
        </w:rPr>
        <w:t>. No later than [***] days after the Effective Date, Oruka shall reimburse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Paragon for any actual costs and expenses incurred by Paragon that are related to the Prosecution of any Licensed Antibody Patents prior to the Effective Date and that have not already been paid by Oruka. Oruka will promptly reimburse Paragon for any future Prosecution costs and expenses incurred by Paragon with respect to the Licensed Antibody Patents.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0" w:name="page261"/>
    <w:bookmarkEnd w:id="260"/>
    <w:p>
      <w:pPr>
        <w:jc w:val="both"/>
        <w:ind w:firstLine="1304"/>
        <w:spacing w:after="0" w:line="259" w:lineRule="auto"/>
        <w:tabs>
          <w:tab w:leader="none" w:pos="15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CREATE Act</w:t>
      </w:r>
      <w:r>
        <w:rPr>
          <w:rFonts w:ascii="Times New Roman" w:cs="Times New Roman" w:eastAsia="Times New Roman" w:hAnsi="Times New Roman"/>
          <w:sz w:val="18"/>
          <w:szCs w:val="18"/>
          <w:color w:val="auto"/>
        </w:rPr>
        <w:t>. Notwithstanding anything to the contrary in this Agreement, each Party will have the right to invoke the Cooperative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and Technology Enhancement Act of 2004, 35 U.S.C. § 103(c)(2)-(c)(3) (the “</w:t>
      </w:r>
      <w:r>
        <w:rPr>
          <w:rFonts w:ascii="Times New Roman" w:cs="Times New Roman" w:eastAsia="Times New Roman" w:hAnsi="Times New Roman"/>
          <w:sz w:val="18"/>
          <w:szCs w:val="18"/>
          <w:b w:val="1"/>
          <w:bCs w:val="1"/>
          <w:color w:val="auto"/>
        </w:rPr>
        <w:t>CREATE Act</w:t>
      </w:r>
      <w:r>
        <w:rPr>
          <w:rFonts w:ascii="Times New Roman" w:cs="Times New Roman" w:eastAsia="Times New Roman" w:hAnsi="Times New Roman"/>
          <w:sz w:val="18"/>
          <w:szCs w:val="18"/>
          <w:color w:val="auto"/>
        </w:rPr>
        <w:t>”) when exercising its rights under Article V of this Agreement, without the prior written consent of the other Party. Where such Party intends to invoke the CREATE Act, it will notify the other Party and the other Party will cooperate and coordinate its activities with such Party with respect to any submissions, filings or other activities in support thereof. The Parties acknowledge and agree that this Agreement is a joint research agreement (JRA) as defined in the CREATE Act.</w:t>
      </w:r>
    </w:p>
    <w:p>
      <w:pPr>
        <w:spacing w:after="0" w:line="179" w:lineRule="exact"/>
        <w:rPr>
          <w:rFonts w:ascii="Times New Roman" w:cs="Times New Roman" w:eastAsia="Times New Roman" w:hAnsi="Times New Roman"/>
          <w:sz w:val="18"/>
          <w:szCs w:val="18"/>
          <w:color w:val="auto"/>
        </w:rPr>
      </w:pPr>
    </w:p>
    <w:p>
      <w:pPr>
        <w:ind w:firstLine="1304"/>
        <w:spacing w:after="0" w:line="286" w:lineRule="auto"/>
        <w:tabs>
          <w:tab w:leader="none" w:pos="154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Disclosure of Antibody Patents</w:t>
      </w:r>
      <w:r>
        <w:rPr>
          <w:rFonts w:ascii="Times New Roman" w:cs="Times New Roman" w:eastAsia="Times New Roman" w:hAnsi="Times New Roman"/>
          <w:sz w:val="18"/>
          <w:szCs w:val="18"/>
          <w:color w:val="auto"/>
        </w:rPr>
        <w:t>. Upon the request of Paragon, Oruka shall deliver to Paragon a list of the then-existing Oruka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Antibody Patents. Upon the request of Oruka, Paragon shall deliver to Oruka a list of the then-existing Retained IL-23 Antibody Patents.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color w:val="auto"/>
        </w:rPr>
        <w:t>Patent Enforcement and Defense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2" w:lineRule="auto"/>
        <w:tabs>
          <w:tab w:leader="none" w:pos="1554"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of Patent Infringement and Patent Challenge</w:t>
      </w:r>
      <w:r>
        <w:rPr>
          <w:rFonts w:ascii="Times New Roman" w:cs="Times New Roman" w:eastAsia="Times New Roman" w:hAnsi="Times New Roman"/>
          <w:sz w:val="18"/>
          <w:szCs w:val="18"/>
          <w:color w:val="auto"/>
        </w:rPr>
        <w:t>. Each Party shall give the other Party notice of any known or suspected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infringement by a Third Party (“</w:t>
      </w:r>
      <w:r>
        <w:rPr>
          <w:rFonts w:ascii="Times New Roman" w:cs="Times New Roman" w:eastAsia="Times New Roman" w:hAnsi="Times New Roman"/>
          <w:sz w:val="18"/>
          <w:szCs w:val="18"/>
          <w:b w:val="1"/>
          <w:bCs w:val="1"/>
          <w:color w:val="auto"/>
        </w:rPr>
        <w:t>Patent Infringement</w:t>
      </w:r>
      <w:r>
        <w:rPr>
          <w:rFonts w:ascii="Times New Roman" w:cs="Times New Roman" w:eastAsia="Times New Roman" w:hAnsi="Times New Roman"/>
          <w:sz w:val="18"/>
          <w:szCs w:val="18"/>
          <w:color w:val="auto"/>
        </w:rPr>
        <w:t>”) of any Licensed Antibody Patent and any known or suspected challenge by a Third Party against the validity or enforceability (“</w:t>
      </w:r>
      <w:r>
        <w:rPr>
          <w:rFonts w:ascii="Times New Roman" w:cs="Times New Roman" w:eastAsia="Times New Roman" w:hAnsi="Times New Roman"/>
          <w:sz w:val="18"/>
          <w:szCs w:val="18"/>
          <w:b w:val="1"/>
          <w:bCs w:val="1"/>
          <w:color w:val="auto"/>
        </w:rPr>
        <w:t>Patent Challenge</w:t>
      </w:r>
      <w:r>
        <w:rPr>
          <w:rFonts w:ascii="Times New Roman" w:cs="Times New Roman" w:eastAsia="Times New Roman" w:hAnsi="Times New Roman"/>
          <w:sz w:val="18"/>
          <w:szCs w:val="18"/>
          <w:color w:val="auto"/>
        </w:rPr>
        <w:t>”) of any Licensed Antibody Patent or Retained IL-23 Antibody Patent within [***] days after such Patent Infringement or Patent Challenge comes to such Party’s attention.</w:t>
      </w:r>
    </w:p>
    <w:p>
      <w:pPr>
        <w:spacing w:after="0" w:line="176"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64"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Oruka’s First Right to Enforce or Defend</w:t>
      </w:r>
      <w:r>
        <w:rPr>
          <w:rFonts w:ascii="Times New Roman" w:cs="Times New Roman" w:eastAsia="Times New Roman" w:hAnsi="Times New Roman"/>
          <w:sz w:val="18"/>
          <w:szCs w:val="18"/>
          <w:color w:val="auto"/>
        </w:rPr>
        <w:t>. Oruka shall have the first right, but not the obligation, to bring and control any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including by declaratory judgment action, patent litigation or similar proceeding, in connection with any Patent Infringement or Patent Challenge with respect to the Licensed Antibody Patents in the Territory at its own expense and discretion as it reasonably determines appropriate. Oruka shall keep Paragon (and, at the direction of Paragon, the Retained IL-23 Project Antibody Licensee) informed and reasonably consult with Paragon (and, at the direction of Paragon, the Retained IL-23 Project Antibody Licensee) in the course of such legal action. Paragon shall have the right to be represented in any such legal action by counsel of its choice at its own expense.</w:t>
      </w:r>
    </w:p>
    <w:p>
      <w:pPr>
        <w:spacing w:after="0" w:line="182"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54"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Paragon’s First Right to Enforce or Defend</w:t>
      </w:r>
      <w:r>
        <w:rPr>
          <w:rFonts w:ascii="Times New Roman" w:cs="Times New Roman" w:eastAsia="Times New Roman" w:hAnsi="Times New Roman"/>
          <w:sz w:val="18"/>
          <w:szCs w:val="18"/>
          <w:color w:val="auto"/>
        </w:rPr>
        <w:t>. Paragon (or, at Paragon’s discretion, the Retained IL-23 Project Antibody Licensee)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sole right, but not the obligation, to bring and control any legal action, including by declaratory judgment action, patent litigation or similar proceeding, in connection with any Patent Infringement or Patent Challenge with respect to the Paragon Patents in the Territory at its own expense and discretion as it reasonably determines appropriate. Paragon (directly or indirectly through the Retained IL-23 Project Antibody Licensee) shall keep Oruka informed and reasonably consult with Oruka in the course of legal action to enforce or defend any Retained IL-23 Antibody Patent.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51"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w:t>
      </w:r>
      <w:r>
        <w:rPr>
          <w:rFonts w:ascii="Times New Roman" w:cs="Times New Roman" w:eastAsia="Times New Roman" w:hAnsi="Times New Roman"/>
          <w:sz w:val="18"/>
          <w:szCs w:val="18"/>
          <w:color w:val="auto"/>
        </w:rPr>
        <w:t>. In connection with any such legal action or proceeding, Oruka shall not enter into any settlement admitting the invalidity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unenforceability of Licensed Antibody Patents without the prior written consent of Paragon (such consent not to be unreasonably conditioned, withheld, or delayed), and Paragon shall not enter into any settlement admitting the invalidity or unenforceability of the Retained IL-23 Antibody Patents without the prior written consent of Oruka (such consent not to be unreasonably conditioned, withheld, or delayed).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1" w:name="page262"/>
    <w:bookmarkEnd w:id="261"/>
    <w:p>
      <w:pPr>
        <w:jc w:val="both"/>
        <w:ind w:firstLine="1304"/>
        <w:spacing w:after="0" w:line="268" w:lineRule="auto"/>
        <w:tabs>
          <w:tab w:leader="none" w:pos="15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Paragon’s Backup Right to Enforce or Defend</w:t>
      </w:r>
      <w:r>
        <w:rPr>
          <w:rFonts w:ascii="Times New Roman" w:cs="Times New Roman" w:eastAsia="Times New Roman" w:hAnsi="Times New Roman"/>
          <w:sz w:val="18"/>
          <w:szCs w:val="18"/>
          <w:color w:val="auto"/>
        </w:rPr>
        <w:t>. If Oruka does not initiate a legal action for Patent Infringement or Patent Challenge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any Licensed Antibody Patent within [***] days after a notice from Paragon under Section 5.3(a), then Paragon shall have a backup right, but not the obligation, to initiate such legal action at its own expense.</w:t>
      </w:r>
    </w:p>
    <w:p>
      <w:pPr>
        <w:spacing w:after="0" w:line="170"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21"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Allocation of Recoveries</w:t>
      </w:r>
      <w:r>
        <w:rPr>
          <w:rFonts w:ascii="Times New Roman" w:cs="Times New Roman" w:eastAsia="Times New Roman" w:hAnsi="Times New Roman"/>
          <w:sz w:val="18"/>
          <w:szCs w:val="18"/>
          <w:color w:val="auto"/>
        </w:rPr>
        <w:t>. Any recoveries resulting from such legal action initiated by Oruka or Paragon hereunder relating to Patent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Infringement or Patent Challenge in each case solely with respect to the Licensed Antibody Patents, including pursuant to a settlement, shall be applied as follows: (i) first to reimburse the [***] of each of the Parties in such action; and (ii) second, any amounts remaining after paying the amounts due each Party under clause (i) (the “</w:t>
      </w:r>
      <w:r>
        <w:rPr>
          <w:rFonts w:ascii="Times New Roman" w:cs="Times New Roman" w:eastAsia="Times New Roman" w:hAnsi="Times New Roman"/>
          <w:sz w:val="18"/>
          <w:szCs w:val="18"/>
          <w:b w:val="1"/>
          <w:bCs w:val="1"/>
          <w:color w:val="auto"/>
        </w:rPr>
        <w:t>Remaining Recovery</w:t>
      </w:r>
      <w:r>
        <w:rPr>
          <w:rFonts w:ascii="Times New Roman" w:cs="Times New Roman" w:eastAsia="Times New Roman" w:hAnsi="Times New Roman"/>
          <w:sz w:val="18"/>
          <w:szCs w:val="18"/>
          <w:color w:val="auto"/>
        </w:rPr>
        <w:t>”) shall be allocated as follows: (1) [***]; or (2) [***].</w:t>
      </w:r>
    </w:p>
    <w:p>
      <w:pPr>
        <w:spacing w:after="0" w:line="176"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51"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Cooperation with Patent Enforcement</w:t>
      </w:r>
      <w:r>
        <w:rPr>
          <w:rFonts w:ascii="Times New Roman" w:cs="Times New Roman" w:eastAsia="Times New Roman" w:hAnsi="Times New Roman"/>
          <w:sz w:val="18"/>
          <w:szCs w:val="18"/>
          <w:color w:val="auto"/>
        </w:rPr>
        <w:t>. At the request of the enforcing Party (and at the requesting Party’s expense), the other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reasonably cooperate and provide any information or assistance in connection with any legal action under this Section 5.3, including executing reasonably appropriate documents, cooperating in discovery and, if required by Applicable Law, joining as a party to the legal action at its own expense.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color w:val="auto"/>
        </w:rPr>
        <w:t>Third Party Patent Proceedings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2" w:lineRule="auto"/>
        <w:tabs>
          <w:tab w:leader="none" w:pos="1554"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Oruka’s First Right to Challenge Third Party Patents</w:t>
      </w:r>
      <w:r>
        <w:rPr>
          <w:rFonts w:ascii="Times New Roman" w:cs="Times New Roman" w:eastAsia="Times New Roman" w:hAnsi="Times New Roman"/>
          <w:sz w:val="18"/>
          <w:szCs w:val="18"/>
          <w:color w:val="auto"/>
        </w:rPr>
        <w:t>. Oruka shall have the sole and exclusive right, but not the obligation,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bring and control any legal action to challenge any Patents controlled by a Third Party, including by declaratory judgment action, patent interference, opposition, pre-issuance submission,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patent litigation or similar proceeding, in each case that are necessary or useful to Develop, Manufacture, Commercialize or otherwise exploit any Oruka Product.</w:t>
      </w:r>
    </w:p>
    <w:p>
      <w:pPr>
        <w:spacing w:after="0" w:line="176"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51"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Cooperation by Paragon</w:t>
      </w:r>
      <w:r>
        <w:rPr>
          <w:rFonts w:ascii="Times New Roman" w:cs="Times New Roman" w:eastAsia="Times New Roman" w:hAnsi="Times New Roman"/>
          <w:sz w:val="18"/>
          <w:szCs w:val="18"/>
          <w:color w:val="auto"/>
        </w:rPr>
        <w:t>. At the request of Oruka, Paragon shall cooperate and provide any information or assistance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any legal action under this Section 5.4, including executing reasonably appropriate documents, cooperating in discovery and, if required by Applicable Law, joining as a party to the action at Oruka’s cost and expense.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color w:val="auto"/>
        </w:rPr>
        <w:t>Common Interest Agreement</w:t>
      </w:r>
      <w:r>
        <w:rPr>
          <w:rFonts w:ascii="Times New Roman" w:cs="Times New Roman" w:eastAsia="Times New Roman" w:hAnsi="Times New Roman"/>
          <w:sz w:val="18"/>
          <w:szCs w:val="18"/>
          <w:color w:val="auto"/>
        </w:rPr>
        <w:t>. At the request of either Party to conduct the activities under this Article V, the Parties shall cooperate in good faith to enter into a customary, mutually-agreed common-interest agreement intended to preserve attorney-client privilege with respect to disclosures and communications by or on behalf of either Party or its Affiliates in connection with such activities.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2" w:name="page263"/>
    <w:bookmarkEnd w:id="262"/>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PROTECTION OF CONFIDENTIAL INFORMATION.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color w:val="auto"/>
        </w:rPr>
        <w:t>Confidentiality</w:t>
      </w:r>
      <w:r>
        <w:rPr>
          <w:rFonts w:ascii="Times New Roman" w:cs="Times New Roman" w:eastAsia="Times New Roman" w:hAnsi="Times New Roman"/>
          <w:sz w:val="18"/>
          <w:szCs w:val="18"/>
          <w:color w:val="auto"/>
        </w:rPr>
        <w:t xml:space="preserve">. Except to the extent expressly authorized by this Agreement, the Receiving Party agrees that, during the Term, for [***] years thereafter, and, with respect to any Know-How that constitutes a trade secret, for long as such Know-How constitutes a trade secret, it shall keep confidential and shall not publish or otherwise disclose to any Third Party, and shall not use for any purpose other than as expressly provided for in this Agreement, any Confidential Information of the Disclosing Party. The Receiving Party may disclose Confidential Information of the Disclosing Party to those of the Receiving Party’s Representatives who have a need for such information,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Receiving Party shall advise such Representatives of the confidential nature thereof, shall ensure that each such Representative is bound in writing by obligations of confidentiality and non-use at least as stringent as those contained in this Agreement, and shall be responsible for the compliance of its Representatives with the terms of this Agreement. The Receiving Party shall use at least the same standard of care as it uses to protect proprietary or confidential information of its own (but in no event less than reasonable care) to ensure that its Representatives do not disclose or make any unauthorized use of the Confidential Information of the Disclosing Party. The Receiving Party shall promptly notify the Disclosing Party upon discovery of any unauthorized use or disclosure of the Confidential Information of the Disclosing Party.</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Exceptions</w:t>
      </w:r>
      <w:r>
        <w:rPr>
          <w:rFonts w:ascii="Times New Roman" w:cs="Times New Roman" w:eastAsia="Times New Roman" w:hAnsi="Times New Roman"/>
          <w:sz w:val="18"/>
          <w:szCs w:val="18"/>
          <w:color w:val="auto"/>
        </w:rPr>
        <w:t>. The Receiving Party’s obligations under Section 6.1 shall not apply to any Confidential Information of the Disclosing Party that the Receiving Party can prove by competent evidence: (a) is now, or hereafter becomes, through no act or failure to act on the part of the Receiving Party in breach of this Agreement, generally known or available; (b) is known by the Receiving Party at the time of receiving such information from the Disclosing Party; (c) is hereafter furnished to the Receiving Party by a Third Party, as a matter of right and without restriction on disclosure; or (d) is independently discovered or developed by the Receiving Party, without the aid, use or application of any Confidential Information of the Disclosing Party.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Authorized Disclosure</w:t>
      </w:r>
      <w:r>
        <w:rPr>
          <w:rFonts w:ascii="Times New Roman" w:cs="Times New Roman" w:eastAsia="Times New Roman" w:hAnsi="Times New Roman"/>
          <w:sz w:val="18"/>
          <w:szCs w:val="18"/>
          <w:color w:val="auto"/>
        </w:rPr>
        <w:t>. Notwithstanding the provisions of this Article VI, the Receiving Party may disclose Confidential Information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Disclosing Party, without violating its obligations under this Agreement, to the extent the disclosure is:</w:t>
      </w:r>
    </w:p>
    <w:p>
      <w:pPr>
        <w:spacing w:after="0" w:line="207" w:lineRule="exact"/>
        <w:rPr>
          <w:sz w:val="20"/>
          <w:szCs w:val="20"/>
          <w:color w:val="auto"/>
        </w:rPr>
      </w:pPr>
    </w:p>
    <w:p>
      <w:pPr>
        <w:jc w:val="both"/>
        <w:ind w:firstLine="1304"/>
        <w:spacing w:after="0" w:line="255" w:lineRule="auto"/>
        <w:tabs>
          <w:tab w:leader="none" w:pos="1543"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required by a valid order of a court or other Governmental Authority of competent jurisdiction or as otherwise required by Applicable Law, rule, regulation (including securities laws), government requirement, or as may be required in connection with any filings made with, or by the disclosure policies of, a stock exchange (including, for clarity, any such disclosures required to be made by Paragon or its Affiliates or licensees in connection with the Development, Manufacture, Commercialization or other exploitation of Multispecific Antibodies),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Receiving Party shall give reasonable prior written notice to the Disclosing Party of such required disclosure and, at the [***] request and expense, shall cooperate with the Disclosing Party’s efforts to contest such requirement, to obtain a protective order requiring that the Confidential Information so disclosed be used only for the purposes for which the order was issued or the law required, or to obtain other confidential treatment of such Confidential Information;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3" w:name="page264"/>
    <w:bookmarkEnd w:id="263"/>
    <w:p>
      <w:pPr>
        <w:jc w:val="both"/>
        <w:ind w:firstLine="1304"/>
        <w:spacing w:after="0" w:line="261" w:lineRule="auto"/>
        <w:tabs>
          <w:tab w:leader="none" w:pos="1567"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necessary to file or Prosecute patent applications, Prosecute or defend litigation or otherwise establish rights or enforce obligations under this Agreement, or obtain or maintain approval to conduct clinical trials or Regulatory Approvals, in each case, in accordance with this Agreement (including, for clarity, any such disclosures that are reasonably necessary to made by Paragon or its Affiliates or licensees in connection with the Development, Manufacture, Commercialization or other exploitation of Multispecific Antibodies); or</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appropriate confidentiality provisions substantially equivalent to those in this Agreement (but of shorter duration if customary in the case of subclause (ii)): (i) in connection with the performance of its obligations or as reasonably necessary or useful in the exercise of its rights under this Agreement, including the right to grant licenses or sublicenses as permitted hereunder and the right to Develop, Manufacture, Commercialize and otherwise exploit Antibodies and products (including Multispecific Antibodies and Multispecific Products) to which it has rights hereunder, or (ii) to actual or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potential licensees, acquirers, merger partners, assignees, collaborators, investment bankers, investors or lenders.</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color w:val="auto"/>
        </w:rPr>
        <w:t>Use of Names</w:t>
      </w:r>
      <w:r>
        <w:rPr>
          <w:rFonts w:ascii="Times New Roman" w:cs="Times New Roman" w:eastAsia="Times New Roman" w:hAnsi="Times New Roman"/>
          <w:sz w:val="18"/>
          <w:szCs w:val="18"/>
          <w:color w:val="auto"/>
        </w:rPr>
        <w:t>. Except as set forth in Section 6.6(b), neither Party shall use the other Party’s name or trademarks in any advertising, sales, or promotional material or in any publication without the prior written consent of the other Party.</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b w:val="1"/>
          <w:bCs w:val="1"/>
          <w:color w:val="auto"/>
        </w:rPr>
        <w:t>Confidentiality of this Agreement</w:t>
      </w:r>
      <w:r>
        <w:rPr>
          <w:rFonts w:ascii="Times New Roman" w:cs="Times New Roman" w:eastAsia="Times New Roman" w:hAnsi="Times New Roman"/>
          <w:sz w:val="18"/>
          <w:szCs w:val="18"/>
          <w:color w:val="auto"/>
        </w:rPr>
        <w:t xml:space="preserve">. This Agreement and its terms are considered Confidential Information of both Parties, and each Party shall keep confidential and shall not publish or otherwise disclose the terms of this Agreement without the prior written consent of the other Party, except as expressly permitted by Section 6.3, and except that both Parties may disclose this Agreement and its terms to its legal, financial and investment banking advisors;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potential and actual investors, acquirers, merger partners, assignees, collaborators, investment bankers, lenders, licensees, sublicensees or strategic partners in connection with license or partnering transactions, due diligence or similar investigations by such Third Parties or in confidential financing documents; and counsel or other advisors for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in each case, that any such Third Party agrees to be bound by obligations of confidentiality and non-use at least as restrictive as those set forth in this Article VI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confidentiality term applicable to such Third Party may be shorter so long as it is commercially reasonable).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b w:val="1"/>
          <w:bCs w:val="1"/>
          <w:color w:val="auto"/>
        </w:rPr>
        <w:t>Publicity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6" w:lineRule="auto"/>
        <w:tabs>
          <w:tab w:leader="none" w:pos="1541"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6.6(b), neither Party will generate or allow any publicity regarding this Agreement or the transactions contemplated hereunder without the other Party first approving such press release or publication in writing, except for any public disclosure by or on behalf of a Party that is, upon the advice of such Party’s counsel, required by Applicable Law or the rules of a stock exchange on which the securities of such Party are listed (or to which an application for listing has been submitted) and except that a Party may, once a press release or other public written statement is approved in writing by both Parties, make subsequent public disclosure of the information contained in such press release or other public written statement without the further approval of the other Party.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4" w:name="page265"/>
    <w:bookmarkEnd w:id="264"/>
    <w:p>
      <w:pPr>
        <w:jc w:val="both"/>
        <w:ind w:firstLine="1304"/>
        <w:spacing w:after="0" w:line="252" w:lineRule="auto"/>
        <w:tabs>
          <w:tab w:leader="none" w:pos="1561"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collaborate and cooperate [***] to devise a Publication (as defined below) strategy for the Oruka Products that is acceptable to both Parties. Prior to publicly presenting or publishing any data, results or analyses relating to an Oruka Product generated by or on behalf of Oruka pursuant to this Agreement (each such proposed presentation or publication, a “</w:t>
      </w:r>
      <w:r>
        <w:rPr>
          <w:rFonts w:ascii="Times New Roman" w:cs="Times New Roman" w:eastAsia="Times New Roman" w:hAnsi="Times New Roman"/>
          <w:sz w:val="18"/>
          <w:szCs w:val="18"/>
          <w:b w:val="1"/>
          <w:bCs w:val="1"/>
          <w:color w:val="auto"/>
        </w:rPr>
        <w:t>Publication</w:t>
      </w:r>
      <w:r>
        <w:rPr>
          <w:rFonts w:ascii="Times New Roman" w:cs="Times New Roman" w:eastAsia="Times New Roman" w:hAnsi="Times New Roman"/>
          <w:sz w:val="18"/>
          <w:szCs w:val="18"/>
          <w:color w:val="auto"/>
        </w:rPr>
        <w:t>”), Oruka will provide Paragon with a copy of such proposed Publication to review with adequate time for Paragon’s review and comment prior to the earlier of its presentation or intended submission for publication (such applicable period, the “</w:t>
      </w:r>
      <w:r>
        <w:rPr>
          <w:rFonts w:ascii="Times New Roman" w:cs="Times New Roman" w:eastAsia="Times New Roman" w:hAnsi="Times New Roman"/>
          <w:sz w:val="18"/>
          <w:szCs w:val="18"/>
          <w:b w:val="1"/>
          <w:bCs w:val="1"/>
          <w:color w:val="auto"/>
        </w:rPr>
        <w:t>Review Period</w:t>
      </w:r>
      <w:r>
        <w:rPr>
          <w:rFonts w:ascii="Times New Roman" w:cs="Times New Roman" w:eastAsia="Times New Roman" w:hAnsi="Times New Roman"/>
          <w:sz w:val="18"/>
          <w:szCs w:val="18"/>
          <w:color w:val="auto"/>
        </w:rPr>
        <w:t xml:space="preserve">”). Oruka will take into consideration Paragon’s reasonable comments prior to finalizing the Publication. Upon Paragon’s request, Oruka shall remove any Confidential Information of Paragon from such Publication that Oruka is not required to disclose pursuant to Applicable Law or the rules of a stock exchange on which the securities of Oruka are listed. In addition, Paragon shall have the right to request the delay of such Publication for up to [***] days to enable filing of Patents, which request Oruka will take into consideration and discuss with Paragon before release of the Publication. Paragon will not publicly present or publish any Publication including Confidential Information of Oruka relating specifically to the Licensed Antibodies or Derived Antibodies without Oruka’s prior written consent, which consent may be withheld for any reason or no reason;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foregoing shall not limit Paragon’s right to publicly present or publish any Publication relating to Multispecific Antibodies. Each Publication shall include proper attribution, including the use of such Party’s trademarks and name, to the non-publishing Party, as applicable, and each non-publishing Party expressly authorizes the inclusion of such reference in the applicable Publication and licenses the use of such trademarks and name solely for inclusion in any such Publication.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REPRESENTATIONS, WARRANTIES AND COVENANTS.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color w:val="auto"/>
        </w:rPr>
        <w:t>Mutual Representations</w:t>
      </w:r>
      <w:r>
        <w:rPr>
          <w:rFonts w:ascii="Times New Roman" w:cs="Times New Roman" w:eastAsia="Times New Roman" w:hAnsi="Times New Roman"/>
          <w:sz w:val="18"/>
          <w:szCs w:val="18"/>
          <w:color w:val="auto"/>
        </w:rPr>
        <w:t>. Each Party represents and warrants to the other Party that:</w:t>
      </w:r>
    </w:p>
    <w:p>
      <w:pPr>
        <w:spacing w:after="0" w:line="229" w:lineRule="exact"/>
        <w:rPr>
          <w:sz w:val="20"/>
          <w:szCs w:val="20"/>
          <w:color w:val="auto"/>
        </w:rPr>
      </w:pPr>
    </w:p>
    <w:p>
      <w:pPr>
        <w:ind w:firstLine="1304"/>
        <w:spacing w:after="0" w:line="282" w:lineRule="auto"/>
        <w:tabs>
          <w:tab w:leader="none" w:pos="1543"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duly organized and validly existing under the laws of its jurisdiction of incorporation or formation, and has full corporate or other power and authority to enter into this Agreement and to carry out the provisions hereof;</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duly authorized to execute and deliver this Agreement and to perform its obligations hereunder;</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3"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permit, governmental order, declaration or filing with, or notice to, any Governmental Authority or any Third Party is required by or with respect to such in connection with the execution and delivery of this Agreement and the consummation of the transactions contemplated hereby; and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77"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legally binding upon it, enforceable in accordance with its terms, and does not and will not conflict with any agreement, instrument, or understanding, oral or written, to which it is or may become a party or by which it may be or become bound.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5" w:name="page266"/>
    <w:bookmarkEnd w:id="265"/>
    <w:p>
      <w:pPr>
        <w:ind w:left="64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color w:val="auto"/>
        </w:rPr>
        <w:t>Representations of Paragon</w:t>
      </w:r>
      <w:r>
        <w:rPr>
          <w:rFonts w:ascii="Times New Roman" w:cs="Times New Roman" w:eastAsia="Times New Roman" w:hAnsi="Times New Roman"/>
          <w:sz w:val="18"/>
          <w:szCs w:val="18"/>
          <w:color w:val="auto"/>
        </w:rPr>
        <w:t>. Paragon hereby represents and warrants to Oruka as of the Effective Date that:</w:t>
      </w:r>
    </w:p>
    <w:p>
      <w:pPr>
        <w:spacing w:after="0" w:line="229" w:lineRule="exact"/>
        <w:rPr>
          <w:sz w:val="20"/>
          <w:szCs w:val="20"/>
          <w:color w:val="auto"/>
        </w:rPr>
      </w:pPr>
    </w:p>
    <w:p>
      <w:pPr>
        <w:ind w:left="-20" w:firstLine="1304"/>
        <w:spacing w:after="0" w:line="282" w:lineRule="auto"/>
        <w:tabs>
          <w:tab w:leader="none" w:pos="1532"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Paragon has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 true, correct and complete list of all the Licensed Antibody Patents existing as of the Effective Date (including title, all inventors, owners, assignees, filing date, grant date, expiration date and status);</w:t>
      </w:r>
    </w:p>
    <w:p>
      <w:pPr>
        <w:spacing w:after="0" w:line="161" w:lineRule="exact"/>
        <w:rPr>
          <w:rFonts w:ascii="Times New Roman" w:cs="Times New Roman" w:eastAsia="Times New Roman" w:hAnsi="Times New Roman"/>
          <w:sz w:val="18"/>
          <w:szCs w:val="18"/>
          <w:color w:val="auto"/>
        </w:rPr>
      </w:pPr>
    </w:p>
    <w:p>
      <w:pPr>
        <w:ind w:left="1540" w:hanging="256"/>
        <w:spacing w:after="0"/>
        <w:tabs>
          <w:tab w:leader="none" w:pos="15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Paragon exclusively owns all Licensed Antibody Patents;</w:t>
      </w:r>
    </w:p>
    <w:p>
      <w:pPr>
        <w:spacing w:after="0" w:line="225" w:lineRule="exact"/>
        <w:rPr>
          <w:rFonts w:ascii="Times New Roman" w:cs="Times New Roman" w:eastAsia="Times New Roman" w:hAnsi="Times New Roman"/>
          <w:sz w:val="18"/>
          <w:szCs w:val="18"/>
          <w:color w:val="auto"/>
        </w:rPr>
      </w:pPr>
    </w:p>
    <w:p>
      <w:pPr>
        <w:ind w:left="-20" w:right="20" w:firstLine="1304"/>
        <w:spacing w:after="0" w:line="282" w:lineRule="auto"/>
        <w:tabs>
          <w:tab w:leader="none" w:pos="154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licenses or sublicenses pursuant to which Paragon licenses as of the Effective Date any of the Licensed Antibody Technology, nor, to Paragon’s actual knowledge, are any such licenses necessary to Develop, Manufacture and Commercialize the Licensed Antibodies;</w:t>
      </w:r>
    </w:p>
    <w:p>
      <w:pPr>
        <w:spacing w:after="0" w:line="161"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561"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Paragon has the right under the Licensed Antibody Technology to grant to Oruka the licenses and other rights set forth in this Agreement, and it has not granted any license or other right under the Licensed Antibody Technology that is inconsistent with the licenses and other rights granted to Oruka hereunder;</w:t>
      </w:r>
    </w:p>
    <w:p>
      <w:pPr>
        <w:spacing w:after="0" w:line="175"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534"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or, to Paragon’s knowledge, threatened litigation, nor has Paragon received any written notice from any Third Party, asserting or alleging that the development, manufacture or commercialization of the Licensed Antibody Technology prior to the Effective Date infringed or misappropriated the intellectual property rights of such Third Party;</w:t>
      </w:r>
    </w:p>
    <w:p>
      <w:pPr>
        <w:spacing w:after="0" w:line="175"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511"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Paragon’s knowledge, Paragon has not withheld from Oruka any information with respect to the Licensed Antibody Technology that would reasonably be expected to be materially adverse to Oruka’s Development, Manufacture, or Commercialization of any Product in the Territory as contemplated under this Agreement;</w:t>
      </w:r>
    </w:p>
    <w:p>
      <w:pPr>
        <w:spacing w:after="0" w:line="175" w:lineRule="exact"/>
        <w:rPr>
          <w:rFonts w:ascii="Times New Roman" w:cs="Times New Roman" w:eastAsia="Times New Roman" w:hAnsi="Times New Roman"/>
          <w:sz w:val="18"/>
          <w:szCs w:val="18"/>
          <w:color w:val="auto"/>
        </w:rPr>
      </w:pPr>
    </w:p>
    <w:p>
      <w:pPr>
        <w:jc w:val="both"/>
        <w:ind w:left="-20" w:right="20" w:firstLine="1304"/>
        <w:spacing w:after="0" w:line="266" w:lineRule="auto"/>
        <w:tabs>
          <w:tab w:leader="none" w:pos="1552"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Paragon’s knowledge, Paragon has, and any of Paragon’s Affiliates involved in the Research Program have, (i) conducted all research and development under the Research Program in accordance with Research Plan (as defined in the Option Agreement), and (ii) conducted the Research Program in compliance with all Applicable Laws;</w:t>
      </w:r>
    </w:p>
    <w:p>
      <w:pPr>
        <w:spacing w:after="0" w:line="175"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562"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Paragon’s knowledge, Paragon has provided true, correct and complete copies of all Results developed under the Research Program and all other deliverables required under the Research Program have been provided or delivered to Oruka and are true, correct and complete in all material respects;</w:t>
      </w:r>
    </w:p>
    <w:p>
      <w:pPr>
        <w:spacing w:after="0" w:line="175" w:lineRule="exact"/>
        <w:rPr>
          <w:rFonts w:ascii="Times New Roman" w:cs="Times New Roman" w:eastAsia="Times New Roman" w:hAnsi="Times New Roman"/>
          <w:sz w:val="18"/>
          <w:szCs w:val="18"/>
          <w:color w:val="auto"/>
        </w:rPr>
      </w:pPr>
    </w:p>
    <w:p>
      <w:pPr>
        <w:ind w:left="1500" w:hanging="216"/>
        <w:spacing w:after="0"/>
        <w:tabs>
          <w:tab w:leader="none" w:pos="15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Paragon has properly filed, Prosecuted and maintained all Licensed Antibody Patents;</w:t>
      </w:r>
    </w:p>
    <w:p>
      <w:pPr>
        <w:spacing w:after="0" w:line="225" w:lineRule="exact"/>
        <w:rPr>
          <w:rFonts w:ascii="Times New Roman" w:cs="Times New Roman" w:eastAsia="Times New Roman" w:hAnsi="Times New Roman"/>
          <w:sz w:val="18"/>
          <w:szCs w:val="18"/>
          <w:color w:val="auto"/>
        </w:rPr>
      </w:pPr>
    </w:p>
    <w:p>
      <w:pPr>
        <w:ind w:left="-20" w:firstLine="1304"/>
        <w:spacing w:after="0" w:line="282" w:lineRule="auto"/>
        <w:tabs>
          <w:tab w:leader="none" w:pos="152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Paragon has complied with all duties of disclosure and has not engaged in any inequitable conduct with respect to all Licensed Antibody Patents that were filed prior to the Effective Date;</w:t>
      </w:r>
    </w:p>
    <w:p>
      <w:pPr>
        <w:spacing w:after="0" w:line="161" w:lineRule="exact"/>
        <w:rPr>
          <w:rFonts w:ascii="Times New Roman" w:cs="Times New Roman" w:eastAsia="Times New Roman" w:hAnsi="Times New Roman"/>
          <w:sz w:val="18"/>
          <w:szCs w:val="18"/>
          <w:color w:val="auto"/>
        </w:rPr>
      </w:pPr>
    </w:p>
    <w:p>
      <w:pPr>
        <w:ind w:left="-20" w:firstLine="1304"/>
        <w:spacing w:after="0" w:line="282" w:lineRule="auto"/>
        <w:tabs>
          <w:tab w:leader="none" w:pos="1523"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Licensed Antibody Patents listed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that have been issued as of the Effective Date are in full force and effect and are, to Paragon’s knowledge, valid and enforceable;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0" w:right="339" w:bottom="1440" w:gutter="0" w:footer="0" w:header="0"/>
        </w:sectPr>
      </w:pPr>
    </w:p>
    <w:bookmarkStart w:id="266" w:name="page267"/>
    <w:bookmarkEnd w:id="266"/>
    <w:p>
      <w:pPr>
        <w:ind w:firstLine="1304"/>
        <w:spacing w:after="0" w:line="282" w:lineRule="auto"/>
        <w:tabs>
          <w:tab w:leader="none" w:pos="151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the Patents listed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as of the Effective Date, neither Paragon nor any of its Affiliates own or have any rights in, to or under any Patents Covering the composition of matter of, or any method of specifically making or using, any Licensed Antibody;</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04"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judgments against or awards or settlements against Paragon or any of its Affiliates, and there are no claims, actions, or proceedings pending or, to Paragon’s knowledge, threatened, nor to Paragon’s knowledge are there any formal inquiries initiated or written notices received that are reasonably likely to lead to the institution of any such legal proceedings, in each case (i) relating to any Licensed Antibodies, Derived Antibodies or Licensed Antibody Technology or alleging that any Third Party has any right to or under any Products, Licensed Antibodies, Derived Antibodies or Licensed Antibody Technology that would conflict with the rights granted in this Agreement; or (ii) alleging that any Licensed Antibody Patent is unpatentable, invalid, unenforceable or infringed;</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3"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Representative employed or engaged by Paragon or its Affiliate to conduct the activities under the Research Program have assigned or licensed, or are under contractual obligations to assign or license, to Paragon all inventions conceived, reduced to practice or otherwise related to Licensed Antibodies, Derived Antibodies and Licensed Antibody Technology; (ii) to Paragon’s knowledge, no Representative employed by Paragon or its Affiliate that conducts activities under a Research Program has any obligations under agreements or Applicable Law to assign any interest in any such inventions to any Third Party; and (iii) each Representative employed or engaged by Paragon or its Affiliate to conduct the activities under a Research Program have existing obligations under agreements or Applicable Law to maintain as confidential Paragon’s Confidential Information as well as confidential information of other parties (including of Oruka and its Affiliates);</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7"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Paragon, its Representatives, or any other person used by Paragon in the performance of the Research Program or otherwise in connection with this Agreement has been or is (i) debarred, convicted, or is subject to a pending debarment or conviction, pursuant to section 306 of the United States Food Drug and Cosmetic Act, 21 U.S.C. § 335a, (ii) listed by any government or regulatory agencies as ineligible to participate in any government healthcare programs or government procurement or non-procurement programs (as that term is defined in 42 U.S.C. § 1320a-7b(f)), or excluded, debarred, suspended or otherwise made ineligible to participate in any such program, or (iii) convicted of a criminal offense related to the provision of healthcare items or services, or is subject to any such pending action. Paragon agrees to inform Oruka in writing promptly if Paragon or any person who is performing activities on its behalf under the Agreement is subject to the foregoing, or if any action, suit, claim, investigation, or proceeding relating to the foregoing is pending or threatened;</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9"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funding, facilities, or personnel of any Governmental Authority or any public or private educational or research institutions were used to develop or create any Licensed Antibody Technology, and neither Paragon nor any of its Affiliates has entered into a government funding relationship that would result in rights to any Products, Licensed Antibodies, Derived Antibodies or Licensed Antibody Technology residing in the U.S. Government, the National Institutes of Health, or other agency, and the licenses granted hereunder are not subject to overriding obligations to the U.S. Government as set forth in Public Law 96-517 (35 U.S.C. §§ 200-204), or any similar obligations under the laws of any other country in the Territory;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7" w:name="page268"/>
    <w:bookmarkEnd w:id="267"/>
    <w:p>
      <w:pPr>
        <w:jc w:val="both"/>
        <w:ind w:firstLine="1304"/>
        <w:spacing w:after="0" w:line="266" w:lineRule="auto"/>
        <w:tabs>
          <w:tab w:leader="none" w:pos="154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 knowledge of [***] of Paragon, with respect to this Agreement and the Option Agreement, neither Paragon nor any of its directors, officers, employees, distributors, consultants, agents, representatives, sales intermediaries, or other Third Parties acting on behalf of Paragon or any of its Affiliates:</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176"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taken any action in violation of any applicable anti-corruption laws, anti-money laundering laws or laws restricting or regulating global trade (collectively, “</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9"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conducted or initiated any internal investigation with respect to any alleged act or omission arising under or relating to any potential noncompliance with any Anti-Corruption Law, or been the subject of current, pending, or threatened investigation, formal or informal inquiry, enforcement proceedings, or received any notice, request, or citation for alleged violations of such laws;</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7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engaged in any direct or indirect dealings or transactions in or with a person, entity or country found on the Specially Designated Nationals and Blocked Persons List maintained by the U.S. Office of Foreign Assets Control, or engaged in any direct or indirect dealings with Sudan, individuals ordinarily resident in Sudan, or entities incorporated under the laws of Sudan prior to October 12, 2017; or</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66"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offered, paid, given, promised to pay or give, or authorized the payment or gift of, received, or solicited anything of value, directly or indirectly, to any public official, for the purposes of: influencing any act or decision of any public official in his or her official capacity; inducing any public official to do or omit to do any act in violation of his or her lawful duty; securing any improper or undue advantage; or inducing any public official to use his or her influence with a government, Governmental Authority, or commercial enterprise owned or controlled by any government (including state-owned or controlled veterinary, laboratory or medical facilities) in obtaining or retaining any business whatsoever.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color w:val="auto"/>
        </w:rPr>
        <w:t>Covenants of Paragon</w:t>
      </w:r>
      <w:r>
        <w:rPr>
          <w:rFonts w:ascii="Times New Roman" w:cs="Times New Roman" w:eastAsia="Times New Roman" w:hAnsi="Times New Roman"/>
          <w:sz w:val="18"/>
          <w:szCs w:val="18"/>
          <w:color w:val="auto"/>
        </w:rPr>
        <w:t>. Paragon hereby covenants to Oruka during the Term that:</w:t>
      </w:r>
    </w:p>
    <w:p>
      <w:pPr>
        <w:spacing w:after="0" w:line="229" w:lineRule="exact"/>
        <w:rPr>
          <w:sz w:val="20"/>
          <w:szCs w:val="20"/>
          <w:color w:val="auto"/>
        </w:rPr>
      </w:pPr>
    </w:p>
    <w:p>
      <w:pPr>
        <w:ind w:firstLine="1304"/>
        <w:spacing w:after="0" w:line="282" w:lineRule="auto"/>
        <w:tabs>
          <w:tab w:leader="none" w:pos="1582"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Paragon will not grant a Third Party any license or other right in the Licensed Antibody Technology or the Other Licensed Technology that would conflict with the rights and licenses granted to Oruka hereunder with respect to such Licensed Antibody Technology;</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63"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Paragon will, and will direct each Affiliate of Paragon and subcontractor conducting activities under this Agreement to, conduct all such activities in compliance with Applicable Laws, including all applicable Anti-Corruption Laws and U.S. sanctions;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3"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Paragon will comply with the terms of each Paragon Third Party Agreement, will maintain each Paragon Third Party Agreement, will not amend a Paragon Third Party Agreement in a manner that (i) adversely effects Oruka in any material respect, or (ii) increases any financial obligations under a Paragon Third Party Agreement that will result in an increase in Oruka’s Reimbursement Obligation, in each case of (i) and (ii) without Oruka’s prior written consent, and will not take any actions that could reasonably cause any Paragon Third Party Agreement to lapse or terminate;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8" w:name="page269"/>
    <w:bookmarkEnd w:id="268"/>
    <w:p>
      <w:pPr>
        <w:jc w:val="both"/>
        <w:ind w:firstLine="1304"/>
        <w:spacing w:after="0" w:line="266" w:lineRule="auto"/>
        <w:tabs>
          <w:tab w:leader="none" w:pos="1559"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Paragon will, and will direct each applicable Affiliate of Paragon to, execute and deliver such additional documents and instruments and to perform such additional acts as may be necessary or appropriate to enable Oruka to exercise its rights and obligations under Sections 5.2, 5.3 and 5.4.</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b w:val="1"/>
          <w:bCs w:val="1"/>
          <w:color w:val="auto"/>
        </w:rPr>
        <w:t>Compliance with Laws</w:t>
      </w:r>
      <w:r>
        <w:rPr>
          <w:rFonts w:ascii="Times New Roman" w:cs="Times New Roman" w:eastAsia="Times New Roman" w:hAnsi="Times New Roman"/>
          <w:sz w:val="18"/>
          <w:szCs w:val="18"/>
          <w:color w:val="auto"/>
        </w:rPr>
        <w:t>. Each Party shall, and shall ensure that its Affiliates and its and its Affiliates’ Representatives and sublicensees, comply with Applicable Laws in all material respects in the performance of its obligations and the exercise of its rights under this Agreement.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b w:val="1"/>
          <w:bCs w:val="1"/>
          <w:color w:val="auto"/>
        </w:rPr>
        <w:t>DISCLAIMER OF WARRANTIES</w:t>
      </w:r>
      <w:r>
        <w:rPr>
          <w:rFonts w:ascii="Times New Roman" w:cs="Times New Roman" w:eastAsia="Times New Roman" w:hAnsi="Times New Roman"/>
          <w:sz w:val="18"/>
          <w:szCs w:val="18"/>
          <w:color w:val="auto"/>
        </w:rPr>
        <w:t>. EXCEPT AS EXPRESSLY SET FORTH HEREIN, EACH PARTY EXPRESSLY DISCLAIMS ANY AND ALL WARRANTIES OF ANY KIND, EXPRESS OR IMPLIED, INCLUDING THE WARRANTIES OF DESIGN, MERCHANTABILITY, DURABILITY, MERCHANTABLE QUALITY, FITNESS FOR A PARTICULAR PURPOSE, NON-INFRINGEMENT OF THE INTELLECTUAL PROPERTY RIGHTS OF THIRD PARTIES, OR ARISING FROM A COURSE OF DEALING, USAGE OR TRADE PRACTICES.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TERMINATION.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The term of this Agreement shall commence on the Effective Date and shall expire on a country-by-country and Oruka Product-by-Oruka Product basis on the expiration of the Royalty Term for such Oruka Product in such country, in each case, unless earlier terminated by a Party as set forth below in this Article VIII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Upon expiration (but not termination) of the Agreement, the licenses granted in Section 2.1 shall survive and become royalty-free, fully paid-up, perpetual and irrevocable with respect to the applicable Oruka Product in the applicable country.</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color w:val="auto"/>
        </w:rPr>
        <w:t>Termination by Oruka</w:t>
      </w:r>
      <w:r>
        <w:rPr>
          <w:rFonts w:ascii="Times New Roman" w:cs="Times New Roman" w:eastAsia="Times New Roman" w:hAnsi="Times New Roman"/>
          <w:sz w:val="18"/>
          <w:szCs w:val="18"/>
          <w:color w:val="auto"/>
        </w:rPr>
        <w:t>. Oruka shall have the right to terminate this Agreement in its entirety or on a country-by-country or Oruka Product-by-Oruka Product basis for any or no reason upon sixty (60) days’ prior written notice to Paragon.</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color w:val="auto"/>
        </w:rPr>
        <w:t>Material Breach</w:t>
      </w:r>
      <w:r>
        <w:rPr>
          <w:rFonts w:ascii="Times New Roman" w:cs="Times New Roman" w:eastAsia="Times New Roman" w:hAnsi="Times New Roman"/>
          <w:sz w:val="18"/>
          <w:szCs w:val="18"/>
          <w:color w:val="auto"/>
        </w:rPr>
        <w:t xml:space="preserve">. Either Party may terminate this Agreement in its entirety for the material breach of this Agreement by the other Party, if such material breach remains uncured ninety (90) days (or thirty (30) days with respect to any failure to make any payments owing to a Party hereunder) following notice from the non-breaching Party to the breaching Party specifying such breach,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in the event of a dispute regarding the existence or cure of a material breach, no termination shall become effective until such dispute is finally resolved pursuant to Section 10.7 in favor of the non-breaching Party and the breaching Party fails to cure such material breach within ninety (90) days thereafter.</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color w:val="auto"/>
        </w:rPr>
        <w:t>Insolvency</w:t>
      </w:r>
      <w:r>
        <w:rPr>
          <w:rFonts w:ascii="Times New Roman" w:cs="Times New Roman" w:eastAsia="Times New Roman" w:hAnsi="Times New Roman"/>
          <w:sz w:val="18"/>
          <w:szCs w:val="18"/>
          <w:color w:val="auto"/>
        </w:rPr>
        <w:t>. Each Party will have the right to terminate this Agreement in the event of a Bankruptcy Event with respect to the other Party. “</w:t>
      </w:r>
      <w:r>
        <w:rPr>
          <w:rFonts w:ascii="Times New Roman" w:cs="Times New Roman" w:eastAsia="Times New Roman" w:hAnsi="Times New Roman"/>
          <w:sz w:val="18"/>
          <w:szCs w:val="18"/>
          <w:b w:val="1"/>
          <w:bCs w:val="1"/>
          <w:color w:val="auto"/>
        </w:rPr>
        <w:t>Bankruptcy Event</w:t>
      </w:r>
      <w:r>
        <w:rPr>
          <w:rFonts w:ascii="Times New Roman" w:cs="Times New Roman" w:eastAsia="Times New Roman" w:hAnsi="Times New Roman"/>
          <w:sz w:val="18"/>
          <w:szCs w:val="18"/>
          <w:color w:val="auto"/>
        </w:rPr>
        <w:t>” means the occurrence of any of the following: (a) the institution of any bankruptcy, receivership, insolvency, reorganization or other similar proceedings by or against a Party under any bankruptcy, insolvency, or other similar law now or hereinafter in effect, including any section or chapter of the United States Bankruptcy Code, as amended or under any similar laws of the United States or any state thereof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where in the case of involuntary proceedings such proceedings have not been dismissed or discharged within [***] days after they are instituted, (b) the insolvency or making of an assignment for the benefit of creditors, (c) the institution of any reorganization, arrangement or other readjustment of debt plan of a Party not involving the Bankruptcy Code, or (d) appointment of a receiver for all or substantially all of a Party’s assets.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9" w:name="page270"/>
    <w:bookmarkEnd w:id="269"/>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b w:val="1"/>
          <w:bCs w:val="1"/>
          <w:color w:val="auto"/>
        </w:rPr>
        <w:t>Effect of Termination of this Agreement</w:t>
      </w:r>
      <w:r>
        <w:rPr>
          <w:rFonts w:ascii="Times New Roman" w:cs="Times New Roman" w:eastAsia="Times New Roman" w:hAnsi="Times New Roman"/>
          <w:sz w:val="18"/>
          <w:szCs w:val="18"/>
          <w:color w:val="auto"/>
        </w:rPr>
        <w:t>. If this Agreement terminates for any reason (excluding expiration under Section 8.1), whether with respect to a particular Oruka Product, particular country or in its entirety, then the following shall apply:</w:t>
      </w:r>
    </w:p>
    <w:p>
      <w:pPr>
        <w:spacing w:after="0" w:line="159" w:lineRule="exact"/>
        <w:rPr>
          <w:sz w:val="20"/>
          <w:szCs w:val="20"/>
          <w:color w:val="auto"/>
        </w:rPr>
      </w:pPr>
    </w:p>
    <w:p>
      <w:pPr>
        <w:jc w:val="both"/>
        <w:ind w:firstLine="1304"/>
        <w:spacing w:after="0" w:line="261" w:lineRule="auto"/>
        <w:tabs>
          <w:tab w:leader="none" w:pos="1533"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licenses and other rights granted by Paragon under this Agreement with respect to the terminated Oruka Product(s) and terminated country(ies) shall terminate, except as required for Oruka, its Affiliates and/or its Sublicensees to perform any of its obligations that survive termination, including to continue to complete or wind down (at [***] expense in the event of a termination by Oruka under Section 8.3) any ongoing clinical trials for any Oruka Product, as may be required by Applicable Law or ethical principles.</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 days after the effective date of such termination, each Party shall return or cause to be returned to the other Party, or destroy, all Confidential Information received from the other Party and all copies thereof related to the terminated Oruka Product(s) in the terminated country(ies);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each Party may retain any Confidential Information reasonably necessary for such Party’s ongoing obligations and rights under this Agreement which do not terminate, and each Party may keep one (1) copy of Confidential Information received from the other Party in its confidential files for record purposes and such copy shall remain subject to Article VI of this Agreement.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Paragon’s written request to Oruka (which must be provided to Oruka within [***] days after the effective date of termination), Paragon and Oruka shall [***] discuss [***], for a period of up to [***] days following such written request, terms and conditions under which Oruka may be willing to grant to Paragon [***], [***] license under the Oruka Intellectual Property to Develop, Manufacture, Commercialize or otherwise exploit the terminated Oruka Products in the Field in the terminated countries that were the subject of any Development, Manufacturing or Commercialization activities performed by Oruka or its Affiliates under this Agreement prior to such termination, (“</w:t>
      </w:r>
      <w:r>
        <w:rPr>
          <w:rFonts w:ascii="Times New Roman" w:cs="Times New Roman" w:eastAsia="Times New Roman" w:hAnsi="Times New Roman"/>
          <w:sz w:val="18"/>
          <w:szCs w:val="18"/>
          <w:b w:val="1"/>
          <w:bCs w:val="1"/>
          <w:color w:val="auto"/>
        </w:rPr>
        <w:t>Reversion Products</w:t>
      </w:r>
      <w:r>
        <w:rPr>
          <w:rFonts w:ascii="Times New Roman" w:cs="Times New Roman" w:eastAsia="Times New Roman" w:hAnsi="Times New Roman"/>
          <w:sz w:val="18"/>
          <w:szCs w:val="18"/>
          <w:color w:val="auto"/>
        </w:rPr>
        <w:t>”), as well as the potential transfer of materials, ongoing clinical trials, and applicable regulatory filings and relevant data generated by Oruka with respect to the Reversion Products and necessary for the continued Development, Manufacture, Commercialization and exploitation of such Reversion Products, such agreement to include commercially reasonable financial and other terms, which terms shall take into consideration Oruka’s contributions made in the Development, Manufacture, Commercialization and other exploitation of the Reversion Products, provided, that Oruka is under no obligation to enter into such license.</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b w:val="1"/>
          <w:bCs w:val="1"/>
          <w:color w:val="auto"/>
        </w:rPr>
        <w:t>Survival of Sublicenses</w:t>
      </w:r>
      <w:r>
        <w:rPr>
          <w:rFonts w:ascii="Times New Roman" w:cs="Times New Roman" w:eastAsia="Times New Roman" w:hAnsi="Times New Roman"/>
          <w:sz w:val="18"/>
          <w:szCs w:val="18"/>
          <w:color w:val="auto"/>
        </w:rPr>
        <w:t>. Upon termination of this Agreement, at the written request of any Sublicensee who is not then in breach of its sublicense agreement, such sublicense agreement will survive such termination of this Agreement, and Paragon will negotiate [***] the terms and conditions of a direct license with such Sublicensee that is consistent with the terms of this Agreement (as adjusted for the scope of license, products, field of use and other provisions of the original sublicense). Each sublicense that may be amended to become a direct license between Paragon and a Sublicensee shall ensure that any and all economic rights, payments or benefits due to Oruka will be preserved and payable to Oruka and will designate Oruka a third-party beneficiary to enforce such rights. In each such instance, Oruka will have the right to review and approve the terms of such agreement between Paragon and such Sublicensee as related to Oruka’s economic rights, which approval shall not be unreasonably withheld, conditioned or delayed.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0" w:name="page271"/>
    <w:bookmarkEnd w:id="27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b w:val="1"/>
          <w:bCs w:val="1"/>
          <w:color w:val="auto"/>
        </w:rPr>
        <w:t>Accrued Rights; Survival</w:t>
      </w:r>
      <w:r>
        <w:rPr>
          <w:rFonts w:ascii="Times New Roman" w:cs="Times New Roman" w:eastAsia="Times New Roman" w:hAnsi="Times New Roman"/>
          <w:sz w:val="18"/>
          <w:szCs w:val="18"/>
          <w:color w:val="auto"/>
        </w:rPr>
        <w:t>. The expiration or termination of this Agreement for any reason shall not release either Party from any liability or obligation that, at the time of such expiration or termination, has already accrued to the other Party or that is attributable to a period prior to such expiration or termination, nor will expiration or any termination of this Agreement preclude either Party from pursuing all rights and remedies it may have under this Agreement, or at law or in equity, with respect to breach of this Agreement. In the event of expiration or any termination of this Agreement, the following provisions of this Agreement shall survive such expiration or termination in accordance with their respective terms and conditions: Article I (Definitions); Section 2.1 (License Grant from Paragon) (upon expiration (but not termination) of this Agreement as set forth in Section 8.1 (Term)); Section 2.3 (Sublicenses) (with respect to any payments or other performance obligations prior to conversion (if any) to a direct license pursuant to Section 8.6); Section 2.4 (No Implied Licenses; Reservation of Rights); Section 4.1 (Milestone Payments) (with respect to any outstanding payment obligations incurred prior to the date of termination or expiration); Section 4.2 (Royalties) (with respect to any outstanding payments accrued prior to the effective date of termination); Section 4.4 (Payment Reports) (with respect to the last Calendar Quarter of the Term to the extent not already reported and any outstanding payment obligation with respect to any royalty payments accrued prior to the date of termination or expiration); Section 4.5 (Payment Method) to 4.9 (Blocked Currency) (for the duration of any outstanding payment obligations under this Agreement); Section 4.10 (Records; Inspection) (for the duration set forth therein); Section 5.1 (Ownership); Section 7.5 (Disclaimer of Warranties); Article VI (Protection of Confidential Information) (for the duration set forth therein); Section 8.5 (Effect of Termination of this Agreement); Section 8.6 (Survival of Sublicenses); Section 8.7 (Accrued Rights; Survival); Article IX (Indemnification); and Article X (Miscellaneous).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color w:val="auto"/>
        </w:rPr>
        <w:t>By Oruka</w:t>
      </w:r>
      <w:r>
        <w:rPr>
          <w:rFonts w:ascii="Times New Roman" w:cs="Times New Roman" w:eastAsia="Times New Roman" w:hAnsi="Times New Roman"/>
          <w:sz w:val="18"/>
          <w:szCs w:val="18"/>
          <w:color w:val="auto"/>
        </w:rPr>
        <w:t>. Oruka hereby agrees to defend, indemnify and hold harmless Paragon, its Affiliates and its or their Representatives (each, an “</w:t>
      </w:r>
      <w:r>
        <w:rPr>
          <w:rFonts w:ascii="Times New Roman" w:cs="Times New Roman" w:eastAsia="Times New Roman" w:hAnsi="Times New Roman"/>
          <w:sz w:val="18"/>
          <w:szCs w:val="18"/>
          <w:b w:val="1"/>
          <w:bCs w:val="1"/>
          <w:color w:val="auto"/>
        </w:rPr>
        <w:t>Paragon Indemnitee</w:t>
      </w:r>
      <w:r>
        <w:rPr>
          <w:rFonts w:ascii="Times New Roman" w:cs="Times New Roman" w:eastAsia="Times New Roman" w:hAnsi="Times New Roman"/>
          <w:sz w:val="18"/>
          <w:szCs w:val="18"/>
          <w:color w:val="auto"/>
        </w:rPr>
        <w:t>”) from and against any and all losses, damages, liabilities, expenses and costs, including reasonable legal expense and attorneys’ fees (collectively,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to which any Paragon Indemnitee may become subject (a) as a result of any claim, demand, action, or other proceeding by any Third Party (“</w:t>
      </w:r>
      <w:r>
        <w:rPr>
          <w:rFonts w:ascii="Times New Roman" w:cs="Times New Roman" w:eastAsia="Times New Roman" w:hAnsi="Times New Roman"/>
          <w:sz w:val="18"/>
          <w:szCs w:val="18"/>
          <w:b w:val="1"/>
          <w:bCs w:val="1"/>
          <w:color w:val="auto"/>
        </w:rPr>
        <w:t>Third Party Claim</w:t>
      </w:r>
      <w:r>
        <w:rPr>
          <w:rFonts w:ascii="Times New Roman" w:cs="Times New Roman" w:eastAsia="Times New Roman" w:hAnsi="Times New Roman"/>
          <w:sz w:val="18"/>
          <w:szCs w:val="18"/>
          <w:color w:val="auto"/>
        </w:rPr>
        <w:t>”) to the extent such Losses result from: (i) the gross negligence, recklessness or willful misconduct of any Oruka Indemnitee in the performance of this Agreement; (ii) Oruka’s breach of any of its representations, warranties or covenants under this Agreement; or (iii) Oruka’s Development, Manufacture and Commercialization of the Oruka Products; and (b) to the extent such Losses result from the termination, suspension, revocation or other loss of any Licensed Antibody Patents as a result of any negligence or breach of this Agreement by Oruka, its Affiliates or Sublicensees, in each case ((a) to (b)), except in each case to the extent that any Losses are attributable to the breach of this Agreement by, or the negligence, recklessness or willful misconduct of, or otherwise indemnifiable by, any Paragon Indemnitee.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1" w:name="page272"/>
    <w:bookmarkEnd w:id="27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color w:val="auto"/>
        </w:rPr>
        <w:t>By Paragon</w:t>
      </w:r>
      <w:r>
        <w:rPr>
          <w:rFonts w:ascii="Times New Roman" w:cs="Times New Roman" w:eastAsia="Times New Roman" w:hAnsi="Times New Roman"/>
          <w:sz w:val="18"/>
          <w:szCs w:val="18"/>
          <w:color w:val="auto"/>
        </w:rPr>
        <w:t>. Paragon hereby agrees to defend, indemnify, and hold harmless Oruka, its Affiliates, and its or their Representatives (each, a “</w:t>
      </w:r>
      <w:r>
        <w:rPr>
          <w:rFonts w:ascii="Times New Roman" w:cs="Times New Roman" w:eastAsia="Times New Roman" w:hAnsi="Times New Roman"/>
          <w:sz w:val="18"/>
          <w:szCs w:val="18"/>
          <w:b w:val="1"/>
          <w:bCs w:val="1"/>
          <w:color w:val="auto"/>
        </w:rPr>
        <w:t>Oruka Indemnitee</w:t>
      </w:r>
      <w:r>
        <w:rPr>
          <w:rFonts w:ascii="Times New Roman" w:cs="Times New Roman" w:eastAsia="Times New Roman" w:hAnsi="Times New Roman"/>
          <w:sz w:val="18"/>
          <w:szCs w:val="18"/>
          <w:color w:val="auto"/>
        </w:rPr>
        <w:t>”) from and against any and all Losses to which any Oruka Indemnitee may become subject (a) as a result of any Third Party Claim to the extent such Losses result from: (i) the gross negligence, recklessness or willful misconduct of any Paragon Indemnitee in the performance of this Agreement; or (ii) Paragon’s breach of any of its representations, warranties or covenants under this Agreement; and (b) to the extent such Losses result from: (i) the termination, suspension, revocation or other loss of any Licensed Antibody Patents as a result of any negligence or breach of this Agreement by Paragon or its Affiliates; or (ii) any claim or demand from any employee or contractor of Paragon or its Affiliates who is an inventor of any Licensed Antibody Patents with respect to ownership thereof, in each case ((a) to (b)), except to the extent that any Losses are attributable to the breach of this Agreement by, or the negligence, recklessness or willful misconduct of, or otherwise indemnifiable by, any Oruka Indemnitee.</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b w:val="1"/>
          <w:bCs w:val="1"/>
          <w:color w:val="auto"/>
        </w:rPr>
        <w:t>Indemnification Procedures</w:t>
      </w:r>
      <w:r>
        <w:rPr>
          <w:rFonts w:ascii="Times New Roman" w:cs="Times New Roman" w:eastAsia="Times New Roman" w:hAnsi="Times New Roman"/>
          <w:sz w:val="18"/>
          <w:szCs w:val="18"/>
          <w:color w:val="auto"/>
        </w:rPr>
        <w:t>. The Party claiming indemnity under this Article IX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will give written notice to the Party from whom indemnity is being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promptly after learning of the Third Party Claim for which indemnity is being sought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xml:space="preserve">”). The Indemnifying Party’s obligation to defend, indemnify and hold harmless pursuant to Section 9.1 or Section 9.2, as applicable, will be reduced to the extent the Indemnified Party’s delay in providing notification pursuant to the previous sentence results in material prejudice to the Indemnifying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by an Indemnified Party to give such notice or otherwise meet its obligations under this Section 9.3 will not relieve the Indemnifying Party of its indemnification obligation under this Agreement. At its option, the Indemnifying Party may assume the defense and have exclusive control, at its own expense, of any Claim for which indemnity is being sought by giving written notice to the Indemnified Party within [***] days after receipt of the notice of the Claim. The Indemnified Party will provide the Indemnifying Party with reasonable assistance, at the Indemnifying Party’s expense, in connection with the defense. The Indemnified Party may participate in and monitor such defense with counsel of its own choosing at its sole expense;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the Indemnifying Party will have the right to assume and conduct the defense of the Claim with counsel of its choice. The Indemnifying Party will not settle any Claim without the prior written consent of the Indemnified Party, not to be unreasonably withheld, unless the settlement involves only the payment of money. The Indemnified Party will not settle any such Claim without the prior written consent of the Indemnifying Party. If the Indemnifying Party does not assume and conduct the defense of the Claim as provided above, (i) the Indemnified Party may defend against, and consent to the entry of any judgment or enter into any settlement with respect to the Claim in any manner the Indemnified Party may deem reasonably appropriate,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Indemnified Party reasonably consults with the Indemnifying Party prior to entering into any settlement, and (ii) the Indemnified Party reserves any right it may have under this Article IX to obtain indemnification from the Indemnifying Party.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2" w:name="page273"/>
    <w:bookmarkEnd w:id="272"/>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b w:val="1"/>
          <w:bCs w:val="1"/>
          <w:color w:val="auto"/>
        </w:rPr>
        <w:t>Limitation of Liability</w:t>
      </w:r>
      <w:r>
        <w:rPr>
          <w:rFonts w:ascii="Times New Roman" w:cs="Times New Roman" w:eastAsia="Times New Roman" w:hAnsi="Times New Roman"/>
          <w:sz w:val="18"/>
          <w:szCs w:val="18"/>
          <w:color w:val="auto"/>
        </w:rPr>
        <w:t>. EXCEPT FOR LIABILITY FOR BREACH OF ARTICLE VI, FOR BREACH OF SECTIONS 2.1 OR 2.2, FOR BREACH OF ANY INTELLECTUAL PROPERTY RIGHTS HELD BY A PARTY, FOR THE FRAUD OR WILLFUL MISCONDUCT OF A PARTY OR FOR INDEMNIFICATION CLAIMS UNDER THIS ARTICLE IX, IN NO EVENT SHALL EITHER PARTY BE ENTITLED TO RECOVER FROM THE OTHER PARTY ANY SPECIAL, INCIDENTAL, CONSEQUENTIAL OR PUNITIVE DAMAGES IN CONNECTION WITH THIS AGREEMENT, EVEN IF THE OTHER PARTY HAD NOTICE OF THE POSSIBILITY OF SUCH DAMAGES.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During the Term and for a period of [***] years thereafter, each Party shall maintain at its expense insurance coverage consistent with normal business practices and adequate to cover the risks associated with its performance of any activities hereunder. Each Party hereby expressly acknowledges and agrees that the maintenance of such insurance coverage shall not relieve it of its obligations under this Agreement.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color w:val="auto"/>
        </w:rPr>
        <w:t>Independent Contractor Relationship</w:t>
      </w:r>
      <w:r>
        <w:rPr>
          <w:rFonts w:ascii="Times New Roman" w:cs="Times New Roman" w:eastAsia="Times New Roman" w:hAnsi="Times New Roman"/>
          <w:sz w:val="18"/>
          <w:szCs w:val="18"/>
          <w:color w:val="auto"/>
        </w:rPr>
        <w:t>. Paragon’s relationship with Oruka is that of an independent contractor, and nothing in this Agreement should be construed to create a partnership, joint venture, or employer-employee relationship. Neither Party is an agent of the other Party or authorized to make any representation, contract, or commitment on behalf of the other Party.</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Neither Party will be charged with any liability for delay or failure in performance of an obligation under this Agreement (other than any obligation to pay monies when due) to the extent such delay or failure is due to a cause beyond the reasonable control of the affected Party, such as war, riots, labor disturbances, epidemic, pandemic, fire, explosion, and compliance in good faith with any Applicable Law (in each case, a “</w:t>
      </w:r>
      <w:r>
        <w:rPr>
          <w:rFonts w:ascii="Times New Roman" w:cs="Times New Roman" w:eastAsia="Times New Roman" w:hAnsi="Times New Roman"/>
          <w:sz w:val="18"/>
          <w:szCs w:val="18"/>
          <w:b w:val="1"/>
          <w:bCs w:val="1"/>
          <w:color w:val="auto"/>
        </w:rPr>
        <w:t>Force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Majeure</w:t>
      </w:r>
      <w:r>
        <w:rPr>
          <w:rFonts w:ascii="Times New Roman" w:cs="Times New Roman" w:eastAsia="Times New Roman" w:hAnsi="Times New Roman"/>
          <w:sz w:val="18"/>
          <w:szCs w:val="18"/>
          <w:color w:val="auto"/>
        </w:rPr>
        <w:t>”). In addition, a Force Majeure event may include reasonable measures affirmatively taken by a Party or its Affiliates to respond to the COVID-19 pandemic or any other pandemic (or other Force Majeure event), such as requiring employees to stay home, closures of facilities, delays of clinical trials, or cessation of activities in response to the pandemic. The Party affected by a Force Majeure will give prompt written notice to the other Party of the nature of the cause of any material delay or failure to perform, its anticipated duration and any action being taken to avoid or minimize the effect. The Party affected will use its diligent efforts to avoid or remove such causes of delay or failure to perform and to mitigate the effect of such occurrence, and will continue performance in accordance with the terms of this Agreement whenever such causes are removed. The Party affected will give prompt written notice to the other Party of such resumed performance.</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b w:val="1"/>
          <w:bCs w:val="1"/>
          <w:color w:val="auto"/>
        </w:rPr>
        <w:t>Entire Agreement; Amendment</w:t>
      </w:r>
      <w:r>
        <w:rPr>
          <w:rFonts w:ascii="Times New Roman" w:cs="Times New Roman" w:eastAsia="Times New Roman" w:hAnsi="Times New Roman"/>
          <w:sz w:val="18"/>
          <w:szCs w:val="18"/>
          <w:color w:val="auto"/>
        </w:rPr>
        <w:t>. This Agreement and the Option Agreement, together with all Exhibits attached hereto, constitutes the final, complete, and exclusive agreement of the Parties with respect to the subject matter hereof and supersedes all prior and contemporaneous understandings and agreements, relating to its subject matter. This Agreement (including its Exhibits) may not be changed, modified, amended, or supplemented except by a written instrument signed by both Parties.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3" w:name="page274"/>
    <w:bookmarkEnd w:id="273"/>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b w:val="1"/>
          <w:bCs w:val="1"/>
          <w:color w:val="auto"/>
        </w:rPr>
        <w:t>Non-Waiver</w:t>
      </w:r>
      <w:r>
        <w:rPr>
          <w:rFonts w:ascii="Times New Roman" w:cs="Times New Roman" w:eastAsia="Times New Roman" w:hAnsi="Times New Roman"/>
          <w:sz w:val="18"/>
          <w:szCs w:val="18"/>
          <w:color w:val="auto"/>
        </w:rPr>
        <w:t>. The failure of a Party to insist upon strict performance of any provision of this Agreement or to exercise any right arising out of this Agreement shall neither impair that provision or right nor constitute a waiver of that provision or right, in whole or in part, in that instance or in any other instance. Any waiver by a Party of a particular provision or right shall be in writing, shall be as to a particular matter and, if applicable, for a particular period of time and shall be signed by such Party.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Should one or more of the provisions of this Agreement become void or unenforceable as a matter of Applicable Law, then this Agreement shall be construed as if such provision were not contained herein and the remainder of this Agreement shall be in full force and effect, and the Parties will use their best efforts to substitute for the invalid or unenforceable provision a valid and enforceable provision which conforms as nearly as possible with the original intent of the Parties.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xml:space="preserve">. Neither this Agreement nor any rights or obligations hereunder may be assigned by either Party without the prior written consent of the other Party (which consent shall not be unreasonably withheld);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Paragon may assign to an Affiliate or a Third Party financing source its rights to receive some or all of the payments payable hereunder together with the right to receive Confidential Information of Oruka,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Paragon shall not be permitted to share Oruka Confidential Information unless and except to the extent necessary to obtain Affiliate or Third-Party financing, </w:t>
      </w:r>
      <w:r>
        <w:rPr>
          <w:rFonts w:ascii="Times New Roman" w:cs="Times New Roman" w:eastAsia="Times New Roman" w:hAnsi="Times New Roman"/>
          <w:sz w:val="18"/>
          <w:szCs w:val="18"/>
          <w:i w:val="1"/>
          <w:iCs w:val="1"/>
          <w:color w:val="auto"/>
        </w:rPr>
        <w:t>provided, further, that</w:t>
      </w:r>
      <w:r>
        <w:rPr>
          <w:rFonts w:ascii="Times New Roman" w:cs="Times New Roman" w:eastAsia="Times New Roman" w:hAnsi="Times New Roman"/>
          <w:sz w:val="18"/>
          <w:szCs w:val="18"/>
          <w:color w:val="auto"/>
        </w:rPr>
        <w:t xml:space="preserve"> any such Affiliate or Third Party agrees to be bound by obligations of confidentiality and non-use at least as restrictive as those set forth in Article VI; and (b) either Party may assign this Agreement and its rights and obligations hereunder without the other Party’s consent to (i) its Affiliates or (ii) its successor to all or substantially all of the business of such Party to which this Agreement relates, whether by merger, sale of stock, sale of assets or otherwise. The assigning Party shall provide the other Party with prompt written notice of any such assignment set forth in clauses (a) and (b) above. Except for an assignment pursuant to clause (a) above, the rights and obligations of the Parties under this Agreement shall be binding upon and inure to the benefit of the successors and permitted assigns of the Parties, and the name of a Party appearing herein will be deemed to include the name of such Party’s successors and permitted assigns to the extent necessary to carry out the intent of this section. Any assignment not in accordance with this Agreement shall be void.</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b w:val="1"/>
          <w:bCs w:val="1"/>
          <w:color w:val="auto"/>
        </w:rPr>
        <w:t>Dispute Resolution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304"/>
        <w:spacing w:after="0" w:line="258" w:lineRule="auto"/>
        <w:tabs>
          <w:tab w:leader="none" w:pos="155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recognize that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dispute as to certain matters may arise from time to time during the Term relating to either Party’s rights or obligations hereunder or otherwise relating to the validity, enforceability or performance of this Agreement, including disputes relating to alleged breach or termination of this Agreement but excluding any disputes relating to Article VI or disputes relating to the determination of the validity, scope, infringement, enforceability, inventorship or ownership of the Parties’ respective Intellectual Property Rights (hereinafter,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In the event of the occurrence of any Dispute, the Parties will follow the following procedures in an attempt to resolve the dispute or disagreement: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4" w:name="page275"/>
    <w:bookmarkEnd w:id="274"/>
    <w:p>
      <w:pPr>
        <w:jc w:val="both"/>
        <w:ind w:firstLine="1952"/>
        <w:spacing w:after="0" w:line="268" w:lineRule="auto"/>
        <w:tabs>
          <w:tab w:leader="none" w:pos="2172"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claiming that such a Dispute exists will give notice in writing (a “</w:t>
      </w:r>
      <w:r>
        <w:rPr>
          <w:rFonts w:ascii="Times New Roman" w:cs="Times New Roman" w:eastAsia="Times New Roman" w:hAnsi="Times New Roman"/>
          <w:sz w:val="18"/>
          <w:szCs w:val="18"/>
          <w:b w:val="1"/>
          <w:bCs w:val="1"/>
          <w:color w:val="auto"/>
        </w:rPr>
        <w:t>Notice of Dispute</w:t>
      </w:r>
      <w:r>
        <w:rPr>
          <w:rFonts w:ascii="Times New Roman" w:cs="Times New Roman" w:eastAsia="Times New Roman" w:hAnsi="Times New Roman"/>
          <w:sz w:val="18"/>
          <w:szCs w:val="18"/>
          <w:color w:val="auto"/>
        </w:rPr>
        <w:t>”) to the other Party of the nature of the Dispute. The Dispute will be referred to the then Chief Executive Officer of Paragon and the then Chief Executive Officer of Oruka who will meet no later than [***] days following the initial receipt of the Notice of Dispute and use reasonable endeavors to resolve the Dispute.</w:t>
      </w:r>
    </w:p>
    <w:p>
      <w:pPr>
        <w:spacing w:after="0" w:line="174"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18"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 days of initial receipt of the Notice of Dispute, the Dispute has not been resolved, or if, for any reason, the meeting described in Section 10.7(a)(i) hereof has not been held within [***] days of initial receipt of the Notice of Dispute, then the Parties agree that such Dispute will be finally resolved through binding arbitration to be administered by JAMS pursuant to its Comprehensive Arbitration Rules and Procedures and in accordance with the Expedited Procedures in those Rules (the “</w:t>
      </w:r>
      <w:r>
        <w:rPr>
          <w:rFonts w:ascii="Times New Roman" w:cs="Times New Roman" w:eastAsia="Times New Roman" w:hAnsi="Times New Roman"/>
          <w:sz w:val="18"/>
          <w:szCs w:val="18"/>
          <w:b w:val="1"/>
          <w:bCs w:val="1"/>
          <w:color w:val="auto"/>
        </w:rPr>
        <w:t>JAMS Rules</w:t>
      </w:r>
      <w:r>
        <w:rPr>
          <w:rFonts w:ascii="Times New Roman" w:cs="Times New Roman" w:eastAsia="Times New Roman" w:hAnsi="Times New Roman"/>
          <w:sz w:val="18"/>
          <w:szCs w:val="18"/>
          <w:color w:val="auto"/>
        </w:rPr>
        <w:t>”), as specifically modified by the provisions of this Section 10.7(a)(ii) and Section 10.7(a)(iii).</w:t>
      </w:r>
    </w:p>
    <w:p>
      <w:pPr>
        <w:spacing w:after="0" w:line="183"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56"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arbitration will be conducted by a panel of three arbitrators. Within [***] days after the initiation of the arbitration, each Party will nominate one person to act as arbitrator, and the two arbitrators so named will then jointly appoint the third arbitrator within [***] days of their appointment, who will serve as chairman of the panel. All three arbitrators must be independent Third Parties having at least [***] years of dispute resolution experience (which may include judicial experience) or legal or business experience in the biotech or pharmaceutical industry. If either Party fails to nominate its arbitrator, or if the arbitrators selected by the Parties cannot agree on a person to be named as chairman within such [***]-day period, JAMS will make the necessary appointments for such arbitrator(s) or the chairman. Once appointed by a Party, such Party will have no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communication with its appointed arbitrator.</w:t>
      </w:r>
    </w:p>
    <w:p>
      <w:pPr>
        <w:spacing w:after="0" w:line="188" w:lineRule="exact"/>
        <w:rPr>
          <w:rFonts w:ascii="Times New Roman" w:cs="Times New Roman" w:eastAsia="Times New Roman" w:hAnsi="Times New Roman"/>
          <w:sz w:val="18"/>
          <w:szCs w:val="18"/>
          <w:color w:val="auto"/>
        </w:rPr>
      </w:pPr>
    </w:p>
    <w:p>
      <w:pPr>
        <w:ind w:firstLine="1952"/>
        <w:spacing w:after="0" w:line="282" w:lineRule="auto"/>
        <w:tabs>
          <w:tab w:leader="none" w:pos="2266"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10.7(a)(iii), if the Dispute involves an amount in question of less than $[***], then the arbitration will be conducted by one arbitrator, selected in accordance with the JAMS Rules.</w:t>
      </w:r>
    </w:p>
    <w:p>
      <w:pPr>
        <w:spacing w:after="0" w:line="161" w:lineRule="exact"/>
        <w:rPr>
          <w:rFonts w:ascii="Times New Roman" w:cs="Times New Roman" w:eastAsia="Times New Roman" w:hAnsi="Times New Roman"/>
          <w:sz w:val="18"/>
          <w:szCs w:val="18"/>
          <w:color w:val="auto"/>
        </w:rPr>
      </w:pPr>
    </w:p>
    <w:p>
      <w:pPr>
        <w:jc w:val="both"/>
        <w:ind w:firstLine="1952"/>
        <w:spacing w:after="0" w:line="256" w:lineRule="auto"/>
        <w:tabs>
          <w:tab w:leader="none" w:pos="2227"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place of arbitration will be in Boston, Massachusetts or such other venue as the Parties may mutually agree. The arbitration proceedings and all communications with respect thereto will be in English. Any written evidence originally in another language will be submitted in English translation accompanied by the original or a true copy thereof. The arbitrator(s) shall have the power to decide all matters in Dispute, including any questions of whether or not such matters are subject to arbitration hereunder. The arbitration will be governed by the Federal Arbitration Act, 9 U.S.C.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judgment upon the award rendered by the arbitrators may be entered in any court having competent jurisdiction thereof. The existence, content and results of any arbitration proceedings pursuant to this Section 10.7 will be deemed the Confidential Information of both Parties.</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either Party may immediately initiate litigation in any court of competent jurisdiction seeking any remedy at law or in equity, including the issuance of a preliminary, temporary or permanent injunction, to preserve or enforce its rights under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3"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any disputes relating to Article VI or disputes relating to the determination of the validity, scope, infringement, enforceability, inventorship or ownership of the Parties’ respective Intellectual Property Rights shall be subject to the exclusive jurisdiction of the state and federal courts in Boston, Massachusetts and each Party hereby submits to such jurisdiction.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5" w:name="page276"/>
    <w:bookmarkEnd w:id="275"/>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Commonwealth of Massachusetts without reference to conflicts of laws principles.</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Any notice to be given under this Agreement must be in writing and delivered either in person, by internationally recognized express courier, or by email, to the Party to be notified at its address(es) given below, or at any address such Party has previously designated by prior written notice to the other. Notice shall be deemed sufficiently given for all purposes upon the earliest of: (a) the date of actual receipt; (b) if delivered by express courier, the next Business Day the express courier regularly makes deliveries; or (c) if delivered by email, upon the date upon which the receipt of such email is confirmed by return email. Together with any notice provided by a Party to the other Party in accordance with this Section 10.9, the Party shall send a copy of such notice by email to the other Party.</w:t>
      </w:r>
    </w:p>
    <w:p>
      <w:pPr>
        <w:sectPr>
          <w:pgSz w:w="11900" w:h="16838" w:orient="portrait"/>
          <w:cols w:equalWidth="0" w:num="1">
            <w:col w:w="11240"/>
          </w:cols>
          <w:pgMar w:left="320" w:top="900" w:right="339" w:bottom="1440" w:gutter="0" w:footer="0" w:header="0"/>
        </w:sectPr>
      </w:pP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If to Paragon:</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Paragon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221 Crescent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23, Suite 105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Waltham, MA 02453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Chief Operating Officer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1640" w:space="320"/>
            <w:col w:w="9280"/>
          </w:cols>
          <w:pgMar w:left="320" w:top="900" w:right="339" w:bottom="144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If to Oruka: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Oruka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855 Oak Grove Avenue, Suite 100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1500" w:space="460"/>
            <w:col w:w="9280"/>
          </w:cols>
          <w:pgMar w:left="320" w:top="900" w:right="339" w:bottom="1440" w:gutter="0" w:footer="0" w:header="0"/>
          <w:type w:val="continuous"/>
        </w:sectPr>
      </w:pPr>
    </w:p>
    <w:p>
      <w:pPr>
        <w:spacing w:after="0" w:line="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b w:val="1"/>
          <w:bCs w:val="1"/>
          <w:color w:val="auto"/>
        </w:rPr>
        <w:t>Interpretation</w:t>
      </w:r>
      <w:r>
        <w:rPr>
          <w:rFonts w:ascii="Times New Roman" w:cs="Times New Roman" w:eastAsia="Times New Roman" w:hAnsi="Times New Roman"/>
          <w:sz w:val="18"/>
          <w:szCs w:val="18"/>
          <w:color w:val="auto"/>
        </w:rPr>
        <w:t>. Except where the context expressly requires otherwise, (a) the use of any gender herein shall be deemed to encompass references to either or both genders, and the use of the singular shall be deemed to include the plural (and vice versa), (b) the words “include”, “includes” and “including” shall be deemed to be followed by the phrase “without limitation”, (c) the word “will” shall be construed to have the same meaning and effect as the word “shall”, (d)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(e) any reference herein to any person or entity shall be construed to include such person’s or entity’s successors and assigns, (f) the words “herein”, “hereof” and “hereunder”, and words of similar import, shall be construed to refer to this Agreement in its entirety and not to any particular provision hereof, (g) all references herein to Sections or Exhibits shall be construed to refer to Sections or Exhibits of this Agreement, and references to this Agreement include all Exhibits hereto, (h) the word “notice” means notice in writing (whether or not specifically stated) and shall include notices, consents, approvals and other written communications contemplated under this Agreement, (i) provisions that require that a Party, the Parties or any committee hereunder “agree,” “consent” or “approve” or the like shall require that such agreement, consent or approval be specific and in writing, whether by written agreement, letter, approved minutes or otherwise (but excluding e-mail and instant messaging), (j) references to any specific law, or article, section or other division thereof, shall be deemed to include the then-current amendments thereto or any replacement or successor law thereof, and (k) the term “or” shall be interpreted in the inclusive sense commonly associated with the term “or.” The headings of clauses contained in this Agreement preceding the text of the sections, subsections and paragraphs hereof are inserted solely for convenience and ease of reference only and shall not constitute any part of this Agreement or have any effect on its interpretation or construction. Ambiguities and uncertainties in this Agreement, if any, shall not be interpreted against either Party, irrespective of which Party may be deemed to have caused the ambiguity or uncertainty to exist. This Agreement has been prepared in the English language, and the English language shall control its interpretation. In addition, all notices required or permitted to be given hereunder, and all written, electronic, oral, or other communications between the Parties regarding this Agreement shall be in the English language. To the extent there is any inconsistency or conflict between the terms and conditions of this Agreement and any Exhibit, the terms and conditions of this Agreement will prevail.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76" w:name="page277"/>
    <w:bookmarkEnd w:id="276"/>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b w:val="1"/>
          <w:bCs w:val="1"/>
          <w:color w:val="auto"/>
        </w:rPr>
        <w:t>No Third-Party Rights</w:t>
      </w:r>
      <w:r>
        <w:rPr>
          <w:rFonts w:ascii="Times New Roman" w:cs="Times New Roman" w:eastAsia="Times New Roman" w:hAnsi="Times New Roman"/>
          <w:sz w:val="18"/>
          <w:szCs w:val="18"/>
          <w:color w:val="auto"/>
        </w:rPr>
        <w:t>. The provisions of this Agreement are for the exclusive benefit of the Parties and their successors and permitted assigns, and no other person shall have any right or claim against any Party by reason of these provisions or be entitled to enforce any of these provisions against any Party.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document, and all of which, together with this writing, shall be deemed one instrument. This Agreement may be executed by facsimile or PDF signatures, or electronic signatures complying with the ESIGN Act of 2000 (such as DocuSign), which signatures shall have the same force and effect as original signatures.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Each Party shall pay its own costs, charges and expenses incurred in connection with the negotiation, preparation and completion of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b w:val="1"/>
          <w:bCs w:val="1"/>
          <w:color w:val="auto"/>
        </w:rPr>
        <w:t>Binding Effect</w:t>
      </w:r>
      <w:r>
        <w:rPr>
          <w:rFonts w:ascii="Times New Roman" w:cs="Times New Roman" w:eastAsia="Times New Roman" w:hAnsi="Times New Roman"/>
          <w:sz w:val="18"/>
          <w:szCs w:val="18"/>
          <w:color w:val="auto"/>
        </w:rPr>
        <w:t>. This Agreement shall be binding upon and inure to the benefit of the Parties and their respective legal representatives, successors and permitted assigns.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b w:val="1"/>
          <w:bCs w:val="1"/>
          <w:color w:val="auto"/>
        </w:rPr>
        <w:t>Construction</w:t>
      </w:r>
      <w:r>
        <w:rPr>
          <w:rFonts w:ascii="Times New Roman" w:cs="Times New Roman" w:eastAsia="Times New Roman" w:hAnsi="Times New Roman"/>
          <w:sz w:val="18"/>
          <w:szCs w:val="18"/>
          <w:color w:val="auto"/>
        </w:rPr>
        <w:t>. The Parties hereto acknowledge and agree that: (a) each Party and its counsel reviewed and negotiated the terms and provisions of this Agreement and have contributed to its revision; (b) the rule of construction to the effect that any ambiguities are resolved against the drafting Party shall not be employed in the interpretation of this Agreement; and (c) the terms and provisions of this Agreement shall be construed fairly as to all Parties hereto and not in a favor of or against any Party, regardless of which Party was generally responsible for the preparation of this Agreement.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b w:val="1"/>
          <w:bCs w:val="1"/>
          <w:color w:val="auto"/>
        </w:rPr>
        <w:t>Cumulative Remedies</w:t>
      </w:r>
      <w:r>
        <w:rPr>
          <w:rFonts w:ascii="Times New Roman" w:cs="Times New Roman" w:eastAsia="Times New Roman" w:hAnsi="Times New Roman"/>
          <w:sz w:val="18"/>
          <w:szCs w:val="18"/>
          <w:color w:val="auto"/>
        </w:rPr>
        <w:t>. No remedy referred to in this Agreement is intended to be exclusive unless explicitly stated to be so, but each shall be cumulative and in addition to any other remedy referred to in this Agreement or otherwise available under law.</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b w:val="1"/>
          <w:bCs w:val="1"/>
          <w:color w:val="auto"/>
        </w:rPr>
        <w:t>Performance by Affiliates</w:t>
      </w:r>
      <w:r>
        <w:rPr>
          <w:rFonts w:ascii="Times New Roman" w:cs="Times New Roman" w:eastAsia="Times New Roman" w:hAnsi="Times New Roman"/>
          <w:sz w:val="18"/>
          <w:szCs w:val="18"/>
          <w:color w:val="auto"/>
        </w:rPr>
        <w:t>. A Party may perform some or all of its obligations under this Agreement through Affiliate(s) or may exercise some or all of its rights under this Agreement through Affiliates, subject to the terms of this Agreement. However, each Party shall remain responsible and be guarantor of the performance by its Affiliates and shall cause its Affiliates to comply with the provisions of this Agreement in connection with such performance as if such Party were performing such obligations itself, and references to a Party in this Agreement shall be deemed to also reference such Affiliate. In particular and without limitation, all Affiliates of a Party that receive Confidential Information of the other Party pursuant to this Agreement shall be governed and bound by all obligations set forth in Article VI</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shall be subject to the intellectual property provisions of Article V as if they were the original Party to this Agreement (and be deemed included in the actual Party to this Agreement for purposes of all intellectual property-related definitions). A Party and its Affiliates shall be jointly and severally liable for their performance under this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Left Intentionally Blank; 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7" w:name="page278"/>
    <w:bookmarkEnd w:id="277"/>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by duly authorized persons executed this Agreement as of the Effective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aragon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ruka</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 Evan Thompson</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Lawrence Klein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 Evan Thompson</w:t>
            </w:r>
          </w:p>
        </w:tc>
        <w:tc>
          <w:tcPr>
            <w:tcW w:w="2800" w:type="dxa"/>
            <w:vAlign w:val="bottom"/>
          </w:tcPr>
          <w:p>
            <w:pPr>
              <w:ind w:left="2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Lawrence Klein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8" w:name="page279"/>
    <w:bookmarkEnd w:id="278"/>
    <w:p>
      <w:pPr>
        <w:jc w:val="right"/>
        <w:spacing w:after="0"/>
        <w:rPr>
          <w:sz w:val="20"/>
          <w:szCs w:val="20"/>
          <w:color w:val="auto"/>
        </w:rPr>
      </w:pPr>
      <w:r>
        <w:rPr>
          <w:rFonts w:ascii="Times New Roman" w:cs="Times New Roman" w:eastAsia="Times New Roman" w:hAnsi="Times New Roman"/>
          <w:sz w:val="18"/>
          <w:szCs w:val="18"/>
          <w:b w:val="1"/>
          <w:bCs w:val="1"/>
          <w:color w:val="auto"/>
        </w:rPr>
        <w:t>Exhibit 10.32</w:t>
      </w:r>
    </w:p>
    <w:p>
      <w:pPr>
        <w:spacing w:after="0" w:line="229" w:lineRule="exact"/>
        <w:rPr>
          <w:sz w:val="20"/>
          <w:szCs w:val="20"/>
          <w:color w:val="auto"/>
        </w:rPr>
      </w:pPr>
    </w:p>
    <w:p>
      <w:pPr>
        <w:jc w:val="both"/>
        <w:ind w:firstLine="8"/>
        <w:spacing w:after="0" w:line="266" w:lineRule="auto"/>
        <w:tabs>
          <w:tab w:leader="none" w:pos="467"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THE INFORMATION (I) IS NOT MATERIAL AND (II) IS THE TYPE THAT THE REGISTRANT TREATS AS PRIVATE OR CONFIDENTIAL.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 LINE LICENSE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Cell Line License Agreement (“Agreement”), effective as of March 4, 2024 (“EFFECTIVE DATE”), is entered and made by and between WuXi Biologics Ireland Limited, having an address at Dundalk Science &amp; Technology Park, Mullagharlin, Dundalk, Co Louth A91 X56F, Ireland (collectively, “WuXi Biologics”) and Oruka Therapeutics, Inc., a Delaware corporation, with an office at 221 Crescent Street, Building 23, Suite 105, Waltham, MA 02453 (“Licensee”). WuXi Biologics and Licensee may be referred to herein individually as a “Party” and collectively as the “Parties.”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agree as follows:</w:t>
      </w:r>
    </w:p>
    <w:p>
      <w:pPr>
        <w:spacing w:after="0" w:line="221" w:lineRule="exact"/>
        <w:rPr>
          <w:sz w:val="20"/>
          <w:szCs w:val="20"/>
          <w:color w:val="auto"/>
        </w:rPr>
      </w:pPr>
    </w:p>
    <w:p>
      <w:pPr>
        <w:ind w:left="660" w:hanging="652"/>
        <w:spacing w:after="0"/>
        <w:tabs>
          <w:tab w:leader="none" w:pos="660" w:val="left"/>
        </w:tabs>
        <w:numPr>
          <w:ilvl w:val="0"/>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 person means any other person that directly or indirectly Controls, is Controlled by, or is under common Control with, the person.</w:t>
      </w:r>
    </w:p>
    <w:p>
      <w:pPr>
        <w:spacing w:after="0" w:line="154" w:lineRule="exact"/>
        <w:rPr>
          <w:rFonts w:ascii="Times New Roman" w:cs="Times New Roman" w:eastAsia="Times New Roman" w:hAnsi="Times New Roman"/>
          <w:sz w:val="18"/>
          <w:szCs w:val="18"/>
          <w:b w:val="1"/>
          <w:bCs w:val="1"/>
          <w:color w:val="auto"/>
        </w:rPr>
      </w:pPr>
    </w:p>
    <w:p>
      <w:pPr>
        <w:ind w:left="1300" w:hanging="648"/>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8"/>
          <w:szCs w:val="18"/>
          <w:b w:val="1"/>
          <w:bCs w:val="1"/>
          <w:color w:val="auto"/>
        </w:rPr>
        <w:t>Client Product</w:t>
      </w:r>
      <w:r>
        <w:rPr>
          <w:rFonts w:ascii="Times New Roman" w:cs="Times New Roman" w:eastAsia="Times New Roman" w:hAnsi="Times New Roman"/>
          <w:sz w:val="18"/>
          <w:szCs w:val="18"/>
          <w:color w:val="auto"/>
        </w:rPr>
        <w:t>” means [***] of interest to Licensee, which is designated by the Licensee to be produced by the Licensed Cell Line. Each different Client Product covered under this Agreement shall be specified in Appendix I. An amendment to this Agreement is required for each new Client Product produced by the Licensed Cell Line.</w:t>
      </w:r>
    </w:p>
    <w:p>
      <w:pPr>
        <w:spacing w:after="0" w:line="170" w:lineRule="exact"/>
        <w:rPr>
          <w:rFonts w:ascii="Times New Roman" w:cs="Times New Roman" w:eastAsia="Times New Roman" w:hAnsi="Times New Roman"/>
          <w:sz w:val="18"/>
          <w:szCs w:val="18"/>
          <w:b w:val="1"/>
          <w:bCs w:val="1"/>
          <w:color w:val="auto"/>
        </w:rPr>
      </w:pPr>
    </w:p>
    <w:p>
      <w:pPr>
        <w:ind w:left="1300" w:hanging="648"/>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of a Party (the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means all non- public scientific, technical, financial regulatory or business information and materials disclosed by or on behalf of the Disclosing Party to the other Party (the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or its Related Persons (defined below) in connection with this Agreement. Confidential information shall be identified as confidential in writing or, if disclosed verbally or by observation, summarized in writing and submitted to the Receiving Party within [***] of the oral or visual disclosure thereof; provided, however, information need not be labeled or marked “confidential” to be deemed Confidential Information hereunder, if under the circumstances it is, or should be, understood to be confidential. The Confidential Information of both Parties includes the existence, terms and objectives of this Agreement, and the nature of any dispute and the outcome of any arbitration proceedings arising out of or in connection with this Agreement.</w:t>
      </w:r>
    </w:p>
    <w:p>
      <w:pPr>
        <w:spacing w:after="0" w:line="184" w:lineRule="exact"/>
        <w:rPr>
          <w:rFonts w:ascii="Times New Roman" w:cs="Times New Roman" w:eastAsia="Times New Roman" w:hAnsi="Times New Roman"/>
          <w:sz w:val="18"/>
          <w:szCs w:val="18"/>
          <w:b w:val="1"/>
          <w:bCs w:val="1"/>
          <w:color w:val="auto"/>
        </w:rPr>
      </w:pPr>
    </w:p>
    <w:p>
      <w:pPr>
        <w:ind w:left="1300" w:hanging="648"/>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w:t>
      </w:r>
      <w:r>
        <w:rPr>
          <w:rFonts w:ascii="Times New Roman" w:cs="Times New Roman" w:eastAsia="Times New Roman" w:hAnsi="Times New Roman"/>
          <w:sz w:val="18"/>
          <w:szCs w:val="18"/>
          <w:b w:val="1"/>
          <w:bCs w:val="1"/>
          <w:color w:val="auto"/>
        </w:rPr>
        <w:t>Construct</w:t>
      </w:r>
      <w:r>
        <w:rPr>
          <w:rFonts w:ascii="Times New Roman" w:cs="Times New Roman" w:eastAsia="Times New Roman" w:hAnsi="Times New Roman"/>
          <w:sz w:val="18"/>
          <w:szCs w:val="18"/>
          <w:color w:val="auto"/>
        </w:rPr>
        <w:t>” means a [***] developed by WuXi Biologics that is used for delivering genetic code and for transfecting and/or transforming the Host Cell Line for purposes of creating the Licensed Cell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9" w:name="page280"/>
    <w:bookmarkEnd w:id="279"/>
    <w:p>
      <w:pPr>
        <w:jc w:val="both"/>
        <w:ind w:left="640" w:hanging="647"/>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over an entity means (a) owning 50% or more of the voting securities or other ownership interests of such entity or (b) having the power to direct the management or policies of such entity.</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Drug Product</w:t>
      </w:r>
      <w:r>
        <w:rPr>
          <w:rFonts w:ascii="Times New Roman" w:cs="Times New Roman" w:eastAsia="Times New Roman" w:hAnsi="Times New Roman"/>
          <w:sz w:val="18"/>
          <w:szCs w:val="18"/>
          <w:color w:val="auto"/>
        </w:rPr>
        <w:t>” means the final dosage form which contains Client Product, in association with other active or inactive ingredients.</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Drug Substance</w:t>
      </w:r>
      <w:r>
        <w:rPr>
          <w:rFonts w:ascii="Times New Roman" w:cs="Times New Roman" w:eastAsia="Times New Roman" w:hAnsi="Times New Roman"/>
          <w:sz w:val="17"/>
          <w:szCs w:val="17"/>
          <w:color w:val="auto"/>
        </w:rPr>
        <w:t>” means bulk Client Product, which has not yet been packaged into its final dosage form.</w:t>
      </w:r>
    </w:p>
    <w:p>
      <w:pPr>
        <w:spacing w:after="0" w:line="225" w:lineRule="exact"/>
        <w:rPr>
          <w:sz w:val="20"/>
          <w:szCs w:val="20"/>
          <w:color w:val="auto"/>
        </w:rPr>
      </w:pPr>
    </w:p>
    <w:p>
      <w:pPr>
        <w:jc w:val="both"/>
        <w:ind w:left="640" w:right="20" w:hanging="647"/>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Host Cell Line</w:t>
      </w:r>
      <w:r>
        <w:rPr>
          <w:rFonts w:ascii="Times New Roman" w:cs="Times New Roman" w:eastAsia="Times New Roman" w:hAnsi="Times New Roman"/>
          <w:sz w:val="18"/>
          <w:szCs w:val="18"/>
          <w:color w:val="auto"/>
        </w:rPr>
        <w:t>” means the proprietary host cell line developed by WuXi Biologics, and designated by WuXi Biologics as the [***], that is used to make the Licensed Cell Line.</w:t>
      </w:r>
    </w:p>
    <w:p>
      <w:pPr>
        <w:spacing w:after="0" w:line="155" w:lineRule="exact"/>
        <w:rPr>
          <w:sz w:val="20"/>
          <w:szCs w:val="20"/>
          <w:color w:val="auto"/>
        </w:rPr>
      </w:pPr>
    </w:p>
    <w:p>
      <w:pPr>
        <w:jc w:val="both"/>
        <w:ind w:left="640" w:hanging="647"/>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Cell Line</w:t>
      </w:r>
      <w:r>
        <w:rPr>
          <w:rFonts w:ascii="Times New Roman" w:cs="Times New Roman" w:eastAsia="Times New Roman" w:hAnsi="Times New Roman"/>
          <w:sz w:val="18"/>
          <w:szCs w:val="18"/>
          <w:color w:val="auto"/>
        </w:rPr>
        <w:t>” means a transformed or transfected (using WuXi Biologics’ Construct(s)) version of the Host Cell Line that produces the Client Product.</w:t>
      </w:r>
    </w:p>
    <w:p>
      <w:pPr>
        <w:spacing w:after="0" w:line="155"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Know-How</w:t>
      </w:r>
      <w:r>
        <w:rPr>
          <w:rFonts w:ascii="Times New Roman" w:cs="Times New Roman" w:eastAsia="Times New Roman" w:hAnsi="Times New Roman"/>
          <w:sz w:val="18"/>
          <w:szCs w:val="18"/>
          <w:color w:val="auto"/>
        </w:rPr>
        <w:t>” means any know-how and non-public information owned or controlled by WuXi Biologics that is used or incorporated in the Process, and that is necessary or useful to operate the Process as further described in the Technology Transfer Package. The word “control” when used in connection with Licensed Know-How includes both exclusively and non-exclusively licensed know-how and non-public information, as well a right of WuXi Biologics to transfer such know-how and non-public information to Licensee. As used in this definition “know-how” means all confidential and proprietary commercial, technical, scientific and other know-how and information, trade secrets, knowledge, technology, methods, processes, practices, formulae, instructions, skills, techniques, procedures, experiences, ideas, technical assistance, designs, drawings, assembly procedures, computer programs, specifications, data and results (including biological, chemical, pharmacological, toxicological, pharmaceutical, physical and analytical, preclinical, clinical, safety, manufacturing and quality control data and know-how, and including study designs and protocols).</w:t>
      </w:r>
    </w:p>
    <w:p>
      <w:pPr>
        <w:spacing w:after="0" w:line="188" w:lineRule="exact"/>
        <w:rPr>
          <w:sz w:val="20"/>
          <w:szCs w:val="20"/>
          <w:color w:val="auto"/>
        </w:rPr>
      </w:pPr>
    </w:p>
    <w:p>
      <w:pPr>
        <w:jc w:val="both"/>
        <w:ind w:left="640" w:hanging="647"/>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Marketing Authorization Approval</w:t>
      </w:r>
      <w:r>
        <w:rPr>
          <w:rFonts w:ascii="Times New Roman" w:cs="Times New Roman" w:eastAsia="Times New Roman" w:hAnsi="Times New Roman"/>
          <w:sz w:val="18"/>
          <w:szCs w:val="18"/>
          <w:color w:val="auto"/>
        </w:rPr>
        <w:t>” means, with respect to a country or extra-national territory, any and all approvals (including a New Drug Application or Biologics License Application approved by the FDA), licenses, registrations or authorizations of any Regulatory Authority necessary in order to commercially distribute, sell or market a product in such country or some or all of such extra-national territory, including any pricing or reimbursement approvals.</w:t>
      </w:r>
    </w:p>
    <w:p>
      <w:pPr>
        <w:spacing w:after="0" w:line="39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2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280" w:name="page281"/>
    <w:bookmarkEnd w:id="280"/>
    <w:p>
      <w:pPr>
        <w:ind w:left="640" w:right="20" w:hanging="647"/>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Materials</w:t>
      </w:r>
      <w:r>
        <w:rPr>
          <w:rFonts w:ascii="Times New Roman" w:cs="Times New Roman" w:eastAsia="Times New Roman" w:hAnsi="Times New Roman"/>
          <w:sz w:val="18"/>
          <w:szCs w:val="18"/>
          <w:color w:val="auto"/>
        </w:rPr>
        <w:t>” means the biological materials, including the Licensed Cell Line, provided to Licensee pursuant to the license granted under this Agreement.</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Media and Feeds</w:t>
      </w:r>
      <w:r>
        <w:rPr>
          <w:rFonts w:ascii="Times New Roman" w:cs="Times New Roman" w:eastAsia="Times New Roman" w:hAnsi="Times New Roman"/>
          <w:sz w:val="17"/>
          <w:szCs w:val="17"/>
          <w:color w:val="auto"/>
        </w:rPr>
        <w:t>” means any proprietary media and feeds used in the Process.</w:t>
      </w:r>
    </w:p>
    <w:p>
      <w:pPr>
        <w:spacing w:after="0" w:line="225" w:lineRule="exact"/>
        <w:rPr>
          <w:sz w:val="20"/>
          <w:szCs w:val="20"/>
          <w:color w:val="auto"/>
        </w:rPr>
      </w:pPr>
    </w:p>
    <w:p>
      <w:pPr>
        <w:ind w:left="640" w:hanging="647"/>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means the amount [***] by Licensee and its Affiliates or sublicensees for bona fide sales of Client Product to a third-party [***], less:</w:t>
      </w:r>
    </w:p>
    <w:p>
      <w:pPr>
        <w:spacing w:after="0" w:line="186" w:lineRule="exact"/>
        <w:rPr>
          <w:sz w:val="20"/>
          <w:szCs w:val="20"/>
          <w:color w:val="auto"/>
        </w:rPr>
      </w:pPr>
    </w:p>
    <w:p>
      <w:pPr>
        <w:ind w:left="1300" w:hanging="656"/>
        <w:spacing w:after="0"/>
        <w:tabs>
          <w:tab w:leader="none" w:pos="13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line="282" w:lineRule="auto"/>
        <w:rPr>
          <w:sz w:val="20"/>
          <w:szCs w:val="20"/>
          <w:color w:val="auto"/>
        </w:rPr>
      </w:pPr>
      <w:r>
        <w:rPr>
          <w:rFonts w:ascii="Times New Roman" w:cs="Times New Roman" w:eastAsia="Times New Roman" w:hAnsi="Times New Roman"/>
          <w:sz w:val="18"/>
          <w:szCs w:val="18"/>
          <w:color w:val="auto"/>
        </w:rPr>
        <w:t>Net Sales will not include [***]. Such amounts will be determined from the books and records of [***], maintained in accordance with GAAP consistently applied.</w:t>
      </w:r>
    </w:p>
    <w:p>
      <w:pPr>
        <w:spacing w:after="0" w:line="158" w:lineRule="exact"/>
        <w:rPr>
          <w:sz w:val="20"/>
          <w:szCs w:val="20"/>
          <w:color w:val="auto"/>
        </w:rPr>
      </w:pPr>
    </w:p>
    <w:p>
      <w:pPr>
        <w:jc w:val="both"/>
        <w:ind w:left="640" w:hanging="647"/>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Process</w:t>
      </w:r>
      <w:r>
        <w:rPr>
          <w:rFonts w:ascii="Times New Roman" w:cs="Times New Roman" w:eastAsia="Times New Roman" w:hAnsi="Times New Roman"/>
          <w:sz w:val="18"/>
          <w:szCs w:val="18"/>
          <w:color w:val="auto"/>
        </w:rPr>
        <w:t>” means a process for manufacture of Client Product utilizing Licensed Know-How, Materials and Media and Feeds as described in the Technology Transfer Package.</w:t>
      </w:r>
    </w:p>
    <w:p>
      <w:pPr>
        <w:spacing w:after="0" w:line="155" w:lineRule="exact"/>
        <w:rPr>
          <w:sz w:val="20"/>
          <w:szCs w:val="20"/>
          <w:color w:val="auto"/>
        </w:rPr>
      </w:pPr>
    </w:p>
    <w:p>
      <w:pPr>
        <w:jc w:val="both"/>
        <w:ind w:left="640" w:hanging="647"/>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any applicable supranational, national, regional, state or local regulatory agency, department, bureau, commission, council, or other government entity involved in regulating development of and granting regulatory approval for a pharmaceutical product, including the FDA and EMA.</w:t>
      </w:r>
    </w:p>
    <w:p>
      <w:pPr>
        <w:spacing w:after="0" w:line="17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Related Persons</w:t>
      </w:r>
      <w:r>
        <w:rPr>
          <w:rFonts w:ascii="Times New Roman" w:cs="Times New Roman" w:eastAsia="Times New Roman" w:hAnsi="Times New Roman"/>
          <w:sz w:val="17"/>
          <w:szCs w:val="17"/>
          <w:color w:val="auto"/>
        </w:rPr>
        <w:t>” means a Party’s Affiliates and their respective directors, officers, employees and agents.</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Research Cell Bank</w:t>
      </w:r>
      <w:r>
        <w:rPr>
          <w:rFonts w:ascii="Times New Roman" w:cs="Times New Roman" w:eastAsia="Times New Roman" w:hAnsi="Times New Roman"/>
          <w:sz w:val="17"/>
          <w:szCs w:val="17"/>
          <w:color w:val="auto"/>
        </w:rPr>
        <w:t>” is a [***].</w:t>
      </w:r>
    </w:p>
    <w:p>
      <w:pPr>
        <w:spacing w:after="0" w:line="200" w:lineRule="exact"/>
        <w:rPr>
          <w:sz w:val="20"/>
          <w:szCs w:val="20"/>
          <w:color w:val="auto"/>
        </w:rPr>
      </w:pPr>
    </w:p>
    <w:p>
      <w:pPr>
        <w:spacing w:after="0" w:line="24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3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281" w:name="page282"/>
    <w:bookmarkEnd w:id="281"/>
    <w:p>
      <w:pPr>
        <w:jc w:val="both"/>
        <w:ind w:left="1300" w:hanging="647"/>
        <w:spacing w:after="0" w:line="268" w:lineRule="auto"/>
        <w:tabs>
          <w:tab w:leader="none" w:pos="128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Technology Transfer Package</w:t>
      </w:r>
      <w:r>
        <w:rPr>
          <w:rFonts w:ascii="Times New Roman" w:cs="Times New Roman" w:eastAsia="Times New Roman" w:hAnsi="Times New Roman"/>
          <w:sz w:val="18"/>
          <w:szCs w:val="18"/>
          <w:color w:val="auto"/>
        </w:rPr>
        <w:t>” means all information and data describing the Process, together with all Licensed Know-How, Materials and Media and Feeds necessary or useful for the development and manufacture of Client Product using the Licensed Cell Line and/or the Process.</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person other than the Parties to this Agreement.</w:t>
      </w:r>
    </w:p>
    <w:p>
      <w:pPr>
        <w:spacing w:after="0" w:line="225" w:lineRule="exact"/>
        <w:rPr>
          <w:sz w:val="20"/>
          <w:szCs w:val="20"/>
          <w:color w:val="auto"/>
        </w:rPr>
      </w:pPr>
    </w:p>
    <w:p>
      <w:pPr>
        <w:jc w:val="both"/>
        <w:ind w:left="1300" w:hanging="647"/>
        <w:spacing w:after="0" w:line="268" w:lineRule="auto"/>
        <w:tabs>
          <w:tab w:leader="none" w:pos="128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Manufacturer</w:t>
      </w:r>
      <w:r>
        <w:rPr>
          <w:rFonts w:ascii="Times New Roman" w:cs="Times New Roman" w:eastAsia="Times New Roman" w:hAnsi="Times New Roman"/>
          <w:sz w:val="18"/>
          <w:szCs w:val="18"/>
          <w:color w:val="auto"/>
        </w:rPr>
        <w:t>” means (i) a Third Party whose primary business is contract manufacturing, or (ii) a Third Party who has a contractual arrangement with Licensee or with a sublicensee of Licensee that includes manufacturing of Client Product and/or Drug Product by such Third Party for Licensee or such sublicensee.</w:t>
      </w:r>
    </w:p>
    <w:p>
      <w:pPr>
        <w:spacing w:after="0" w:line="171" w:lineRule="exact"/>
        <w:rPr>
          <w:sz w:val="20"/>
          <w:szCs w:val="20"/>
          <w:color w:val="auto"/>
        </w:rPr>
      </w:pPr>
    </w:p>
    <w:p>
      <w:pPr>
        <w:ind w:left="660" w:hanging="652"/>
        <w:spacing w:after="0"/>
        <w:tabs>
          <w:tab w:leader="none" w:pos="660" w:val="left"/>
        </w:tabs>
        <w:numPr>
          <w:ilvl w:val="0"/>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License</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2.1WuXi Biologics hereby grants to Licensee and its Affiliates a non-exclusive, worldwide license, with the right to grant sublicenses as provided in Section 2.3, to the Licensed Know-How and the Licensed Cell Line, Materials, and Media and Feeds, for the purpose of conducting the Process, including the following licensed activities:</w:t>
      </w:r>
    </w:p>
    <w:p>
      <w:pPr>
        <w:spacing w:after="0" w:line="175" w:lineRule="exact"/>
        <w:rPr>
          <w:rFonts w:ascii="Times New Roman" w:cs="Times New Roman" w:eastAsia="Times New Roman" w:hAnsi="Times New Roman"/>
          <w:sz w:val="18"/>
          <w:szCs w:val="18"/>
          <w:b w:val="1"/>
          <w:bCs w:val="1"/>
          <w:color w:val="auto"/>
        </w:rPr>
      </w:pPr>
    </w:p>
    <w:p>
      <w:pPr>
        <w:ind w:left="2280" w:hanging="409"/>
        <w:spacing w:after="0"/>
        <w:tabs>
          <w:tab w:leader="none" w:pos="228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have made, import, sell and otherwise use Client Product; and</w:t>
      </w:r>
    </w:p>
    <w:p>
      <w:pPr>
        <w:spacing w:after="0" w:line="252" w:lineRule="exact"/>
        <w:rPr>
          <w:rFonts w:ascii="Times New Roman" w:cs="Times New Roman" w:eastAsia="Times New Roman" w:hAnsi="Times New Roman"/>
          <w:sz w:val="18"/>
          <w:szCs w:val="18"/>
          <w:color w:val="auto"/>
        </w:rPr>
      </w:pPr>
    </w:p>
    <w:p>
      <w:pPr>
        <w:ind w:left="2280" w:hanging="409"/>
        <w:spacing w:after="0" w:line="282" w:lineRule="auto"/>
        <w:tabs>
          <w:tab w:leader="none" w:pos="228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have made, use, sell, have sold, offer for sale, import, keep and otherwise deal in and further commercialize Drug Substance and Drug Product for any and all purposes.</w:t>
      </w:r>
    </w:p>
    <w:p>
      <w:pPr>
        <w:spacing w:after="0" w:line="162"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Licensee or its Affiliates may contract with a Third Party Manufacturer for the limited purpose of developing and manufacturing Client Product on behalf of the Licensee or its Affiliates, provided that, such Third Party Manufacturers are bound by the contract to comply with the confidentiality and use terms of this Agreement, and that the Licensee or its Affiliates will remain liable for any Third Party Manufacturers’ breach of this Agreement.</w:t>
      </w:r>
    </w:p>
    <w:p>
      <w:pPr>
        <w:spacing w:after="0" w:line="180" w:lineRule="exact"/>
        <w:rPr>
          <w:sz w:val="20"/>
          <w:szCs w:val="20"/>
          <w:color w:val="auto"/>
        </w:rPr>
      </w:pPr>
    </w:p>
    <w:p>
      <w:pPr>
        <w:jc w:val="both"/>
        <w:ind w:left="1960" w:hanging="647"/>
        <w:spacing w:after="0" w:line="266" w:lineRule="auto"/>
        <w:tabs>
          <w:tab w:leader="none" w:pos="19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For the benefit of doubt, a Third Party Manufacturer cannot manufacture Client Product, Drug Substance or Drug Product utilizing the Licensed Cell Line and Licensed Know-How without first being contracted with a Licensee, its Affiliates or sublicensee.</w:t>
      </w:r>
    </w:p>
    <w:p>
      <w:pPr>
        <w:spacing w:after="0" w:line="20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7"/>
          <w:szCs w:val="17"/>
          <w:color w:val="auto"/>
        </w:rPr>
        <w:t>A Third Party Manufacturer that has been granted a sublicense cannot grant, issue or transfer a sublicense to another Third Party.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2" w:name="page283"/>
    <w:bookmarkEnd w:id="282"/>
    <w:p>
      <w:pPr>
        <w:jc w:val="both"/>
        <w:ind w:left="1300" w:hanging="647"/>
        <w:spacing w:after="0" w:line="253" w:lineRule="auto"/>
        <w:tabs>
          <w:tab w:leader="none" w:pos="128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Subject to the terms and conditions of this Agreement, Licensee shall have the right to grant sublicenses to a Third Party for the rights granted to Licensee under this Agreement. Each sublicense agreement shall be in writing and provided that the applicable sublicensee is bound by all applicable terms and conditions of this Agreement, and Licensee or its Affiliates shall remain liable for any sublicensee’s breach of this Agreement. Licensee shall inform WuXi Biologics in writing any and all such sublicenses. [***]. Licensee will notify WuXi Biologics in writing of any sublicense agreement with a sublicensee within [***] of the execution of such agreement. Any sublicense granted by Licensee to any rights licensed to it hereunder will terminate [***] upon the termination of the license by WuXi Biologics under the terms of this Agreement; provided, that such sublicensed rights will not terminate if, as of the effective date of such termination, a sublicensee is not in material default of its obligations under its sublicense agreement, and within [***] of such termination, the sublicensee agrees in writing to be bound directly to WuXi Biologics under a license agreement substantially similar to this Agreement with respect to the rights sublicensed hereunder.</w:t>
      </w:r>
    </w:p>
    <w:p>
      <w:pPr>
        <w:spacing w:after="0" w:line="194"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Except as expressly provided in this Agreement, nothing in this Agreement shall be deemed to have granted Licensee (by implication, estoppel or otherwise) any right, title, license or other interest in or with respect to any intellectual property, Know-How or information owned or controlled by WuXi Biologics.</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Invoicing of License fees will commence [***].</w:t>
      </w:r>
    </w:p>
    <w:p>
      <w:pPr>
        <w:spacing w:after="0" w:line="221" w:lineRule="exact"/>
        <w:rPr>
          <w:sz w:val="20"/>
          <w:szCs w:val="20"/>
          <w:color w:val="auto"/>
        </w:rPr>
      </w:pPr>
    </w:p>
    <w:p>
      <w:pPr>
        <w:ind w:left="660" w:hanging="652"/>
        <w:spacing w:after="0"/>
        <w:tabs>
          <w:tab w:leader="none" w:pos="660" w:val="left"/>
        </w:tabs>
        <w:numPr>
          <w:ilvl w:val="0"/>
          <w:numId w:val="2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 of Materials and Licensed Know-How</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WuXi Biologics shall notify Licensee in writing within [***] following the date on which WuXi Biologics completes transfection of the Host Cell Line to generate the Licensed Cell Line. Thereafter, [***] upon written request and the completion of due payment by Licensee (and in any event within [***] following designation of a Third Party Manufacturer), WuXi Biologics shall disclose, make available, and conduct a full transfer, and shall cause its Affiliates to disclose, make available, and conduct a full transfer to Licensee, its Affiliates, or any one or more of its Third Party Manufacturers designated by Licensee, all Materials and Licensed Know-How, that is necessary or reasonably useful for Licensee and Third Party Manufacturers to solely develop and manufacture the Client Product. The Parties shall agree to a schedule for such transfer of the Materials and Licensed Know-How. WuXi Biologics will provide [***] assistance to enable such Third Party Manufacturer to manufacture Client Product, provided, however, it is the Third Party Manufacturer’s full responsibility to manufacture such Client Product after the transfer, WuXi Biologics will not be responsible for the Third Party Manufacturer’s success or failure to manufacture any Client Products. Initiation of such technology transfer will be determined by Licensee. WuXi Biologics will be reimbursed for such activities by Licensee on an [***] rate. WuXi Biologics will provide [***] requested ongoing technical support if requested by Licensee with such support reimbursed [***] rate basis.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3" w:name="page284"/>
    <w:bookmarkEnd w:id="283"/>
    <w:p>
      <w:pPr>
        <w:ind w:left="660" w:hanging="652"/>
        <w:spacing w:after="0"/>
        <w:tabs>
          <w:tab w:leader="none" w:pos="660"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License Fee</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consideration for the license granted in Section 2 of this Agreement, and the representation and warranty set forth in Section 10 of this Agreement, Licensee agrees to pay WuXi Biologics a fixed non-creditable, non-refundable license fee of USD [***] for the Licensed Cell Line used in Client Product.</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Cell Line Royalties</w:t>
      </w:r>
      <w:r>
        <w:rPr>
          <w:rFonts w:ascii="Times New Roman" w:cs="Times New Roman" w:eastAsia="Times New Roman" w:hAnsi="Times New Roman"/>
          <w:sz w:val="18"/>
          <w:szCs w:val="18"/>
          <w:u w:val="single" w:color="auto"/>
          <w:color w:val="auto"/>
        </w:rPr>
        <w:t>.</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Licensee manufactures [***] commercial supplies of the applicable Drug Substance using manufacturing facilities other than WuXi Biologics’ or its Affiliates’ manufacturing facilities, Licensee shall pay to WuXi Biologics a Royalty of [***] on the applicable Drug Product’s global Net Sales sold by Licensee, its Affiliates, or sublicensees, paid to WuXi Biologics [***]. If Licensee manufactures [***] commercial supplies of the applicable Drug Substance using WuXi Biologics’ or its Affiliates’ manufacturing facilities, the Royalty shall be [***], depending on [***]. If Licensee manufactures all of its commercial supplies of the applicable Drug Substance by WuXi Biologics or its Affiliates, no Royalty is applicable and no Royalty payment shall be due hereunder.</w:t>
      </w:r>
    </w:p>
    <w:p>
      <w:pPr>
        <w:spacing w:after="0" w:line="183"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 Terms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Licensee shall pay WuXi Biologics’ undisputed invoice(s) within [***] of receipt by Licensee. Such payments will be made by wire transfer to the account designated by WuXi Biologics. Invoices must be submitted, and payment must be made, [***].</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Bank Account Details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Parties otherwise mutually agree in writing, and such mutual agreement is set forth in a particular invoice, Licensee shall pay each invoice by wire transfer to the account designated by WuXi Biologics. With respect to Net Sales invoiced in U.S. dollars, the Net Sales and the amounts due hereunder will be expressed in U.S. dollars. With respect to Net Sales invoiced in a currency other than U.S. dollars, payments will be calculated based on standard methodologies employed by Licensee or its Affiliates or sublicensees for consolidation purposes for the [***] for which remittance is made for Royalties.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4" w:name="page285"/>
    <w:bookmarkEnd w:id="284"/>
    <w:p>
      <w:pPr>
        <w:ind w:left="660" w:hanging="652"/>
        <w:spacing w:after="0"/>
        <w:tabs>
          <w:tab w:leader="none" w:pos="660" w:val="left"/>
        </w:tabs>
        <w:numPr>
          <w:ilvl w:val="0"/>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Licensee agrees that no attempt will be made by or on behalf of Licensee to modify or reverse engineer the Licensed Cell Line or attempt to reverse engineer, recreate or assemble the Construct(s). Licensee shall only use the Licensed Cell Line in the way as permitted by this Agreement and shall not use or have used the Licensed Cell Line for any purpose other than as provided hereunder, including operating the Process, the manufacture of Client Product, Drug Substance and Drug Product, and for other purposes reasonably related to securing Marketing Authorization Approval for the Client Product and/or Drug Product. Licensee shall not transfer the Licensed Cell Line to any Third Party except to a permitted sublicensee, as described in Section 2.2 above, permitted Third Party Manufacturer, or an assignee.</w:t>
      </w:r>
    </w:p>
    <w:p>
      <w:pPr>
        <w:spacing w:after="0" w:line="183"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Indemnity</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9.1</w:t>
      </w:r>
      <w:r>
        <w:rPr>
          <w:rFonts w:ascii="Times New Roman" w:cs="Times New Roman" w:eastAsia="Times New Roman" w:hAnsi="Times New Roman"/>
          <w:sz w:val="18"/>
          <w:szCs w:val="18"/>
          <w:u w:val="single" w:color="auto"/>
          <w:color w:val="auto"/>
        </w:rPr>
        <w:t xml:space="preserve">Licensee </w:t>
      </w:r>
      <w:r>
        <w:rPr>
          <w:rFonts w:ascii="Times New Roman" w:cs="Times New Roman" w:eastAsia="Times New Roman" w:hAnsi="Times New Roman"/>
          <w:sz w:val="18"/>
          <w:szCs w:val="18"/>
          <w:color w:val="auto"/>
        </w:rPr>
        <w:t>agrees to indemnify, hold harmless and defend WuXi Biologics, its Affiliates, and their respective directors, officers, employees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and agents harmless (collectively, “WuXi Indemnitees”) from and against any and all liabilities and damages (including reasonable attorneys’ fees) resulting from any and all claims from any Third Party (“Claims”) to the extent arising from the use of the Licensed Cell Line, Client Product, Drug Substance or Drug Product by Licensee; except to the extent WuXi Biologics is obligated to indemnify Licensee in accordance with Section 9.2 of this Agreement, and provided further that Licensee shall have no obligation to indemnify any such Claims that arise from WuXi Biologics’ (i) negligence or intentional misconduct in connection with the Licensed Cell Line (ii) material breach of this Agreement (including the representations and warranties set forth in Section 10); or (iii) Host Cell Line components of the Licensed Cell Line or any Media and Feeds.</w:t>
      </w:r>
    </w:p>
    <w:p>
      <w:pPr>
        <w:spacing w:after="0" w:line="191" w:lineRule="exact"/>
        <w:rPr>
          <w:rFonts w:ascii="Times New Roman" w:cs="Times New Roman" w:eastAsia="Times New Roman" w:hAnsi="Times New Roman"/>
          <w:sz w:val="18"/>
          <w:szCs w:val="18"/>
          <w:b w:val="1"/>
          <w:bCs w:val="1"/>
          <w:color w:val="auto"/>
        </w:rPr>
      </w:pPr>
    </w:p>
    <w:p>
      <w:pPr>
        <w:ind w:left="1300"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9.2WuXi Biologics will indemnify Licensee, its Affiliates, its sublicensees and their respective directors, officers, employees and agents, and their respective successors, heirs and assigns (collectively, “Licensee Indemnitees”), and defend and hold each of them harmless, from and against any and all Losses in connection with any and all Third-Party Claims against Licensee Indemnitees to the extent arising from or occurring as a result of: (i) the breach by WuXi Biologics of any provision of this Agreement; or (ii) any negligence or willful misconduct on the part of any WuXi Indemnitee in connection with the Host Cell Line components of the Licensed Cell Line, except in each case to the extent Licensee is obligated to indemnify WuXi Biologics in accordance with Section 9.1 of this Agreement.</w:t>
      </w:r>
    </w:p>
    <w:p>
      <w:pPr>
        <w:spacing w:after="0" w:line="187" w:lineRule="exact"/>
        <w:rPr>
          <w:rFonts w:ascii="Times New Roman" w:cs="Times New Roman" w:eastAsia="Times New Roman" w:hAnsi="Times New Roman"/>
          <w:sz w:val="18"/>
          <w:szCs w:val="18"/>
          <w:b w:val="1"/>
          <w:bCs w:val="1"/>
          <w:color w:val="auto"/>
        </w:rPr>
      </w:pPr>
    </w:p>
    <w:p>
      <w:pPr>
        <w:ind w:left="1300" w:hanging="648"/>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9.3Each party must notify the other party within [***] of receipt of any claims made for which the other party might be liable hereunder. The indemnifying party will have the sole right to defend, negotiate, and settle such claims. The indemnified party will be entitled to participate in the defense of such matter and to employ counsel at its expense to assist in such defense. No compromise or settlement of any Claim may be made by the indemnifying Party without the indemnified Party’s written consent; provided, however, that the indemnifying party will have final decision-making authority regarding all aspects of the defense of any claim. The party seeking indemnification will provide the indemnifying party with such information and assistance as the indemnifying party may reasonably request, at the expense of the indemnifying party.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5" w:name="page286"/>
    <w:bookmarkEnd w:id="285"/>
    <w:p>
      <w:pPr>
        <w:jc w:val="both"/>
        <w:ind w:left="1300" w:hanging="647"/>
        <w:spacing w:after="0" w:line="255" w:lineRule="auto"/>
        <w:tabs>
          <w:tab w:leader="none" w:pos="128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Limitation of Liability. NEITHER PARTY WILL BE LIABLE UNDER ANY LEGAL THEORY (WHETHER TORT, CONTRACT OR OTHERWISE) FOR SPECIAL, INDIRECT, INCIDENTAL, CONSEQUENTIAL OR PUNITIVE DAMAGES ARISING OUT OF OR RELATED TO THIS AGREEMENT OR THE EXERCISE OF ITS RIGHTS HEREUNDER, INCLUDING LOST PROFITS ARISING FROM OR RELATING TO ANY BREACH OF THIS AGREEMENT, HOWEVER CAUSED, EVEN IF THE PARTY HAS BEEN ADVISED OF THE POSSIBILITY OF SUCH DAMAGES, EXCEPT AS A RESULT OF A BREACH OF THE CONFIDENTIALITY AND NON-USE OBLIGATIONS IN SECTION 11. NOTHING IN THIS SECTION 9.4 IS INTENDED TO LIMIT OR RESTRICT THE INDEMNIFICATION RIGHTS OR OBLIGATIONS OF EITHER PARTY.</w:t>
      </w:r>
    </w:p>
    <w:p>
      <w:pPr>
        <w:spacing w:after="0" w:line="185" w:lineRule="exact"/>
        <w:rPr>
          <w:sz w:val="20"/>
          <w:szCs w:val="20"/>
          <w:color w:val="auto"/>
        </w:rPr>
      </w:pPr>
    </w:p>
    <w:p>
      <w:pPr>
        <w:ind w:left="660" w:hanging="652"/>
        <w:spacing w:after="0"/>
        <w:tabs>
          <w:tab w:leader="none" w:pos="660"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29" w:lineRule="exact"/>
        <w:rPr>
          <w:rFonts w:ascii="Times New Roman" w:cs="Times New Roman" w:eastAsia="Times New Roman" w:hAnsi="Times New Roman"/>
          <w:sz w:val="18"/>
          <w:szCs w:val="18"/>
          <w:b w:val="1"/>
          <w:bCs w:val="1"/>
          <w:color w:val="auto"/>
        </w:rPr>
      </w:pPr>
    </w:p>
    <w:p>
      <w:pPr>
        <w:jc w:val="right"/>
        <w:ind w:left="1300" w:hanging="648"/>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10.1WuXi Biologics represents and warrants that: (i) it is a corporation duly organized validly existing and in good standing under the laws of the Republic of Ireland; (ii) the execution, delivery and performance of this Agreement have been duly authorized by all necessary corporate action on the part of WuXi Biologics; (iii) the performance of WuXi Biologics’ obligations under this Agreement will not conflict with its charter documents or result in a material breach of any agreements, contracts or other arrangements to which it is a party;</w:t>
      </w:r>
    </w:p>
    <w:p>
      <w:pPr>
        <w:spacing w:after="0" w:line="2" w:lineRule="exact"/>
        <w:rPr>
          <w:rFonts w:ascii="Times New Roman" w:cs="Times New Roman" w:eastAsia="Times New Roman" w:hAnsi="Times New Roman"/>
          <w:sz w:val="18"/>
          <w:szCs w:val="18"/>
          <w:b w:val="1"/>
          <w:bCs w:val="1"/>
          <w:color w:val="auto"/>
        </w:rPr>
      </w:pPr>
    </w:p>
    <w:p>
      <w:pPr>
        <w:jc w:val="both"/>
        <w:ind w:left="1300" w:firstLine="4"/>
        <w:spacing w:after="0" w:line="251" w:lineRule="auto"/>
        <w:tabs>
          <w:tab w:leader="none" w:pos="162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WuXi Biologics will not before the termination of this Agreement enter into any agreements, contracts or other arrangements that would be materially inconsistent with its obligations under this Agreement; (v) WuXi Biologics has sufficient facilities, experienced personnel and other capabilities reasonably suited to enable it to perform its obligations under this Agreement; (vi) WuXi Biologics has the right to grant the licenses or sublicenses, as the case may be, therefor granted under this Agreement; (vii) WuXi Biologics is the sole and exclusive owner of the Licensed Know-how and Licensed Cell Line, or otherwise has the right to license the Licensed Know-how and Licensed Cell Line and grant rights to Licensee as set forth in this Agreement and during the Term of the Agreement, (viii) to the best of its knowledge WuXi Biologics is and will remain entitled to grant to Licensee the licenses and rights specified or contemplated by this Agreement, and to the Licensed Know-How, (ix) as of the Effective Date, neither WuXi Biologics nor any of its Affiliates has received any notice challenging WuXi Biologics’ ownership or right to use the Licensed Know-How in relation to the Licensed Cell Line and, Host Cell Line component of the Licensed Cell Line, (x) to the best of WuXi Biologics’s knowledge, there are no valid grounds for any claim against WuXi Biologics or any of its Affiliates except for any claims caused by Licensee’s DNA sequence related to the Client Product incorporated into the Licensed Cell Line.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6" w:name="page287"/>
    <w:bookmarkEnd w:id="286"/>
    <w:p>
      <w:pPr>
        <w:jc w:val="both"/>
        <w:ind w:left="1300" w:hanging="647"/>
        <w:spacing w:after="0" w:line="255" w:lineRule="auto"/>
        <w:tabs>
          <w:tab w:leader="none" w:pos="128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Licensee represents and warrants that: (i) it is a corporation duly organized validly existing and in good standing under the laws of the Commonwealth of Massachusetts; (ii) the execution, delivery and performance of this Agreement have been duly authorized by all necessary corporate action on the part of Licensee; (iii) the performance of Licensee’s obligations under this Agreement will not conflict with its charter documents or result in a material breach of any agreements, contracts or other arrangements to which it is a party; (iv) Licensee has sufficient facilities, experienced personnel and other capabilities reasonably suited to enable it to perform its obligations under this Agreement; and (v) Licensee will not before the termination of this Agreement enter into any agreements, contracts or other arrangements that would be materially inconsistent with its obligations under this Agreement.</w:t>
      </w:r>
    </w:p>
    <w:p>
      <w:pPr>
        <w:spacing w:after="0" w:line="189"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Disclaimer of Warranties. OTHER THAN AS PROVIDED IN THIS AGREEMENT, THE LICENSED KNOW-HOW, AND LICENSED CELL LINES ARE PROVIDED AND LICENSED TO LICENSEE “AS IS”, THE PARTIES MAKE NO REPRESENTATIONS AND EXTEND NO WARRANTIES OR CONDITIONS OF ANY KIND, EITHER EXPRESS OR IMPLIED, WITH RESPECT THERETO OR TO THE PRODUCTS, INCLUDING, BUT NOT LIMITED TO, WARRANTIES OF MERCHANTABILITY, FITNESS FOR A PARTICULAR PURPOSEVALIDITY OF THE RIGHTS LICENSED HEREUNDER, OR NONINFRINGEMENT OF THE INTELLECTUAL PROPERTY RIGHTS OF THIRD PARTIES.</w:t>
      </w:r>
    </w:p>
    <w:p>
      <w:pPr>
        <w:spacing w:after="0" w:line="183" w:lineRule="exact"/>
        <w:rPr>
          <w:sz w:val="20"/>
          <w:szCs w:val="20"/>
          <w:color w:val="auto"/>
        </w:rPr>
      </w:pPr>
    </w:p>
    <w:p>
      <w:pPr>
        <w:ind w:left="660" w:hanging="652"/>
        <w:spacing w:after="0"/>
        <w:tabs>
          <w:tab w:leader="none" w:pos="660"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11.1Subject to the exceptions listed below, during the term of this Agreement and for [***] thereafter, the Receiving Party shall, and shall ensure that its Related Persons will, (a) maintain the Disclosing Party’s Confidential Information in confidence, (b) not use such Confidential Information other than in connection with this Agreement, and (c) not disclose such Confidential Information to any Third Party other than (i) those of its Related Persons that have a need to know such Confidential Information in connection with the Activities conducted pursuant to the Agreement and are obligated to maintain such Confidential Information in confidence and (ii) to the extent required by applicable law or judicial order, or to the extent reasonably necessary to prosecute or defend litigation or arbitration in relation to this Agreement, and, in either case, only after the Receiving Party gives the Disclosing Party [***] advance written notice of such requirement and [***] cooperates with the Disclosing Party’s efforts to limit or avoid such disclosure, to seek a protective order or secure confidential treatment of the Confidential Information, and/or to seek any other remedies available to the Disclosing Party at law or in equity. Notwithstanding the foregoing, the existence of this Agreement and its non-technical terms may be disclosed confidentially in connection with a potential financing, collaboration or acquisition or in discussion with a potential acquirer of Client Product.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7" w:name="page288"/>
    <w:bookmarkEnd w:id="287"/>
    <w:p>
      <w:pPr>
        <w:jc w:val="right"/>
        <w:spacing w:after="0" w:line="261" w:lineRule="auto"/>
        <w:rPr>
          <w:sz w:val="20"/>
          <w:szCs w:val="20"/>
          <w:color w:val="auto"/>
        </w:rPr>
      </w:pPr>
      <w:r>
        <w:rPr>
          <w:rFonts w:ascii="Times New Roman" w:cs="Times New Roman" w:eastAsia="Times New Roman" w:hAnsi="Times New Roman"/>
          <w:sz w:val="18"/>
          <w:szCs w:val="18"/>
          <w:color w:val="auto"/>
        </w:rPr>
        <w:t>11.2    The Receiving Party’s obligations set forth in Section 11.1 do not apply to Confidential Information if (a) the information is public knowledge or becomes public knowledge after disclosure through no act or omission of the Receiving Party or any of its Related Persons,</w:t>
      </w:r>
    </w:p>
    <w:p>
      <w:pPr>
        <w:jc w:val="both"/>
        <w:ind w:left="640" w:firstLine="4"/>
        <w:spacing w:after="0" w:line="253" w:lineRule="auto"/>
        <w:tabs>
          <w:tab w:leader="none" w:pos="905"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can be shown by the Receiving Party to have been lawfully in its possession prior to disclosure, (c) the information was rightfully received on a non-confidential basis from a Third Party that was not obligated to maintain the information in confidence, or (d) the Receiving Party can show that equivalent information was developed independently by the Receiving Party without reference to the Disclosing Party’ Confidential Information.</w:t>
      </w:r>
    </w:p>
    <w:p>
      <w:pPr>
        <w:spacing w:after="0" w:line="189"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Licensee may disclose the Confidential Information of WuXi Biologics to a Third Party for the purpose of exercising Licensee’s license rights hereunder (including disclosure to potential Third Party sublicensees), provided that Licensee shall, prior to such disclosure, ensure that each Third Party to which disclosure is to be made is made aware of the obligations contained in this Agreement and agrees to be subject to obligations of confidentiality and non-use no less onerous than those contained in this Agreement. Any breaches of the obligations of confidentiality and non-use contained in this Agreement by such Third Party shall be treated as a breach of such obligations by Licensee.</w:t>
      </w:r>
    </w:p>
    <w:p>
      <w:pPr>
        <w:spacing w:after="0" w:line="187"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Notwithstanding anything to the contrary in this Agreement, a Party may disclose this Agreement and its terms, and material developments or material information generated under this Agreement, in securities filings with the U.S. Securities and Exchange Commission (or equivalent foreign agency) and any rules of stock exchanges where the Parties may be listed to the extent required by applicable law after complying with the procedure set forth in this Section 11.4. In such event, unless otherwise required to comply with applicable law, the Party seeking such disclosure will prepare a draft confidential treatment request and proposed redacted version of this Agreement to request confidential treatment for this Agreement, and the other Party will [***] give its input in a [***] in order to allow the Party seeking disclosure to file its request within the timelines proscribed by applicable laws and regulations. The Party seeking such disclosure shall exercise [***] to obtain confidential treatment of this Agreement from the U.S. Securities and Exchange Commission (or equivalent foreign agency) as represented by the redacted version reviewed by the other Party.</w:t>
      </w:r>
    </w:p>
    <w:p>
      <w:pPr>
        <w:spacing w:after="0" w:line="18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color w:val="auto"/>
        </w:rPr>
        <w:t>The provisions of this Section 11 shall survive termination or expiry of this Agreement.</w:t>
      </w:r>
    </w:p>
    <w:p>
      <w:pPr>
        <w:spacing w:after="0" w:line="200" w:lineRule="exact"/>
        <w:rPr>
          <w:sz w:val="20"/>
          <w:szCs w:val="20"/>
          <w:color w:val="auto"/>
        </w:rPr>
      </w:pPr>
    </w:p>
    <w:p>
      <w:pPr>
        <w:spacing w:after="0" w:line="24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10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88" w:name="page289"/>
    <w:bookmarkEnd w:id="288"/>
    <w:p>
      <w:pPr>
        <w:ind w:left="660" w:hanging="652"/>
        <w:spacing w:after="0"/>
        <w:tabs>
          <w:tab w:leader="none" w:pos="660" w:val="left"/>
        </w:tabs>
        <w:numPr>
          <w:ilvl w:val="0"/>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12.1</w:t>
      </w:r>
      <w:r>
        <w:rPr>
          <w:rFonts w:ascii="Times New Roman" w:cs="Times New Roman" w:eastAsia="Times New Roman" w:hAnsi="Times New Roman"/>
          <w:sz w:val="17"/>
          <w:szCs w:val="17"/>
          <w:u w:val="single" w:color="auto"/>
          <w:color w:val="auto"/>
        </w:rPr>
        <w:t>Voluntary Termination by Licensee.</w:t>
      </w:r>
    </w:p>
    <w:p>
      <w:pPr>
        <w:spacing w:after="0" w:line="225"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Licensee shall have the right to terminate this Agreement upon [***] prior written notice to WuXi Biologics, and upon payment of all undisputed amounts due to WuXi Biologics through such termination effective date.</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u w:val="single" w:color="auto"/>
          <w:color w:val="auto"/>
        </w:rPr>
        <w:t>Termination for Default</w:t>
      </w:r>
    </w:p>
    <w:p>
      <w:pPr>
        <w:spacing w:after="0" w:line="225" w:lineRule="exact"/>
        <w:rPr>
          <w:sz w:val="20"/>
          <w:szCs w:val="20"/>
          <w:color w:val="auto"/>
        </w:rPr>
      </w:pPr>
    </w:p>
    <w:p>
      <w:pPr>
        <w:jc w:val="both"/>
        <w:ind w:left="1960" w:right="20" w:hanging="656"/>
        <w:spacing w:after="0" w:line="266" w:lineRule="auto"/>
        <w:tabs>
          <w:tab w:leader="none" w:pos="19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Nonpayment</w:t>
      </w:r>
      <w:r>
        <w:rPr>
          <w:rFonts w:ascii="Times New Roman" w:cs="Times New Roman" w:eastAsia="Times New Roman" w:hAnsi="Times New Roman"/>
          <w:sz w:val="18"/>
          <w:szCs w:val="18"/>
          <w:color w:val="auto"/>
        </w:rPr>
        <w:t>. In the event Licensee fails to pay any undisputed amounts due and payable to WuXi Biologics hereunder, and fails to make such payments within thirty (30) days after receiving written notice of such failure, WuXi Biologics may terminate this Agreement [***] upon written notice to Licensee.</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Breach</w:t>
      </w:r>
      <w:r>
        <w:rPr>
          <w:rFonts w:ascii="Times New Roman" w:cs="Times New Roman" w:eastAsia="Times New Roman" w:hAnsi="Times New Roman"/>
          <w:sz w:val="18"/>
          <w:szCs w:val="18"/>
          <w:color w:val="auto"/>
        </w:rPr>
        <w:t>. In the event Licensee commits a material breach of its obligation under this Agreement and fails to cure that breach within [***] after receiving written notice thereof, WuXi Biologics may terminate this Agreement [***] upon written notice to Licensee.</w:t>
      </w:r>
    </w:p>
    <w:p>
      <w:pPr>
        <w:spacing w:after="0" w:line="176" w:lineRule="exact"/>
        <w:rPr>
          <w:sz w:val="20"/>
          <w:szCs w:val="20"/>
          <w:color w:val="auto"/>
        </w:rPr>
      </w:pPr>
    </w:p>
    <w:p>
      <w:pPr>
        <w:jc w:val="both"/>
        <w:ind w:left="1300" w:hanging="647"/>
        <w:spacing w:after="0" w:line="252" w:lineRule="auto"/>
        <w:tabs>
          <w:tab w:leader="none" w:pos="128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u w:val="single" w:color="auto"/>
          <w:color w:val="auto"/>
        </w:rPr>
        <w:t>Termination Upon Bankruptcy</w:t>
      </w:r>
      <w:r>
        <w:rPr>
          <w:rFonts w:ascii="Times New Roman" w:cs="Times New Roman" w:eastAsia="Times New Roman" w:hAnsi="Times New Roman"/>
          <w:sz w:val="18"/>
          <w:szCs w:val="18"/>
          <w:color w:val="auto"/>
        </w:rPr>
        <w:t>. If either Party makes an assignment for the benefit of creditors, appoints or suffers appointment of a</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receiver or trustee over all or substantially all of its property, files a petition or commences a proceeding under any bankruptcy or insolvency act in any state or country or has any such petition or application filed against it which is not discharged within [***] of the filing thereof, then the other Party may thereafter terminate this Agreement effective [***] upon written notice to such Party. All rights and licenses granted under or pursuant to this Agreement by WuXi Biologics are, and will otherwise be deemed to be, for purposes of the relevant provisions of the Bankruptcy and Insolvency Act, R.S.C. 1985, c. B-3 (“BIA”), including Sections 65.11(7), 65.13(9), 72.1 and 246.1 of the BIA; and the relevant provisions of the Companies’ Creditors Arrangement Act, R.S.C. 1985, c. C-36 (“CCAA”), including Sections 32(6) and 36(8) of the CCAA (the BIA and CCAA being referred to collectively as the “Insolvency Legislation”), a grant of a “right to use” “intellectual property” as used in the Insolvency Legislation. The Parties agree that Licensee and its Affiliates and sublicensees, as licensees of such rights under this Agreement, will retain and may fully exercise all of their rights and elections under the Insolvency Legislation subject to the payment of amounts provided for herein. Without limiting Licensee’s rights under the Insolvency Legislation, if WuXi Biologics becomes insolvent or makes an assignment for the benefit of its creditors or there is filed by or against it any bankruptcy, receivership, reorganization or similar proceeding pursuant to or under the Insolvency Legislation or otherwise, Licensee will be entitled to a copy of any and all information specified in the Technology Transfer Package unless WuXi Biologics, or its trustee or receiver, elects within [***] to continue to perform all of its obligations under this Agreement.</w:t>
      </w:r>
    </w:p>
    <w:p>
      <w:pPr>
        <w:spacing w:after="0" w:line="196"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color w:val="auto"/>
        </w:rPr>
        <w:t>Expiration or termination of this Agreement for any reason will not relieve either party of any obligation accruing prior to such expiration or termination, including section 5 (Cell Line Royalties) shall survive termination or expiry of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9" w:name="page290"/>
    <w:bookmarkEnd w:id="289"/>
    <w:p>
      <w:pPr>
        <w:ind w:left="660" w:hanging="652"/>
        <w:spacing w:after="0"/>
        <w:tabs>
          <w:tab w:leader="none" w:pos="660" w:val="left"/>
        </w:tabs>
        <w:numPr>
          <w:ilvl w:val="0"/>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13.1</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may not be assigned or otherwise transferred by either Party (subject to Licensee’s right to sublicense its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rights hereunder) without the prior written consent of the other Party, which consent shall not be unreasonably withheld, conditioned or delayed;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Party may, without such consent, assign this Agreement in its entirety (a) to an Affiliate, or (b) to a Third Party in connection with a merger, acquisition, consolidation or a sale involving all or substantially all of the assets or business of such Party. Any attempted assignment or transfer in violation of this Section 13.1 shall be void.</w:t>
      </w:r>
    </w:p>
    <w:p>
      <w:pPr>
        <w:spacing w:after="0" w:line="183" w:lineRule="exact"/>
        <w:rPr>
          <w:rFonts w:ascii="Times New Roman" w:cs="Times New Roman" w:eastAsia="Times New Roman" w:hAnsi="Times New Roman"/>
          <w:sz w:val="18"/>
          <w:szCs w:val="18"/>
          <w:b w:val="1"/>
          <w:bCs w:val="1"/>
          <w:color w:val="auto"/>
        </w:rPr>
      </w:pPr>
    </w:p>
    <w:p>
      <w:pPr>
        <w:ind w:left="130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13.2</w:t>
      </w:r>
      <w:r>
        <w:rPr>
          <w:rFonts w:ascii="Times New Roman" w:cs="Times New Roman" w:eastAsia="Times New Roman" w:hAnsi="Times New Roman"/>
          <w:sz w:val="18"/>
          <w:szCs w:val="18"/>
          <w:u w:val="single" w:color="auto"/>
          <w:color w:val="auto"/>
        </w:rPr>
        <w:t>Regulatory Assistance</w:t>
      </w:r>
      <w:r>
        <w:rPr>
          <w:rFonts w:ascii="Times New Roman" w:cs="Times New Roman" w:eastAsia="Times New Roman" w:hAnsi="Times New Roman"/>
          <w:sz w:val="18"/>
          <w:szCs w:val="18"/>
          <w:color w:val="auto"/>
        </w:rPr>
        <w:t>. WuXi Biologics will provide assistance to Licensee, and any sublicensee, in respect of Licensee’s or such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sublicensee’s regulatory filing activities for the Client Product and/or Drug Product, at Licensee’s or such sublicensee’s reasonable cost and expense on [***] rate.</w:t>
      </w:r>
    </w:p>
    <w:p>
      <w:pPr>
        <w:spacing w:after="0" w:line="175" w:lineRule="exact"/>
        <w:rPr>
          <w:rFonts w:ascii="Times New Roman" w:cs="Times New Roman" w:eastAsia="Times New Roman" w:hAnsi="Times New Roman"/>
          <w:sz w:val="18"/>
          <w:szCs w:val="18"/>
          <w:b w:val="1"/>
          <w:bCs w:val="1"/>
          <w:color w:val="auto"/>
        </w:rPr>
      </w:pPr>
    </w:p>
    <w:p>
      <w:pPr>
        <w:ind w:left="130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13.3</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laws of the State of New York, USA, without regard to any choice of law principle that would require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application of the law of another jurisdiction, govern all matters relating to this Agreement and the enforcement thereof. The parties expressly reject any application to this Agreement of (a) the United Nations Convention on Contracts for the International Sale of Goods; and (b) the 1974 Convention on the Limitation Period in the International Sale of Goods, as amended by that certain Protocol, done at Vienna on April 11, 1980.</w:t>
      </w:r>
    </w:p>
    <w:p>
      <w:pPr>
        <w:spacing w:after="0" w:line="183" w:lineRule="exact"/>
        <w:rPr>
          <w:rFonts w:ascii="Times New Roman" w:cs="Times New Roman" w:eastAsia="Times New Roman" w:hAnsi="Times New Roman"/>
          <w:sz w:val="18"/>
          <w:szCs w:val="18"/>
          <w:b w:val="1"/>
          <w:bCs w:val="1"/>
          <w:color w:val="auto"/>
        </w:rPr>
      </w:pPr>
    </w:p>
    <w:p>
      <w:pPr>
        <w:jc w:val="right"/>
        <w:ind w:left="1300" w:hanging="648"/>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13.4</w:t>
      </w: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The parties shall engage in good faith consultation to resolve any dispute arising out of or in connection with this agreement.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Such consultation will begin [***] after one party has delivered to the other party a request for consultation. If the dispute cannot be resolved within [***] following the date on which the request for consultation is delivered, then either party may submit the dispute to JAMS International Arbitration Rules (“Arbitration”). The Arbitration tribunal will consist of three arbitrators. Within [***] after the commencement of the Arbitration, each Party shall select one person to act as arbitrator, each of whom must be a practicing or retired attorney or judge have at least [***] of litigation experience within the biopharmaceutical industry. The two arbitrators so selected shall select the chair within [***] of the commencement of the Arbitration, whom must a practicing or retired attorney or judge have at least</w:t>
      </w:r>
    </w:p>
    <w:p>
      <w:pPr>
        <w:spacing w:after="0" w:line="2" w:lineRule="exact"/>
        <w:rPr>
          <w:rFonts w:ascii="Times New Roman" w:cs="Times New Roman" w:eastAsia="Times New Roman" w:hAnsi="Times New Roman"/>
          <w:sz w:val="18"/>
          <w:szCs w:val="18"/>
          <w:b w:val="1"/>
          <w:bCs w:val="1"/>
          <w:color w:val="auto"/>
        </w:rPr>
      </w:pPr>
    </w:p>
    <w:p>
      <w:pPr>
        <w:jc w:val="both"/>
        <w:ind w:left="1300" w:firstLine="4"/>
        <w:spacing w:after="0" w:line="251" w:lineRule="auto"/>
        <w:tabs>
          <w:tab w:leader="none" w:pos="1748"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litigation experience within the biopharmaceutical industry. If the arbitrators selected by the Parties are unable or fail to agree upon the third arbitrator within the allotted time, the third arbitrator shall be appointed by JAMS in accordance with the JAMS International Arbitration Rules. All arbitrators shall serve as neutral, independent and impartial arbitrators. (ii) The Arbitration shall be conducted in accordance with the expedited procedures set forth in the JAMS International Arbitration Rules. The place of arbitration will be Manhattan, New York. The official language of the arbitration will be English. The arbitration proceedings will be confidential, and the arbitrator may issue appropriate protective orders to safeguard each party’s Confidential Information. During the course of arbitration, the parties shall continue to implement the terms of this agreement. The arbitral award will be final and binding upon the parties, and the party to the award may apply to a court of competent jurisdiction for enforcement of the award. Notwithstanding the foregoing, each party has the right to institute an action in a court of proper jurisdiction for injunctive or other equitable relief pending a final decision by the arbitrator.</w:t>
      </w:r>
    </w:p>
    <w:p>
      <w:pPr>
        <w:spacing w:after="0" w:line="193"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(2) or more counterparts, each of which shall be deemed an original, but all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which together shall constitute one and the same instrument. This Agreement may be executed by facsimile, .pdf or other electronically transmitted signatures and such signatures shall be deemed to bind each Party hereto as if they were the original signatures.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as of the Effective Date set forth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WuXi Biologics Ireland Limited</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Oruka Therapeutics, Inc.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Zhisheng Chen</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Lawrence Klein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Zhisheng Chen</w:t>
            </w:r>
          </w:p>
        </w:tc>
        <w:tc>
          <w:tcPr>
            <w:tcW w:w="2800" w:type="dxa"/>
            <w:vAlign w:val="bottom"/>
          </w:tcPr>
          <w:p>
            <w:pPr>
              <w:ind w:left="2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Lawrence Klein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r>
      <w:tr>
        <w:trPr>
          <w:trHeight w:val="655"/>
        </w:trPr>
        <w:tc>
          <w:tcPr>
            <w:tcW w:w="5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13 of 14</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91" w:name="page292"/>
    <w:bookmarkEnd w:id="291"/>
    <w:p>
      <w:pPr>
        <w:jc w:val="center"/>
        <w:ind w:right="-460"/>
        <w:spacing w:after="0"/>
        <w:rPr>
          <w:sz w:val="20"/>
          <w:szCs w:val="20"/>
          <w:color w:val="auto"/>
        </w:rPr>
      </w:pPr>
      <w:r>
        <w:rPr>
          <w:rFonts w:ascii="Times New Roman" w:cs="Times New Roman" w:eastAsia="Times New Roman" w:hAnsi="Times New Roman"/>
          <w:sz w:val="17"/>
          <w:szCs w:val="17"/>
          <w:b w:val="1"/>
          <w:bCs w:val="1"/>
          <w:u w:val="single" w:color="auto"/>
          <w:color w:val="auto"/>
        </w:rPr>
        <w:t>Appendix I</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14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292" w:name="page293"/>
    <w:bookmarkEnd w:id="292"/>
    <w:p>
      <w:pPr>
        <w:ind w:left="10020"/>
        <w:spacing w:after="0"/>
        <w:rPr>
          <w:sz w:val="20"/>
          <w:szCs w:val="20"/>
          <w:color w:val="auto"/>
        </w:rPr>
      </w:pPr>
      <w:r>
        <w:rPr>
          <w:rFonts w:ascii="Times New Roman" w:cs="Times New Roman" w:eastAsia="Times New Roman" w:hAnsi="Times New Roman"/>
          <w:sz w:val="21"/>
          <w:szCs w:val="21"/>
          <w:b w:val="1"/>
          <w:bCs w:val="1"/>
          <w:color w:val="auto"/>
        </w:rPr>
        <w:t>Exhibit 10.33</w:t>
      </w:r>
    </w:p>
    <w:p>
      <w:pPr>
        <w:spacing w:after="0" w:line="231" w:lineRule="exact"/>
        <w:rPr>
          <w:sz w:val="20"/>
          <w:szCs w:val="20"/>
          <w:color w:val="auto"/>
        </w:rPr>
      </w:pPr>
    </w:p>
    <w:p>
      <w:pPr>
        <w:jc w:val="both"/>
        <w:ind w:firstLine="8"/>
        <w:spacing w:after="0" w:line="266" w:lineRule="auto"/>
        <w:tabs>
          <w:tab w:leader="none" w:pos="467"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THE INFORMATION (I) IS NOT MATERIAL AND (II) IS THE TYPE THAT THE REGISTRANT TREATS AS PRIVATE OR CONFIDENTIAL.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THE CELL LICENSE AGREEMENT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AMENDMENT NO. 1 TO THE CELL LINE LICENSE AGREEMENT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effective as of November 20, 2024 (the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Effective Date”), is entered into and made by and between </w:t>
      </w:r>
      <w:r>
        <w:rPr>
          <w:rFonts w:ascii="Times New Roman" w:cs="Times New Roman" w:eastAsia="Times New Roman" w:hAnsi="Times New Roman"/>
          <w:sz w:val="18"/>
          <w:szCs w:val="18"/>
          <w:b w:val="1"/>
          <w:bCs w:val="1"/>
          <w:color w:val="auto"/>
        </w:rPr>
        <w:t>WuXi Biologics Ireland Limited</w:t>
      </w:r>
      <w:r>
        <w:rPr>
          <w:rFonts w:ascii="Times New Roman" w:cs="Times New Roman" w:eastAsia="Times New Roman" w:hAnsi="Times New Roman"/>
          <w:sz w:val="18"/>
          <w:szCs w:val="18"/>
          <w:color w:val="auto"/>
        </w:rPr>
        <w:t xml:space="preserve">, (“WuXi Biologics”), and </w:t>
      </w:r>
      <w:r>
        <w:rPr>
          <w:rFonts w:ascii="Times New Roman" w:cs="Times New Roman" w:eastAsia="Times New Roman" w:hAnsi="Times New Roman"/>
          <w:sz w:val="18"/>
          <w:szCs w:val="18"/>
          <w:b w:val="1"/>
          <w:bCs w:val="1"/>
          <w:color w:val="auto"/>
        </w:rPr>
        <w:t>Oruka Therapeutics,</w:t>
      </w:r>
      <w:r>
        <w:rPr>
          <w:rFonts w:ascii="Times New Roman" w:cs="Times New Roman" w:eastAsia="Times New Roman" w:hAnsi="Times New Roman"/>
          <w:sz w:val="18"/>
          <w:szCs w:val="18"/>
          <w:color w:val="auto"/>
        </w:rPr>
        <w:t xml:space="preserve"> Inc. (“Licensee”). WuXi Biologics and Licensee may be referred to herein individually as a “Party” and collectively as the “Parties.”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WHEREAS, WuXi Biologics (and Licensee have entered into that certain Cell Line License Agreement, dated as of March 4, 2024, (the “</w:t>
      </w:r>
      <w:r>
        <w:rPr>
          <w:rFonts w:ascii="Times New Roman" w:cs="Times New Roman" w:eastAsia="Times New Roman" w:hAnsi="Times New Roman"/>
          <w:sz w:val="18"/>
          <w:szCs w:val="18"/>
          <w:b w:val="1"/>
          <w:bCs w:val="1"/>
          <w:color w:val="auto"/>
        </w:rPr>
        <w:t>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Parties now desire to amend the License Agreement;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of the mutual promises set forth herein, and for other good and valuable consideration, the receipt and sufficiency of which are hereby acknowledged, the Parties hereto, intending legally to be bound, hereby agree as follows:</w:t>
      </w:r>
    </w:p>
    <w:p>
      <w:pPr>
        <w:spacing w:after="0" w:line="160" w:lineRule="exact"/>
        <w:rPr>
          <w:sz w:val="20"/>
          <w:szCs w:val="20"/>
          <w:color w:val="auto"/>
        </w:rPr>
      </w:pPr>
    </w:p>
    <w:p>
      <w:pPr>
        <w:ind w:left="660" w:hanging="652"/>
        <w:spacing w:after="0"/>
        <w:tabs>
          <w:tab w:leader="none" w:pos="660"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current </w:t>
      </w:r>
      <w:r>
        <w:rPr>
          <w:rFonts w:ascii="Times New Roman" w:cs="Times New Roman" w:eastAsia="Times New Roman" w:hAnsi="Times New Roman"/>
          <w:sz w:val="18"/>
          <w:szCs w:val="18"/>
          <w:i w:val="1"/>
          <w:iCs w:val="1"/>
          <w:color w:val="auto"/>
        </w:rPr>
        <w:t>Section 5 Cell Line Royalties</w:t>
      </w:r>
      <w:r>
        <w:rPr>
          <w:rFonts w:ascii="Times New Roman" w:cs="Times New Roman" w:eastAsia="Times New Roman" w:hAnsi="Times New Roman"/>
          <w:sz w:val="18"/>
          <w:szCs w:val="18"/>
          <w:color w:val="auto"/>
        </w:rPr>
        <w:t xml:space="preserve"> shall be re-numbered to Section 5.1</w:t>
      </w:r>
    </w:p>
    <w:p>
      <w:pPr>
        <w:spacing w:after="0" w:line="22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new </w:t>
      </w:r>
      <w:r>
        <w:rPr>
          <w:rFonts w:ascii="Times New Roman" w:cs="Times New Roman" w:eastAsia="Times New Roman" w:hAnsi="Times New Roman"/>
          <w:sz w:val="18"/>
          <w:szCs w:val="18"/>
          <w:i w:val="1"/>
          <w:iCs w:val="1"/>
          <w:color w:val="auto"/>
        </w:rPr>
        <w:t>Section 5.2 Buy-out Payment</w:t>
      </w:r>
      <w:r>
        <w:rPr>
          <w:rFonts w:ascii="Times New Roman" w:cs="Times New Roman" w:eastAsia="Times New Roman" w:hAnsi="Times New Roman"/>
          <w:sz w:val="18"/>
          <w:szCs w:val="18"/>
          <w:color w:val="auto"/>
        </w:rPr>
        <w:t xml:space="preserve"> is hereby added into the License Agreement as the following:</w:t>
      </w:r>
    </w:p>
    <w:p>
      <w:pPr>
        <w:spacing w:after="0" w:line="223"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Buy-Out Payment</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Notwithstanding the foregoing, in lieu of Licensee paying WuXi Biologics the Royalty provided for in Section 5.1, Licensee, or its sublicensee or assignee may, at any time, in its sole discretion, pay to WuXi Biologics, on a Drug Product-by-Drug Product basis, a fixed non-creditable, non-refundable royalty buyout payment as set forth below (a “Royalty Buyout Payment”). Once WuXi Biologics has received the Royalty Buyout Payment from Licensee, or its sublicensee or assignee, all future royalty obligations with respect to such Drug Product will be extinguished and Licensee will no longer owe any Royalty with respect to such Drug Product. Upon the applicable Royalty Buyout Payment being fully paid with respect to a Drug Product, the rights and licenses granted with respect to such Drug Product under this Agreement (including for clarity in Section 2.1) shall become fully paid-up, royalty free, perpetual and irrevocable.</w:t>
      </w:r>
    </w:p>
    <w:p>
      <w:pPr>
        <w:spacing w:after="0" w:line="189" w:lineRule="exact"/>
        <w:rPr>
          <w:sz w:val="20"/>
          <w:szCs w:val="20"/>
          <w:color w:val="auto"/>
        </w:rPr>
      </w:pPr>
    </w:p>
    <w:p>
      <w:pPr>
        <w:ind w:left="1140"/>
        <w:spacing w:after="0"/>
        <w:tabs>
          <w:tab w:leader="none" w:pos="1780" w:val="left"/>
        </w:tabs>
        <w:rPr>
          <w:sz w:val="20"/>
          <w:szCs w:val="20"/>
          <w:color w:val="auto"/>
        </w:rPr>
      </w:pPr>
      <w:r>
        <w:rPr>
          <w:rFonts w:ascii="Times New Roman" w:cs="Times New Roman" w:eastAsia="Times New Roman" w:hAnsi="Times New Roman"/>
          <w:sz w:val="18"/>
          <w:szCs w:val="18"/>
          <w:color w:val="auto"/>
        </w:rPr>
        <w:t>5.2.1</w:t>
      </w:r>
      <w:r>
        <w:rPr>
          <w:sz w:val="20"/>
          <w:szCs w:val="20"/>
          <w:color w:val="auto"/>
        </w:rPr>
        <w:tab/>
      </w:r>
      <w:r>
        <w:rPr>
          <w:rFonts w:ascii="Times New Roman" w:cs="Times New Roman" w:eastAsia="Times New Roman" w:hAnsi="Times New Roman"/>
          <w:sz w:val="17"/>
          <w:szCs w:val="17"/>
          <w:color w:val="auto"/>
        </w:rPr>
        <w:t>For the [***] Drug Product [***], the Royalty Buyout Payment shall be [***].</w:t>
      </w:r>
    </w:p>
    <w:p>
      <w:pPr>
        <w:spacing w:after="0" w:line="252" w:lineRule="exact"/>
        <w:rPr>
          <w:sz w:val="20"/>
          <w:szCs w:val="20"/>
          <w:color w:val="auto"/>
        </w:rPr>
      </w:pPr>
    </w:p>
    <w:p>
      <w:pPr>
        <w:ind w:left="1140"/>
        <w:spacing w:after="0"/>
        <w:tabs>
          <w:tab w:leader="none" w:pos="1780" w:val="left"/>
        </w:tabs>
        <w:rPr>
          <w:sz w:val="20"/>
          <w:szCs w:val="20"/>
          <w:color w:val="auto"/>
        </w:rPr>
      </w:pPr>
      <w:r>
        <w:rPr>
          <w:rFonts w:ascii="Times New Roman" w:cs="Times New Roman" w:eastAsia="Times New Roman" w:hAnsi="Times New Roman"/>
          <w:sz w:val="18"/>
          <w:szCs w:val="18"/>
          <w:color w:val="auto"/>
        </w:rPr>
        <w:t>5.2.2</w:t>
      </w:r>
      <w:r>
        <w:rPr>
          <w:sz w:val="20"/>
          <w:szCs w:val="20"/>
          <w:color w:val="auto"/>
        </w:rPr>
        <w:tab/>
      </w:r>
      <w:r>
        <w:rPr>
          <w:rFonts w:ascii="Times New Roman" w:cs="Times New Roman" w:eastAsia="Times New Roman" w:hAnsi="Times New Roman"/>
          <w:sz w:val="17"/>
          <w:szCs w:val="17"/>
          <w:color w:val="auto"/>
        </w:rPr>
        <w:t>For the [***], Drug Product(s) [***], the Royalty Buyout Payment shall be [***].</w:t>
      </w:r>
    </w:p>
    <w:p>
      <w:pPr>
        <w:spacing w:after="0" w:line="252" w:lineRule="exact"/>
        <w:rPr>
          <w:sz w:val="20"/>
          <w:szCs w:val="20"/>
          <w:color w:val="auto"/>
        </w:rPr>
      </w:pPr>
    </w:p>
    <w:p>
      <w:pPr>
        <w:ind w:left="1140"/>
        <w:spacing w:after="0"/>
        <w:tabs>
          <w:tab w:leader="none" w:pos="1780" w:val="left"/>
        </w:tabs>
        <w:rPr>
          <w:sz w:val="20"/>
          <w:szCs w:val="20"/>
          <w:color w:val="auto"/>
        </w:rPr>
      </w:pPr>
      <w:r>
        <w:rPr>
          <w:rFonts w:ascii="Times New Roman" w:cs="Times New Roman" w:eastAsia="Times New Roman" w:hAnsi="Times New Roman"/>
          <w:sz w:val="18"/>
          <w:szCs w:val="18"/>
          <w:color w:val="auto"/>
        </w:rPr>
        <w:t>5.2.3</w:t>
      </w:r>
      <w:r>
        <w:rPr>
          <w:sz w:val="20"/>
          <w:szCs w:val="20"/>
          <w:color w:val="auto"/>
        </w:rPr>
        <w:tab/>
      </w:r>
      <w:r>
        <w:rPr>
          <w:rFonts w:ascii="Times New Roman" w:cs="Times New Roman" w:eastAsia="Times New Roman" w:hAnsi="Times New Roman"/>
          <w:sz w:val="17"/>
          <w:szCs w:val="17"/>
          <w:color w:val="auto"/>
        </w:rPr>
        <w:t>For clarity, [***].</w:t>
      </w:r>
    </w:p>
    <w:p>
      <w:pPr>
        <w:spacing w:after="0" w:line="225" w:lineRule="exact"/>
        <w:rPr>
          <w:sz w:val="20"/>
          <w:szCs w:val="20"/>
          <w:color w:val="auto"/>
        </w:rPr>
      </w:pPr>
    </w:p>
    <w:p>
      <w:pPr>
        <w:ind w:left="660" w:hanging="652"/>
        <w:spacing w:after="0" w:line="282" w:lineRule="auto"/>
        <w:tabs>
          <w:tab w:leader="none" w:pos="660" w:val="left"/>
        </w:tabs>
        <w:numPr>
          <w:ilvl w:val="0"/>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expressly modified by this Amendment, the License Agreement shall remain unchanged and in full force and effect in accordance with its terms and the Parties hereby ratify and reaffirm the License Agreement as amended hereby.</w:t>
      </w:r>
    </w:p>
    <w:p>
      <w:pPr>
        <w:spacing w:after="0" w:line="161" w:lineRule="exact"/>
        <w:rPr>
          <w:rFonts w:ascii="Times New Roman" w:cs="Times New Roman" w:eastAsia="Times New Roman" w:hAnsi="Times New Roman"/>
          <w:sz w:val="18"/>
          <w:szCs w:val="18"/>
          <w:b w:val="1"/>
          <w:bCs w:val="1"/>
          <w:color w:val="auto"/>
        </w:rPr>
      </w:pPr>
    </w:p>
    <w:p>
      <w:pPr>
        <w:jc w:val="both"/>
        <w:ind w:left="660" w:hanging="652"/>
        <w:spacing w:after="0" w:line="266" w:lineRule="auto"/>
        <w:tabs>
          <w:tab w:leader="none" w:pos="660" w:val="left"/>
        </w:tabs>
        <w:numPr>
          <w:ilvl w:val="0"/>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Amendment may be executed in any number of counterparts, with each counterpart constituting an original, but all of which shall together constitute one and the same instrument. Delivery of an executed counterpart of a signature page of this Amendment by facsimile or electronic transmission (including .pdf file) shall be effective as delivery of a manually executed counterpart of this Amendment.</w:t>
      </w:r>
    </w:p>
    <w:p>
      <w:pPr>
        <w:spacing w:after="0" w:line="175" w:lineRule="exact"/>
        <w:rPr>
          <w:rFonts w:ascii="Times New Roman" w:cs="Times New Roman" w:eastAsia="Times New Roman" w:hAnsi="Times New Roman"/>
          <w:sz w:val="18"/>
          <w:szCs w:val="18"/>
          <w:b w:val="1"/>
          <w:bCs w:val="1"/>
          <w:color w:val="auto"/>
        </w:rPr>
      </w:pPr>
    </w:p>
    <w:p>
      <w:pPr>
        <w:jc w:val="both"/>
        <w:ind w:left="660" w:hanging="652"/>
        <w:spacing w:after="0" w:line="266" w:lineRule="auto"/>
        <w:tabs>
          <w:tab w:leader="none" w:pos="660" w:val="left"/>
        </w:tabs>
        <w:numPr>
          <w:ilvl w:val="0"/>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capitalized term used in this Amendment and not otherwise defined herein shall have the meaning given to that term in the License Agreement. This Amendment and the rights and obligations of the Parties hereto shall be governed, construed, and enforced in accordance with the governing law as stated in the License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as of the Amendment Effective Date set forth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WuXi Biologics Ireland Limited</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Oruka Therapeutics, Inc.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Zhisheng CHEN</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Lawrence Klein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Zhisheng CHEN</w:t>
            </w:r>
          </w:p>
        </w:tc>
        <w:tc>
          <w:tcPr>
            <w:tcW w:w="2800" w:type="dxa"/>
            <w:vAlign w:val="bottom"/>
          </w:tcPr>
          <w:p>
            <w:pPr>
              <w:ind w:left="2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Lawrence Klein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82"/>
        </w:trPr>
        <w:tc>
          <w:tcPr>
            <w:tcW w:w="5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94" w:name="page295"/>
    <w:bookmarkEnd w:id="294"/>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156845</wp:posOffset>
            </wp:positionV>
            <wp:extent cx="2280285" cy="76327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3">
                      <a:extLst>
                        <a:ext uri="{28A0092B-C50C-407E-A947-70E740481C1C}"/>
                      </a:extLst>
                    </a:blip>
                    <a:srcRect/>
                    <a:stretch>
                      <a:fillRect/>
                    </a:stretch>
                  </pic:blipFill>
                  <pic:spPr bwMode="auto">
                    <a:xfrm>
                      <a:off x="0" y="0"/>
                      <a:ext cx="228028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INSIDER TRADING POLICY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August 29,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INTRODUCTION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Federal and state laws prohibit buying, selling or making other transfers of securities by persons who have material information that is not generally known or available to the public. These laws also prohibit persons with such material nonpublic information (“</w:t>
      </w:r>
      <w:r>
        <w:rPr>
          <w:rFonts w:ascii="Times New Roman" w:cs="Times New Roman" w:eastAsia="Times New Roman" w:hAnsi="Times New Roman"/>
          <w:sz w:val="18"/>
          <w:szCs w:val="18"/>
          <w:u w:val="single" w:color="auto"/>
          <w:color w:val="auto"/>
        </w:rPr>
        <w:t>MNPI</w:t>
      </w:r>
      <w:r>
        <w:rPr>
          <w:rFonts w:ascii="Times New Roman" w:cs="Times New Roman" w:eastAsia="Times New Roman" w:hAnsi="Times New Roman"/>
          <w:sz w:val="18"/>
          <w:szCs w:val="18"/>
          <w:color w:val="auto"/>
        </w:rPr>
        <w:t>”) from disclosing this information to others who trade. Trading while in possession of MNPI is often referred to as “insider trading.”</w:t>
      </w:r>
    </w:p>
    <w:p>
      <w:pPr>
        <w:spacing w:after="0" w:line="17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i w:val="1"/>
          <w:iCs w:val="1"/>
          <w:color w:val="auto"/>
        </w:rPr>
        <w:t>Who Is Subject to this Policy</w:t>
      </w:r>
      <w:r>
        <w:rPr>
          <w:rFonts w:ascii="Times New Roman" w:cs="Times New Roman" w:eastAsia="Times New Roman" w:hAnsi="Times New Roman"/>
          <w:sz w:val="18"/>
          <w:szCs w:val="18"/>
          <w:color w:val="auto"/>
        </w:rPr>
        <w:t>. Oruka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adopted the following policy (this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regarding trading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by all of its directors, officers and employees, as well as certain contractors and consultants who are so designated by the General Counsel</w:t>
      </w:r>
    </w:p>
    <w:p>
      <w:pPr>
        <w:jc w:val="both"/>
        <w:spacing w:after="0" w:line="234" w:lineRule="auto"/>
        <w:rPr>
          <w:sz w:val="20"/>
          <w:szCs w:val="20"/>
          <w:color w:val="auto"/>
        </w:rPr>
      </w:pPr>
      <w:r>
        <w:rPr>
          <w:rFonts w:ascii="Times New Roman" w:cs="Times New Roman" w:eastAsia="Times New Roman" w:hAnsi="Times New Roman"/>
          <w:sz w:val="18"/>
          <w:szCs w:val="18"/>
          <w:color w:val="auto"/>
        </w:rPr>
        <w:t>(“GC”)</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from time to time (together, “</w:t>
      </w:r>
      <w:r>
        <w:rPr>
          <w:rFonts w:ascii="Times New Roman" w:cs="Times New Roman" w:eastAsia="Times New Roman" w:hAnsi="Times New Roman"/>
          <w:sz w:val="18"/>
          <w:szCs w:val="18"/>
          <w:u w:val="single" w:color="auto"/>
          <w:color w:val="auto"/>
        </w:rPr>
        <w:t>Company Personnel</w:t>
      </w:r>
      <w:r>
        <w:rPr>
          <w:rFonts w:ascii="Times New Roman" w:cs="Times New Roman" w:eastAsia="Times New Roman" w:hAnsi="Times New Roman"/>
          <w:sz w:val="18"/>
          <w:szCs w:val="18"/>
          <w:color w:val="auto"/>
        </w:rPr>
        <w:t>”) as well as their family members who reside with them, anyone else who lives in their household and any family members who do not live in their household but whose transactions in Company securities (as defined below) are directed by them or are subject to their influence or control (collectively, “</w:t>
      </w:r>
      <w:r>
        <w:rPr>
          <w:rFonts w:ascii="Times New Roman" w:cs="Times New Roman" w:eastAsia="Times New Roman" w:hAnsi="Times New Roman"/>
          <w:sz w:val="18"/>
          <w:szCs w:val="18"/>
          <w:u w:val="single" w:color="auto"/>
          <w:color w:val="auto"/>
        </w:rPr>
        <w:t>Family Members</w:t>
      </w:r>
      <w:r>
        <w:rPr>
          <w:rFonts w:ascii="Times New Roman" w:cs="Times New Roman" w:eastAsia="Times New Roman" w:hAnsi="Times New Roman"/>
          <w:sz w:val="18"/>
          <w:szCs w:val="18"/>
          <w:color w:val="auto"/>
        </w:rPr>
        <w:t>”), and corporations or other business entities controlled, influenced or managed by them or their Family Members, and trusts for which such persons are a trustee or in which they have a beneficial or pecuniary interest (collectively, “</w:t>
      </w:r>
      <w:r>
        <w:rPr>
          <w:rFonts w:ascii="Times New Roman" w:cs="Times New Roman" w:eastAsia="Times New Roman" w:hAnsi="Times New Roman"/>
          <w:sz w:val="18"/>
          <w:szCs w:val="18"/>
          <w:u w:val="single" w:color="auto"/>
          <w:color w:val="auto"/>
        </w:rPr>
        <w:t>Controlled Entities</w:t>
      </w:r>
      <w:r>
        <w:rPr>
          <w:rFonts w:ascii="Times New Roman" w:cs="Times New Roman" w:eastAsia="Times New Roman" w:hAnsi="Times New Roman"/>
          <w:sz w:val="18"/>
          <w:szCs w:val="18"/>
          <w:color w:val="auto"/>
        </w:rPr>
        <w:t>,” and together with Company Personnel and Family Members, “</w:t>
      </w:r>
      <w:r>
        <w:rPr>
          <w:rFonts w:ascii="Times New Roman" w:cs="Times New Roman" w:eastAsia="Times New Roman" w:hAnsi="Times New Roman"/>
          <w:sz w:val="18"/>
          <w:szCs w:val="18"/>
          <w:u w:val="single" w:color="auto"/>
          <w:color w:val="auto"/>
        </w:rPr>
        <w:t>Insiders</w:t>
      </w:r>
      <w:r>
        <w:rPr>
          <w:rFonts w:ascii="Times New Roman" w:cs="Times New Roman" w:eastAsia="Times New Roman" w:hAnsi="Times New Roman"/>
          <w:sz w:val="18"/>
          <w:szCs w:val="18"/>
          <w:color w:val="auto"/>
        </w:rPr>
        <w:t>”). Unless otherwise indicated, all references to “you” in this Policy should be read to include all of your Family Members and Controlled Entities.</w:t>
      </w:r>
    </w:p>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Which Securities Are Subject to this Policy</w:t>
      </w:r>
      <w:r>
        <w:rPr>
          <w:rFonts w:ascii="Times New Roman" w:cs="Times New Roman" w:eastAsia="Times New Roman" w:hAnsi="Times New Roman"/>
          <w:sz w:val="18"/>
          <w:szCs w:val="18"/>
          <w:color w:val="auto"/>
        </w:rPr>
        <w:t>. This Policy applies to transactions, whether direct or indirect, in the Company’s securities,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common stock, options to purchase common stock, restricted stock or restricted stock units or any other type of securities that Company may issue from time to time, including but not limited to preferred stock and convertible debentures, as well as derivative securities relating to the Company but that are not issued by the Company, such as exchange-traded put or call options or swaps relating to the Company’s securities (collectively, “</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Similarly, this Policy applies to all securities, including common stock, options to purchase common stock or any other type of securities, that are issued by a Company Counterparty (as defined below), as well as any derivative securities that are relating to the Company Counterparty but that are not issued by such Company Counterparty, such as puts, calls or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78308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340" w:hanging="332"/>
        <w:spacing w:after="0" w:line="210" w:lineRule="auto"/>
        <w:tabs>
          <w:tab w:leader="none" w:pos="340" w:val="left"/>
        </w:tabs>
        <w:numPr>
          <w:ilvl w:val="0"/>
          <w:numId w:val="2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At any time when the Company does not have an active GC, the duties and responsibilities assigned to the GC under this Policy shall be fulfilled by the Chief Financial Officer (“</w:t>
      </w:r>
      <w:r>
        <w:rPr>
          <w:rFonts w:ascii="Times New Roman" w:cs="Times New Roman" w:eastAsia="Times New Roman" w:hAnsi="Times New Roman"/>
          <w:sz w:val="18"/>
          <w:szCs w:val="18"/>
          <w:u w:val="single" w:color="auto"/>
          <w:color w:val="auto"/>
        </w:rPr>
        <w:t>CFO</w:t>
      </w:r>
      <w:r>
        <w:rPr>
          <w:rFonts w:ascii="Times New Roman" w:cs="Times New Roman" w:eastAsia="Times New Roman" w:hAnsi="Times New Roman"/>
          <w:sz w:val="18"/>
          <w:szCs w:val="18"/>
          <w:color w:val="auto"/>
        </w:rPr>
        <w:t>”). At any time when the Company does not have an active CFO, the duties and responsibilities assigned to the CFO under this Policy shall be fulfilled by the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5" w:name="page296"/>
    <w:bookmarkEnd w:id="295"/>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Application of this Policy to Company Counterparties</w:t>
      </w:r>
      <w:r>
        <w:rPr>
          <w:rFonts w:ascii="Times New Roman" w:cs="Times New Roman" w:eastAsia="Times New Roman" w:hAnsi="Times New Roman"/>
          <w:sz w:val="18"/>
          <w:szCs w:val="18"/>
          <w:color w:val="auto"/>
        </w:rPr>
        <w:t>. The principles discussed in this Policy also apply to nonpublic information that you obtain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course of your employment or other involvement with the Company about another public company with which the Company has a preexisting or prospective relationship, such as the Company’s customers, suppliers, contract research, manufacturing, licensing or other collaboration partners, companies in which the Company has an investment or a firm with which the Company is negotiating a major transaction, such as a joint venture, licensing transaction, collaboration arrangement or material acquisition or disposition (a “</w:t>
      </w:r>
      <w:r>
        <w:rPr>
          <w:rFonts w:ascii="Times New Roman" w:cs="Times New Roman" w:eastAsia="Times New Roman" w:hAnsi="Times New Roman"/>
          <w:sz w:val="18"/>
          <w:szCs w:val="18"/>
          <w:u w:val="single" w:color="auto"/>
          <w:color w:val="auto"/>
        </w:rPr>
        <w:t>Company Counterparty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Company Counterparties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 Exceptions. </w:t>
      </w:r>
      <w:r>
        <w:rPr>
          <w:rFonts w:ascii="Times New Roman" w:cs="Times New Roman" w:eastAsia="Times New Roman" w:hAnsi="Times New Roman"/>
          <w:sz w:val="18"/>
          <w:szCs w:val="18"/>
          <w:color w:val="auto"/>
        </w:rPr>
        <w:t>The prohibition against trading while in possession of MNPI is absolute and unconditional. The securities laws do not recognize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mitigating circumstances, and, in any event, even the appearance of an improper transaction must be avoided to preserve the Company’s reputation for adhering to high standards of conduct. There is no exception for small transactions or transactions that may seem necessary or justifiable for independent reasons, such as the need to raise money for an emergency expenditure.</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Individual Responsibility. </w:t>
      </w:r>
      <w:r>
        <w:rPr>
          <w:rFonts w:ascii="Times New Roman" w:cs="Times New Roman" w:eastAsia="Times New Roman" w:hAnsi="Times New Roman"/>
          <w:sz w:val="18"/>
          <w:szCs w:val="18"/>
          <w:color w:val="auto"/>
        </w:rPr>
        <w:t>You are responsible for ensuring that you (as well as your Family Members and Controlled Entities) do not violate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or state securities laws or this Policy. The Company has designed this Policy to promote compliance with the federal securities laws and to protect the Company and you from the serious liabilities and penalties that can result from violations of these laws.</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Consequences for Violating Insider Trading Laws. </w:t>
      </w:r>
      <w:r>
        <w:rPr>
          <w:rFonts w:ascii="Times New Roman" w:cs="Times New Roman" w:eastAsia="Times New Roman" w:hAnsi="Times New Roman"/>
          <w:sz w:val="18"/>
          <w:szCs w:val="18"/>
          <w:color w:val="auto"/>
        </w:rPr>
        <w:t>If you violate insider trading laws, you may have to pay civil fines for up to three times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 gained or loss avoided by such trading, as well as criminal fines of up to $5 million. You also may be subject to criminal charges and may have to serve a jail sentence of up to 20 years. In addition, the Company may face civil penalties up to the greater of $1 million, or three times the profit gained or loss avoided as a result of your insider trading violations, as well as criminal fines of up to $25 million. Both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and The Nasdaq Stock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are very effective at detecting and pursuing insider trading cases. The SEC has successfully prosecuted cases against employees trading through foreign accounts, trading by family members and friends and trading involving only a small number of shares. Therefore, it is important that you understand the breadth of activities that constitute illegal insider trading. This Policy sets out the Company’s policy in the area of insider trading and should be read carefully and complied with fully.</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Administrative Provisions</w:t>
      </w:r>
      <w:r>
        <w:rPr>
          <w:rFonts w:ascii="Times New Roman" w:cs="Times New Roman" w:eastAsia="Times New Roman" w:hAnsi="Times New Roman"/>
          <w:sz w:val="18"/>
          <w:szCs w:val="18"/>
          <w:color w:val="auto"/>
        </w:rPr>
        <w:t>. All Company Personnel will be required to certify their understanding of and intent to comply with this Policy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signing the Receipt and Acknowledgment attached hereto periodically. This Policy will be reviewed, evaluated and revised by the Company from time to time in light of regulatory changes, developments in the Company’s business and other factors.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96" w:name="page297"/>
    <w:bookmarkEnd w:id="296"/>
    <w:p>
      <w:pPr>
        <w:ind w:left="660" w:right="8440" w:hanging="652"/>
        <w:spacing w:after="0" w:line="531" w:lineRule="auto"/>
        <w:tabs>
          <w:tab w:leader="none" w:pos="242" w:val="left"/>
        </w:tabs>
        <w:numPr>
          <w:ilvl w:val="0"/>
          <w:numId w:val="2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POLICIES AND PROCEDURES A. Trading Policy</w:t>
      </w:r>
    </w:p>
    <w:p>
      <w:pPr>
        <w:spacing w:after="0" w:line="1" w:lineRule="exact"/>
        <w:rPr>
          <w:sz w:val="20"/>
          <w:szCs w:val="20"/>
          <w:color w:val="auto"/>
        </w:rPr>
      </w:pPr>
    </w:p>
    <w:p>
      <w:pPr>
        <w:ind w:firstLine="656"/>
        <w:spacing w:after="0" w:line="284" w:lineRule="auto"/>
        <w:tabs>
          <w:tab w:leader="none" w:pos="828"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Prohibition. </w:t>
      </w:r>
      <w:r>
        <w:rPr>
          <w:rFonts w:ascii="Times New Roman" w:cs="Times New Roman" w:eastAsia="Times New Roman" w:hAnsi="Times New Roman"/>
          <w:sz w:val="18"/>
          <w:szCs w:val="18"/>
          <w:color w:val="auto"/>
        </w:rPr>
        <w:t>You may not buy, sell, gift or otherwise transact in securities of the Company or a Company Counterparty when you are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possession of MNPI about that company.</w:t>
      </w:r>
    </w:p>
    <w:p>
      <w:pPr>
        <w:spacing w:after="0" w:line="158" w:lineRule="exact"/>
        <w:rPr>
          <w:rFonts w:ascii="Times New Roman" w:cs="Times New Roman" w:eastAsia="Times New Roman" w:hAnsi="Times New Roman"/>
          <w:sz w:val="18"/>
          <w:szCs w:val="18"/>
          <w:color w:val="auto"/>
        </w:rPr>
      </w:pPr>
    </w:p>
    <w:p>
      <w:pPr>
        <w:jc w:val="both"/>
        <w:ind w:firstLine="656"/>
        <w:spacing w:after="0" w:line="254" w:lineRule="auto"/>
        <w:tabs>
          <w:tab w:leader="none" w:pos="828"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Tipping. </w:t>
      </w:r>
      <w:r>
        <w:rPr>
          <w:rFonts w:ascii="Times New Roman" w:cs="Times New Roman" w:eastAsia="Times New Roman" w:hAnsi="Times New Roman"/>
          <w:sz w:val="18"/>
          <w:szCs w:val="18"/>
          <w:color w:val="auto"/>
        </w:rPr>
        <w:t>You may not convey MNPI about the Company or a Company Counterparty to anyone else, including family members. You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not suggest that anyone purchase or sell any company’s securities while you are aware of MNPI about that company. These practices, known as “tipping,” also violate U.S. securities laws and can result in the same civil and criminal penalties that apply if you engage in insider trading directly, even if you do not receive any money or derive any benefit from trades made by persons to whom you passed MNPI. This policy against “tipping” applies to information about the Company and its securities, as well as to information about Company Counterparties. Persons with whom you have a history, pattern or practice of sharing confidences—such as family members, close friends and financial and personal counselors—may be presumed to act on the basis of information known to you; therefore, special care should be taken so that MNPI is not disclosed to such persons. This policy does not restrict legitimate business communications on a “need to know” basis. MNPI, however, should not be disclosed to persons outside the Company unless you are specifically authorized to disclose such information and such disclosure is made in accordance with the Company’s policies regarding the protection or authorized external disclosure of information regarding the Company.</w:t>
      </w:r>
    </w:p>
    <w:p>
      <w:pPr>
        <w:spacing w:after="0" w:line="185" w:lineRule="exact"/>
        <w:rPr>
          <w:rFonts w:ascii="Times New Roman" w:cs="Times New Roman" w:eastAsia="Times New Roman" w:hAnsi="Times New Roman"/>
          <w:sz w:val="18"/>
          <w:szCs w:val="18"/>
          <w:color w:val="auto"/>
        </w:rPr>
      </w:pPr>
    </w:p>
    <w:p>
      <w:pPr>
        <w:jc w:val="both"/>
        <w:ind w:firstLine="656"/>
        <w:spacing w:after="0" w:line="257" w:lineRule="auto"/>
        <w:tabs>
          <w:tab w:leader="none" w:pos="828"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Speculative Trading. </w:t>
      </w:r>
      <w:r>
        <w:rPr>
          <w:rFonts w:ascii="Times New Roman" w:cs="Times New Roman" w:eastAsia="Times New Roman" w:hAnsi="Times New Roman"/>
          <w:sz w:val="18"/>
          <w:szCs w:val="18"/>
          <w:color w:val="auto"/>
        </w:rPr>
        <w:t>It is against Company policy for you to engage in speculative transactions in Company securities. As such, you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engage in: (a) short sales (selling Company securities you do not own); (b) transactions involving publicly traded options or other derivatives, such as trading in puts or calls with respect to Company securities; and (c) other hedging transactions (such as “cashless” collars, forward sales, equity swaps and other similar arrangements). Additionally, securities held in a margin account or pledged as collateral may be sold without your consent, if you fail to meet a margin call or if you default on a loan, and thus a margin or foreclosure sale may result in unlawful insider trading. Because of this danger, you are also prohibited from including Company securities in a margin account or pledging Company securities as collateral for a loan.</w:t>
      </w:r>
    </w:p>
    <w:p>
      <w:pPr>
        <w:spacing w:after="0" w:line="182" w:lineRule="exact"/>
        <w:rPr>
          <w:rFonts w:ascii="Times New Roman" w:cs="Times New Roman" w:eastAsia="Times New Roman" w:hAnsi="Times New Roman"/>
          <w:sz w:val="18"/>
          <w:szCs w:val="18"/>
          <w:color w:val="auto"/>
        </w:rPr>
      </w:pPr>
    </w:p>
    <w:p>
      <w:pPr>
        <w:ind w:right="20" w:firstLine="656"/>
        <w:spacing w:after="0" w:line="284" w:lineRule="auto"/>
        <w:tabs>
          <w:tab w:leader="none" w:pos="841"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Applying the Trading Policy. </w:t>
      </w:r>
      <w:r>
        <w:rPr>
          <w:rFonts w:ascii="Times New Roman" w:cs="Times New Roman" w:eastAsia="Times New Roman" w:hAnsi="Times New Roman"/>
          <w:sz w:val="18"/>
          <w:szCs w:val="18"/>
          <w:color w:val="auto"/>
        </w:rPr>
        <w:t>As stated above, these restrictions also apply to your Family Members and Controlled Entities. For purposes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Policy, references to “trading,” “transact” and “transactions” include, among other things:</w:t>
      </w:r>
    </w:p>
    <w:p>
      <w:pPr>
        <w:spacing w:after="0" w:line="160" w:lineRule="exact"/>
        <w:rPr>
          <w:sz w:val="20"/>
          <w:szCs w:val="20"/>
          <w:color w:val="auto"/>
        </w:rPr>
      </w:pPr>
    </w:p>
    <w:p>
      <w:pPr>
        <w:ind w:left="980" w:hanging="324"/>
        <w:spacing w:after="0"/>
        <w:tabs>
          <w:tab w:leader="none" w:pos="9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and/or sales of securities in public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obtained through the exercise of stock options or vesting of other equity awards granted by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gifts of securities;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securities to secure a loan.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Transactions in mutual funds that are invested in Company or Company Counterparty securities are not transactions subject to this Policy as long as (a) the Insider does not control the investment decisions on individual stocks within the fund and (b) Company or Company Counterparty securities do not represent a substantial portion of the assets of the fund.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7" w:name="page298"/>
    <w:bookmarkEnd w:id="297"/>
    <w:p>
      <w:pPr>
        <w:ind w:left="660"/>
        <w:spacing w:after="0"/>
        <w:rPr>
          <w:sz w:val="20"/>
          <w:szCs w:val="20"/>
          <w:color w:val="auto"/>
        </w:rPr>
      </w:pPr>
      <w:r>
        <w:rPr>
          <w:rFonts w:ascii="Times New Roman" w:cs="Times New Roman" w:eastAsia="Times New Roman" w:hAnsi="Times New Roman"/>
          <w:sz w:val="18"/>
          <w:szCs w:val="18"/>
          <w:color w:val="auto"/>
        </w:rPr>
        <w:t>In addition, transactions pursuant to a Rule 10b5-1 Trading Plan (as defined below) are subject to certain exceptions and requirements set forth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Insiders should consult the </w:t>
      </w:r>
      <w:r>
        <w:rPr>
          <w:rFonts w:ascii="Times New Roman" w:cs="Times New Roman" w:eastAsia="Times New Roman" w:hAnsi="Times New Roman"/>
          <w:sz w:val="18"/>
          <w:szCs w:val="18"/>
          <w:u w:val="single" w:color="auto"/>
          <w:color w:val="auto"/>
        </w:rPr>
        <w:t>GC</w:t>
      </w:r>
      <w:r>
        <w:rPr>
          <w:rFonts w:ascii="Times New Roman" w:cs="Times New Roman" w:eastAsia="Times New Roman" w:hAnsi="Times New Roman"/>
          <w:sz w:val="18"/>
          <w:szCs w:val="18"/>
          <w:color w:val="auto"/>
        </w:rPr>
        <w:t xml:space="preserve"> if they have any questions.</w:t>
      </w:r>
    </w:p>
    <w:p>
      <w:pPr>
        <w:spacing w:after="0" w:line="223" w:lineRule="exact"/>
        <w:rPr>
          <w:sz w:val="20"/>
          <w:szCs w:val="20"/>
          <w:color w:val="auto"/>
        </w:rPr>
      </w:pPr>
    </w:p>
    <w:p>
      <w:pPr>
        <w:jc w:val="both"/>
        <w:ind w:firstLine="656"/>
        <w:spacing w:after="0" w:line="261" w:lineRule="auto"/>
        <w:tabs>
          <w:tab w:leader="none" w:pos="841"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Company Transactions. </w:t>
      </w:r>
      <w:r>
        <w:rPr>
          <w:rFonts w:ascii="Times New Roman" w:cs="Times New Roman" w:eastAsia="Times New Roman" w:hAnsi="Times New Roman"/>
          <w:sz w:val="18"/>
          <w:szCs w:val="18"/>
          <w:color w:val="auto"/>
        </w:rPr>
        <w:t>From time to time, the Company may engage in transactions in its own securities. When engaging in transactions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securities, it is the Company’s policy to comply with all applicable securities laws and regulations and state corporate laws. This includes consultation, as appropriate, with the CEO, CFO, GC and outside counsel, and, if required or advisable, approval by the Board of Directors or appropriate board committee.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B. What is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Nonpublic Information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When is Information “Public”?</w:t>
      </w:r>
    </w:p>
    <w:p>
      <w:pPr>
        <w:spacing w:after="0" w:line="227" w:lineRule="exact"/>
        <w:rPr>
          <w:sz w:val="20"/>
          <w:szCs w:val="20"/>
          <w:color w:val="auto"/>
        </w:rPr>
      </w:pPr>
    </w:p>
    <w:p>
      <w:pPr>
        <w:ind w:left="1480" w:hanging="176"/>
        <w:spacing w:after="0"/>
        <w:tabs>
          <w:tab w:leader="none" w:pos="14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Material Information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Information is generally considered “material” if there is a likelihood a reasonable investor would consider such information important in making an investment decision to buy, hold or sell securities. Either positive or negative information may be material. There is no bright-line standard for assessing materiality; rather, materiality is based on an assessment of all of the facts and circumstances. The GC or other attorneys designated by the GC should be consulted and shall determine whether information is material, but, in general, any information that could reasonably be expected to affect the Company’s or a Company Counterparty’s stock price should be considered material. Depending on the circumstances, common examples of information that may be material include:</w:t>
      </w:r>
    </w:p>
    <w:p>
      <w:pPr>
        <w:spacing w:after="0" w:line="187" w:lineRule="exact"/>
        <w:rPr>
          <w:sz w:val="20"/>
          <w:szCs w:val="20"/>
          <w:color w:val="auto"/>
        </w:rPr>
      </w:pPr>
    </w:p>
    <w:p>
      <w:pPr>
        <w:ind w:left="1300" w:hanging="644"/>
        <w:spacing w:after="0"/>
        <w:tabs>
          <w:tab w:leader="none" w:pos="130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 product or product candidate developments, innovations or discoveries (including new targets and new indications);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U.S. Food and Drug Administration, European Medicines Agency or other regulatory action;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data or significant interactions, filings, approval or rulings by a regulatory agency relating to the Company or a Company product;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enrollment status and results (including interim results) and status of pre-clinical or clinical studies;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intellectual property status, including patent filings, issuances or potential interference and infringement proceedings;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research or business strategies;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operating results, estimates, forecasts and projections, including earnings, cash runway, revenue or similar financial information;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8" w:name="page299"/>
    <w:bookmarkEnd w:id="298"/>
    <w:p>
      <w:pPr>
        <w:ind w:left="644" w:hanging="644"/>
        <w:spacing w:after="0"/>
        <w:tabs>
          <w:tab w:leader="none" w:pos="64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unpublished financial reports or projections, including knowledge of changes of research analyst views or ratings;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borrowing or liquidity problems;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control or sale of all or part of the Company’s business, including potential partnerships;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directors, senior management or auditors;</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current, proposed or contemplated transactions, business plans, financial restructurings, acquisition targets or significant expansions or contractions of operations;</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dividend policies, the declaration of a stock split or the proposed or contemplated issuance, redemption or repurchase of securities;</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or private debt or equity offerings;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negotiations regarding an important license, distribution agreement, joint venture or collaboration agreement;</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defaults under agreements or actions by creditors, clients or suppliers relating to the Company’s credit rating;</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major contracts;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or loss of a significant customer or supplier;</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product pricing or reimbursement changes;</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cybersecurity incidents, events or risks that affect the Company or third-party providers that support the Company’s business operations, including computer system or network compromises, viruses or other destructive software, and data breach incidents that may disclose personal, business or other confidential information;</w:t>
      </w:r>
    </w:p>
    <w:p>
      <w:pPr>
        <w:spacing w:after="0" w:line="17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financial problems such as impending bankruptcy or liquidity problems;</w:t>
      </w:r>
    </w:p>
    <w:p>
      <w:pPr>
        <w:spacing w:after="0" w:line="22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production or other aspects of a company’s business as a result of an accident, fire, natural disaster, public health emergency or breakdown of labor negotiations;</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environmental incidents;</w:t>
      </w:r>
    </w:p>
    <w:p>
      <w:pPr>
        <w:spacing w:after="0" w:line="200" w:lineRule="exact"/>
        <w:rPr>
          <w:sz w:val="20"/>
          <w:szCs w:val="20"/>
          <w:color w:val="auto"/>
        </w:rPr>
      </w:pPr>
    </w:p>
    <w:p>
      <w:pPr>
        <w:spacing w:after="0" w:line="24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99" w:name="page300"/>
    <w:bookmarkEnd w:id="299"/>
    <w:p>
      <w:pPr>
        <w:ind w:left="1300" w:hanging="644"/>
        <w:spacing w:after="0"/>
        <w:tabs>
          <w:tab w:leader="none" w:pos="130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 of, or developments in, major actual or threatened litigation, investigations or regulatory actions or proceedings;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Company affiliates and Company Counterparties;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 trading “blackout” by the Company on transactions in Company securities or the securities of a Company Counterparty.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Federal and Nasdaq investigators will scrutinize a questionable trade after the fact with the benefit of hindsight, so you should always err on the side of deciding that the information is material and not trade. The mere fact that a person is aware of MNPI is a bar to trading. It is no excuse that such person’s reasons for trading were not based on the MNPI. If you have questions regarding specific transactions, please contact the GC.</w:t>
      </w:r>
    </w:p>
    <w:p>
      <w:pPr>
        <w:spacing w:after="0" w:line="174" w:lineRule="exact"/>
        <w:rPr>
          <w:sz w:val="20"/>
          <w:szCs w:val="20"/>
          <w:color w:val="auto"/>
        </w:rPr>
      </w:pPr>
    </w:p>
    <w:p>
      <w:pPr>
        <w:ind w:left="1480" w:hanging="176"/>
        <w:spacing w:after="0"/>
        <w:tabs>
          <w:tab w:leader="none" w:pos="14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Nonpublic Information</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Nonpublic information is information that is not generally known by or available to the public. We consider information to be available to the public only when:</w:t>
      </w:r>
    </w:p>
    <w:p>
      <w:pPr>
        <w:spacing w:after="0" w:line="162" w:lineRule="exact"/>
        <w:rPr>
          <w:sz w:val="20"/>
          <w:szCs w:val="20"/>
          <w:color w:val="auto"/>
        </w:rPr>
      </w:pPr>
    </w:p>
    <w:p>
      <w:pPr>
        <w:ind w:left="1300" w:hanging="644"/>
        <w:spacing w:after="0" w:line="282" w:lineRule="auto"/>
        <w:tabs>
          <w:tab w:leader="none" w:pos="13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released to the public by the Company through appropriate channels (e.g., by means of a press release, a filing with the SEC or a widely disseminated statement from a senior officer);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enough time has elapsed to permit the investment market to absorb and evaluate the information. As a general rule, you should consider information to be nonpublic until two full trading days have lapsed following the time of public disclosure.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fact that rumors, speculation or statements attributed to unidentified sources are public is insufficient to be considered “generally available to the public” even when the information is accurate.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 Unauthorized Disclosure; Prohibition on Certain Public Speaking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Company Personnel must maintain the confidentiality of Company information for competitive, security and other business reasons, as well as to comply with securities laws. All information you learn about the Company or its business plans is potentially nonpublic information until it is publicly disclosed. You should treat this information as confidential and proprietary to the Company. You may not disclose it to others, such as Family Members, other relatives or business or social acquaintances.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you are prohibited from participating as an “expert,” consultant, advisor and/or in any capacity for an “expert network” and/or any other outside firm that compensates individuals for speaking with investors and other investment professionals. This prohibition is designed to protect the Company, its stockholders and you. Indeed, United States criminal authorities and the SEC have prosecuted numerous public company employees who received monetary compensation by expert networks to speak with investors and disclose confidential company information that investors then used for trading purposes.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0" w:name="page301"/>
    <w:bookmarkEnd w:id="30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Legal rules govern the timing and nature of our disclosure of material information to outsiders or the public. Violation of these rules could result in substantial liability for you, the Company and its management. For this reason, we permit only specifically designated representatives of the Company to discuss the Company with the news media, securities analysts and investors and only in accordance with the Company’s Policy On Public Disclosures And Communications With The Investment Community. If you receive inquiries of this nature, refer them to the CEO.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 When and How to Trade Company Stock</w:t>
      </w:r>
    </w:p>
    <w:p>
      <w:pPr>
        <w:spacing w:after="0" w:line="227" w:lineRule="exact"/>
        <w:rPr>
          <w:sz w:val="20"/>
          <w:szCs w:val="20"/>
          <w:color w:val="auto"/>
        </w:rPr>
      </w:pPr>
    </w:p>
    <w:p>
      <w:pPr>
        <w:ind w:left="1480" w:hanging="176"/>
        <w:spacing w:after="0"/>
        <w:tabs>
          <w:tab w:leader="none" w:pos="14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Directors, officers, as defined in Rule 16a-1(f)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(such officers, “</w:t>
      </w:r>
      <w:r>
        <w:rPr>
          <w:rFonts w:ascii="Times New Roman" w:cs="Times New Roman" w:eastAsia="Times New Roman" w:hAnsi="Times New Roman"/>
          <w:sz w:val="18"/>
          <w:szCs w:val="18"/>
          <w:u w:val="single" w:color="auto"/>
          <w:color w:val="auto"/>
        </w:rPr>
        <w:t>Section 16 Officers</w:t>
      </w:r>
      <w:r>
        <w:rPr>
          <w:rFonts w:ascii="Times New Roman" w:cs="Times New Roman" w:eastAsia="Times New Roman" w:hAnsi="Times New Roman"/>
          <w:sz w:val="18"/>
          <w:szCs w:val="18"/>
          <w:color w:val="auto"/>
        </w:rPr>
        <w:t>”, and together with directors, “</w:t>
      </w:r>
      <w:r>
        <w:rPr>
          <w:rFonts w:ascii="Times New Roman" w:cs="Times New Roman" w:eastAsia="Times New Roman" w:hAnsi="Times New Roman"/>
          <w:sz w:val="18"/>
          <w:szCs w:val="18"/>
          <w:u w:val="single" w:color="auto"/>
          <w:color w:val="auto"/>
        </w:rPr>
        <w:t>Section 16 Persons</w:t>
      </w:r>
      <w:r>
        <w:rPr>
          <w:rFonts w:ascii="Times New Roman" w:cs="Times New Roman" w:eastAsia="Times New Roman" w:hAnsi="Times New Roman"/>
          <w:sz w:val="18"/>
          <w:szCs w:val="18"/>
          <w:color w:val="auto"/>
        </w:rPr>
        <w:t>”), and certain other employees, contractors and consultants who are so designated by the GC from time to time (such designated employees, contractors and consultants, together with Section 16 Persons, and each of their respective Family Members and Controlled Entities, “</w:t>
      </w:r>
      <w:r>
        <w:rPr>
          <w:rFonts w:ascii="Times New Roman" w:cs="Times New Roman" w:eastAsia="Times New Roman" w:hAnsi="Times New Roman"/>
          <w:sz w:val="18"/>
          <w:szCs w:val="18"/>
          <w:u w:val="single" w:color="auto"/>
          <w:color w:val="auto"/>
        </w:rPr>
        <w:t>Restricted Persons</w:t>
      </w:r>
      <w:r>
        <w:rPr>
          <w:rFonts w:ascii="Times New Roman" w:cs="Times New Roman" w:eastAsia="Times New Roman" w:hAnsi="Times New Roman"/>
          <w:sz w:val="18"/>
          <w:szCs w:val="18"/>
          <w:color w:val="auto"/>
        </w:rPr>
        <w:t>”) are for purposes of this Policy required to comply with the restrictions covered below. Even if you are not a Restricted Person, however, following the procedures listed below may assist you in complying with this Policy.</w:t>
      </w:r>
    </w:p>
    <w:p>
      <w:pPr>
        <w:spacing w:after="0" w:line="181" w:lineRule="exact"/>
        <w:rPr>
          <w:sz w:val="20"/>
          <w:szCs w:val="20"/>
          <w:color w:val="auto"/>
        </w:rPr>
      </w:pPr>
    </w:p>
    <w:p>
      <w:pPr>
        <w:ind w:left="1480" w:hanging="176"/>
        <w:spacing w:after="0"/>
        <w:tabs>
          <w:tab w:leader="none" w:pos="14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Blackout Periods</w:t>
      </w:r>
    </w:p>
    <w:p>
      <w:pPr>
        <w:spacing w:after="0" w:line="22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color w:val="auto"/>
        </w:rPr>
        <w:t>From time to time, due to certain developments (such as a significant event or transaction) during which there may exist MNPI about the Company or a Company Counterparty, the Company may implement special blackout periods during which the Company may notify particular individuals that they should not transact in Company securities or the securities of a Company Counterparty, as applicable (subject to the exceptions set forth in Section II.D.4 or pursuant to an approved Rule 10b5-1 Trading Plan pursuant to Section II.E). If you are subject to a special blackout period, you should not trade in the applicable company’s securities during such time and you should not disclose to others the fact that you are prohibited from trading, as the existence of a special blackout period may, itself, be deemed MNPI. These special blackout periods, which may vary in length, will be determined by the GC and be communicated to the appropriate personnel via e-mail. Termination of a blackout period will also be communicated to the appropriate personnel via e-mail.</w:t>
      </w:r>
    </w:p>
    <w:p>
      <w:pPr>
        <w:spacing w:after="0" w:line="16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However, it is not the Company’s policy to impose special blackout periods every time that MNPI exists or every time that an Insider may be in the possession of MNPI. Thus, the absence of a special blackout period should not be interpreted as permission to trade. In addition, if you are subject to the Company’s pre-clearance policy (described below), you must pre-clear transactions even if you initiate them while a blackout period is not in place.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Even if a special blackout period is in place, you may exercise Company stock options if no shares are to be sold – you may not, however, effect sales of stock issued upon the exercise of stock options (including same-day sales and cashless exercises). Generally, all pending purchase and sale orders regarding Company securities must be executed or cancelled before a special blackout period is implemented so as to avoid any transactions during such period.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1" w:name="page302"/>
    <w:bookmarkEnd w:id="30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light of these restrictions, if you expect a need to sell Company stock at a specific time in the future, including executing sales to satisfy tax withholding obligations in connection with the exercise of stock options, vesting of restricted stock or settlement of restricted stock units in the future, you may wish to consider entering into a prearranged Rule 10b5-1 Trading Plan (as discussed below).</w:t>
      </w:r>
    </w:p>
    <w:p>
      <w:pPr>
        <w:spacing w:after="0" w:line="174" w:lineRule="exact"/>
        <w:rPr>
          <w:sz w:val="20"/>
          <w:szCs w:val="20"/>
          <w:color w:val="auto"/>
        </w:rPr>
      </w:pPr>
    </w:p>
    <w:p>
      <w:pPr>
        <w:ind w:left="1480" w:hanging="176"/>
        <w:spacing w:after="0"/>
        <w:tabs>
          <w:tab w:leader="none" w:pos="14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Pre-clearance</w:t>
      </w:r>
    </w:p>
    <w:p>
      <w:pPr>
        <w:spacing w:after="0" w:line="23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7"/>
          <w:szCs w:val="17"/>
          <w:color w:val="auto"/>
        </w:rPr>
        <w:t>The Company requires all Restricted Persons to contact the GC</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 xml:space="preserve"> in advance of effecting any purchase, sale, gift or other trading of Company securities and to obtain prior approval of the transaction, other than transactions made under an approved Rule 10b5-1 Trading Plan pursuant to Section II.E</w:t>
      </w:r>
    </w:p>
    <w:p>
      <w:pPr>
        <w:spacing w:after="0" w:line="2"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below. All requests must be submitted to the GC at least two business days in advance of the proposed transaction.</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pre-clearance policy applies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Restricted Persons even if they are initiating a transaction while a blackout period is not in place.</w:t>
      </w:r>
    </w:p>
    <w:p>
      <w:pPr>
        <w:spacing w:after="0" w:line="20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transaction is approved under the pre-clearance policy, the transaction must be executed during the cleared trading period approved by the GC (not to exceed five (5) trading days), but regardless may not be executed if you acquire MNPI concerning the Company during that time. If a transaction is not completed within the period described above, the transaction must be approved again before it may be executed.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proposed transaction is not approved under the pre-clearance policy, you may not transact in Company securities, and you should not inform anyone within or outside of the Company of the restriction. For the avoidance of doubt, there should be no presumption that the GC will grant any or all pre-clearance requests and there shall be no obligation to inform a Restricted Person of the reasons for any request approval or denial. Any transaction under a Rule 10b5-1 Trading Plan will not require pre-clearance at the time of the transaction, but the adoption, amendment, modification or termination of any such Rule 10b5-1 Trading Plan is subject to the pre-clearance and other restrictions set forth in Section II.E and Appendix A, “Guidelines for Rule 10b5-1 Trading Plans” below.</w:t>
      </w:r>
    </w:p>
    <w:p>
      <w:pPr>
        <w:spacing w:after="0" w:line="185" w:lineRule="exact"/>
        <w:rPr>
          <w:sz w:val="20"/>
          <w:szCs w:val="20"/>
          <w:color w:val="auto"/>
        </w:rPr>
      </w:pPr>
    </w:p>
    <w:p>
      <w:pPr>
        <w:ind w:left="1480" w:hanging="176"/>
        <w:spacing w:after="0"/>
        <w:tabs>
          <w:tab w:leader="none" w:pos="14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Exceptions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restrictions contained in this Policy shall not apply to:</w:t>
      </w:r>
    </w:p>
    <w:p>
      <w:pPr>
        <w:spacing w:after="0" w:line="225" w:lineRule="exact"/>
        <w:rPr>
          <w:sz w:val="20"/>
          <w:szCs w:val="20"/>
          <w:color w:val="auto"/>
        </w:rPr>
      </w:pPr>
    </w:p>
    <w:p>
      <w:pPr>
        <w:ind w:left="980" w:hanging="324"/>
        <w:spacing w:after="0" w:line="282" w:lineRule="auto"/>
        <w:tabs>
          <w:tab w:leader="none" w:pos="9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Company stock options if (a) no shares are to be sold to third parties or (b) there is only a “net exercise” (defined as the Company withholding shares to satisfy your tax obligations or to cover the exercise price or equivalent);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to cover” transactions involving a sale of shares of common stock directed by the Company in its sole discretion in order to cover the Company’s or such individual’s or entity’s withholding tax obligations in connection with the grant, vesting or settlement of equity awards pursuant to the Company’s equity incentive plans and agreements, for example, from the vesting or settlement of restricted stock units under such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9" w:lineRule="exact"/>
        <w:rPr>
          <w:sz w:val="20"/>
          <w:szCs w:val="20"/>
          <w:color w:val="auto"/>
        </w:rPr>
      </w:pPr>
    </w:p>
    <w:p>
      <w:pPr>
        <w:ind w:left="340" w:hanging="332"/>
        <w:spacing w:after="0"/>
        <w:tabs>
          <w:tab w:leader="none" w:pos="340" w:val="left"/>
        </w:tabs>
        <w:numPr>
          <w:ilvl w:val="0"/>
          <w:numId w:val="27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the purposes of this Section D.3, GC includes a person delegated authority by the GC to pre-clear trades.</w:t>
      </w:r>
    </w:p>
    <w:p>
      <w:pPr>
        <w:spacing w:after="0" w:line="198" w:lineRule="exact"/>
        <w:rPr>
          <w:sz w:val="20"/>
          <w:szCs w:val="20"/>
          <w:color w:val="auto"/>
        </w:rPr>
      </w:pPr>
    </w:p>
    <w:p>
      <w:pPr>
        <w:ind w:left="340" w:right="20" w:hanging="332"/>
        <w:spacing w:after="0" w:line="195" w:lineRule="auto"/>
        <w:tabs>
          <w:tab w:leader="none" w:pos="340" w:val="left"/>
        </w:tabs>
        <w:numPr>
          <w:ilvl w:val="0"/>
          <w:numId w:val="27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Transactions by the GC (or the GC’s Family Members and Controlled Entities) are required to be approved in advance by the Chief Executive Officer (“</w:t>
      </w:r>
      <w:r>
        <w:rPr>
          <w:rFonts w:ascii="Times New Roman" w:cs="Times New Roman" w:eastAsia="Times New Roman" w:hAnsi="Times New Roman"/>
          <w:sz w:val="18"/>
          <w:szCs w:val="18"/>
          <w:u w:val="single" w:color="auto"/>
          <w:color w:val="auto"/>
        </w:rPr>
        <w:t>CEO</w:t>
      </w:r>
      <w:r>
        <w:rPr>
          <w:rFonts w:ascii="Times New Roman" w:cs="Times New Roman" w:eastAsia="Times New Roman" w:hAnsi="Times New Roman"/>
          <w:sz w:val="18"/>
          <w:szCs w:val="18"/>
          <w:color w:val="auto"/>
        </w:rPr>
        <w:t>”) or CFO.</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2" w:name="page303"/>
    <w:bookmarkEnd w:id="302"/>
    <w:p>
      <w:pPr>
        <w:ind w:left="980" w:hanging="324"/>
        <w:spacing w:after="0"/>
        <w:tabs>
          <w:tab w:leader="none" w:pos="9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Company stock options, restricted stock, restricted stock units or other equity incentive awards according to their terms;</w:t>
      </w:r>
    </w:p>
    <w:p>
      <w:pPr>
        <w:spacing w:after="0" w:line="22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withholding of shares to satisfy the exercise price or a tax withholding obligation upon the grant, vesting or settlement of equity awards pursuant to the Company’s equity incentive plans and agreements, for example, from the vesting or settlement of restricted stock units under such plans;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shares through the Company’s Employee Stock Purchase Plan in accordance with your pre-established participation elections;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transferring shares to an entity that does not involve a change in the beneficial ownership of the shares (for example, transferring shares from one brokerage account to another brokerage account that you control);</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Company securities as a selling stockholder in a registered public offering, including a “synthetic secondary” offering, in accordance with applicable securities laws; or</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purchase of Company securities from the Company or sale of Company securities to the Company in accordance with applicable securities and state laws.</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To the extent applicable and such elections are permitted, your elections regarding (1) participation in “net exercise” or “sell to cover” transactions or (2) participation in or an increase in contributions to the Company’s Employee Stock Purchase Plan, in each case, including changes from any defaults established by the Company, may only be made when you are not subject to a blackout period and are not in possession of MNPI.</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 Rule 10b5-1 Trading Plans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Rule 10b5-1 under the Exchange Act provides an affirmative defense from insider trading liability if trades occur pursuant to a pre-arranged trading plan that meets specified conditions (a “</w:t>
      </w:r>
      <w:r>
        <w:rPr>
          <w:rFonts w:ascii="Times New Roman" w:cs="Times New Roman" w:eastAsia="Times New Roman" w:hAnsi="Times New Roman"/>
          <w:sz w:val="18"/>
          <w:szCs w:val="18"/>
          <w:u w:val="single" w:color="auto"/>
          <w:color w:val="auto"/>
        </w:rPr>
        <w:t>Rule 10b5-1 Trading Plan</w:t>
      </w:r>
      <w:r>
        <w:rPr>
          <w:rFonts w:ascii="Times New Roman" w:cs="Times New Roman" w:eastAsia="Times New Roman" w:hAnsi="Times New Roman"/>
          <w:sz w:val="18"/>
          <w:szCs w:val="18"/>
          <w:color w:val="auto"/>
        </w:rPr>
        <w:t>”). A Rule 10b5-1 Trading Plan is a written trading plan between you and your broker and must either specify the number of securities to be bought or sold, along with the price and the date, or provide a written formula for determining this information. Alternatively, such Rule 10b5-1 Trading Plan can delegate investment discretion to a third party, such as a broker, who then makes trading decisions without further input from the person implementing the plan. A Rule 10b5-1 Trading Plan must be established at a time when you are not aware of any MNPI and must not permit you to exercise any subsequent control or influence over how, when or whether the purchases or sales are made. Under this Policy, the adoption, amendment, modification or termination of a Rule 10b5-1 Trading Plan must meet the requirements set forth in Appendix A, “Guidelines for Rule 10b5-1 Trading Plans,” including applicable pre-clearance procedures.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the SEC rules on trading plans are complex, you should consult with your broker and be sure you fully understand the limitations and conditions of the rules before you establish a Rule 10b5-1 Trading Plan (or a transaction that is intended to constitute a “non-Rule 10b5-1 trading arrangement” within the meaning of SEC rules).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 Noncompliance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Anyone subject to this Policy who fails to comply with this Policy will be subject to appropriate disciplinary action, up to and including termination of employment.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 Post-Termination Transactions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Policy, other than the pre-clearance provisions, will continue to apply to your transactions in Company securities after your employment or service with the Company has terminated until such time as you are no longer aware of MNPI or until that information has been publicly disclosed or is no longer material.</w:t>
      </w:r>
    </w:p>
    <w:p>
      <w:pPr>
        <w:spacing w:after="0" w:line="17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i w:val="1"/>
          <w:iCs w:val="1"/>
          <w:color w:val="auto"/>
        </w:rPr>
        <w:t>Questions about this Policy should be directed to the GC.</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3" w:name="page304"/>
    <w:bookmarkEnd w:id="303"/>
    <w:p>
      <w:pPr>
        <w:jc w:val="center"/>
        <w:spacing w:after="0"/>
        <w:rPr>
          <w:sz w:val="20"/>
          <w:szCs w:val="20"/>
          <w:color w:val="auto"/>
        </w:rPr>
      </w:pPr>
      <w:r>
        <w:rPr>
          <w:rFonts w:ascii="Times New Roman" w:cs="Times New Roman" w:eastAsia="Times New Roman" w:hAnsi="Times New Roman"/>
          <w:sz w:val="18"/>
          <w:szCs w:val="18"/>
          <w:b w:val="1"/>
          <w:bCs w:val="1"/>
          <w:color w:val="auto"/>
        </w:rPr>
        <w:t>RECEIPT AND ACKNOWLEDGMENT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________________________________, hereby acknowledge that I have received and read a copy of the Oruka Therapeutics, Inc. Insider Trading Policy</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I agree to comply with this Policy and certify that I will communicate with all members of my household to inform them of the obligations in this Policy that apply to them. I understand that violation of SEC regulations may subject me to severe civil and/or criminal penalties, and that violation of this Policy may subject me to discipline by Oruka Therapeutics, Inc. up to and including termination for cause.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w:t>
            </w:r>
          </w:p>
        </w:tc>
        <w:tc>
          <w:tcPr>
            <w:tcW w:w="2120" w:type="dxa"/>
            <w:vAlign w:val="bottom"/>
            <w:tcBorders>
              <w:top w:val="single" w:sz="8" w:color="auto"/>
            </w:tcBorders>
          </w:tcPr>
          <w:p>
            <w:pPr>
              <w:spacing w:after="0"/>
              <w:rPr>
                <w:sz w:val="22"/>
                <w:szCs w:val="22"/>
                <w:color w:val="auto"/>
              </w:rPr>
            </w:pPr>
          </w:p>
        </w:tc>
        <w:tc>
          <w:tcPr>
            <w:tcW w:w="2260" w:type="dxa"/>
            <w:vAlign w:val="bottom"/>
          </w:tcPr>
          <w:p>
            <w:pPr>
              <w:spacing w:after="0"/>
              <w:rPr>
                <w:sz w:val="22"/>
                <w:szCs w:val="22"/>
                <w:color w:val="auto"/>
              </w:rPr>
            </w:pPr>
          </w:p>
        </w:tc>
        <w:tc>
          <w:tcPr>
            <w:tcW w:w="4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414"/>
        </w:trPr>
        <w:tc>
          <w:tcPr>
            <w:tcW w:w="2380" w:type="dxa"/>
            <w:vAlign w:val="bottom"/>
          </w:tcPr>
          <w:p>
            <w:pPr>
              <w:spacing w:after="0"/>
              <w:rPr>
                <w:sz w:val="24"/>
                <w:szCs w:val="24"/>
                <w:color w:val="auto"/>
              </w:rPr>
            </w:pPr>
          </w:p>
        </w:tc>
        <w:tc>
          <w:tcPr>
            <w:tcW w:w="886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[RECEIPT AND ACKNOWLEDGMENT]</w:t>
            </w:r>
          </w:p>
        </w:tc>
      </w:tr>
      <w:tr>
        <w:trPr>
          <w:trHeight w:val="682"/>
        </w:trPr>
        <w:tc>
          <w:tcPr>
            <w:tcW w:w="23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04" w:name="page305"/>
    <w:bookmarkEnd w:id="30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Oruka Therapeutics, Inc. Guidelines for Rule 10b5-1 Trading Plans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discussed in the Policy, Rule 10b5-1 under the Exchange Act provides an affirmative defense from insider trading liability. In order to be eligible to rely on this affirmative defense, you must enter into a Rule 10b5-1 Trading Plan for transactions in Company securities that meets certain conditions specified in Rule 10b5-1, including the guidelines set forth below. These guidelines generally do not apply to any transactions that are intended to constitute “non-Rule 10b5-1 trading arrangements” within the meaning of SEC rules. Capitalized terms used in these guidelines without definition have the meaning set forth in the Policy.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These guidelines are in addition to, and not in lieu of, the requirements and conditions of Rule 10b5-1. The GC will interpret and administer these guidelines for compliance with Rule 10b5-1 and the Policy. No personal legal or financial advice is being provided by the GC or other members of the Company regarding any Rule 10b5-1 Trading Plan or proposed trades. You remain ultimately responsible for ensuring that your Rule 10b5-1 Trading Plans and contemplated transactions fully comply with applicable securities laws. It is recommended that you consult with your own attorney or other advisor about any contemplated Rule 10b5-1 Trading Plan. </w:t>
      </w:r>
      <w:r>
        <w:rPr>
          <w:rFonts w:ascii="Times New Roman" w:cs="Times New Roman" w:eastAsia="Times New Roman" w:hAnsi="Times New Roman"/>
          <w:sz w:val="18"/>
          <w:szCs w:val="18"/>
          <w:b w:val="1"/>
          <w:bCs w:val="1"/>
          <w:color w:val="auto"/>
        </w:rPr>
        <w:t>Note that for any Section 16 Persons, the Company is required to disclose the material terms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his or her (and any Family Members’ and Controlled Entities’) Rule 10b5-1 Trading Plan, other than with respect to price, in its periodic report for the quarter in which the Rule 10b5-1 Trading Plan is adopted or terminated or modified (as described below).</w:t>
      </w:r>
    </w:p>
    <w:p>
      <w:pPr>
        <w:spacing w:after="0" w:line="185" w:lineRule="exact"/>
        <w:rPr>
          <w:sz w:val="20"/>
          <w:szCs w:val="20"/>
          <w:color w:val="auto"/>
        </w:rPr>
      </w:pPr>
    </w:p>
    <w:p>
      <w:pPr>
        <w:jc w:val="both"/>
        <w:ind w:left="660" w:hanging="328"/>
        <w:spacing w:after="0" w:line="268" w:lineRule="auto"/>
        <w:tabs>
          <w:tab w:leader="none" w:pos="660" w:val="left"/>
        </w:tabs>
        <w:numPr>
          <w:ilvl w:val="0"/>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Pre-Clearance Requirement. </w:t>
      </w:r>
      <w:r>
        <w:rPr>
          <w:rFonts w:ascii="Times New Roman" w:cs="Times New Roman" w:eastAsia="Times New Roman" w:hAnsi="Times New Roman"/>
          <w:sz w:val="18"/>
          <w:szCs w:val="18"/>
          <w:color w:val="auto"/>
        </w:rPr>
        <w:t>The Rule 10b5-1 Trading Plan must be submitted for pre-approval in advance to the GC (or, in the case of the GC,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CEO or CFO) at least five trading days prior to the entry into the plan in accordance with the procedures set forth in the Policy and these guidelines. The Company may require that you use a standardized form of Rule 10b5-1 Trading Plan.</w:t>
      </w:r>
    </w:p>
    <w:p>
      <w:pPr>
        <w:spacing w:after="0" w:line="170"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Time of Adoption. </w:t>
      </w:r>
      <w:r>
        <w:rPr>
          <w:rFonts w:ascii="Times New Roman" w:cs="Times New Roman" w:eastAsia="Times New Roman" w:hAnsi="Times New Roman"/>
          <w:sz w:val="18"/>
          <w:szCs w:val="18"/>
          <w:color w:val="auto"/>
        </w:rPr>
        <w:t>Subject to pre-clearance requirements described above, the Rule 10b5-1 Trading Plan must be adopted at a time:</w:t>
      </w:r>
    </w:p>
    <w:p>
      <w:pPr>
        <w:spacing w:after="0" w:line="256"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you are not aware of any MNPI; and</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you are not subject to a blackout period.</w:t>
      </w:r>
    </w:p>
    <w:p>
      <w:pPr>
        <w:spacing w:after="0" w:line="2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Instructions. </w:t>
      </w:r>
      <w:r>
        <w:rPr>
          <w:rFonts w:ascii="Times New Roman" w:cs="Times New Roman" w:eastAsia="Times New Roman" w:hAnsi="Times New Roman"/>
          <w:sz w:val="18"/>
          <w:szCs w:val="18"/>
          <w:color w:val="auto"/>
        </w:rPr>
        <w:t>Any Rule 10b5-1 Trading Plan must be in writing, signed and either:</w:t>
      </w:r>
    </w:p>
    <w:p>
      <w:pPr>
        <w:spacing w:after="0" w:line="256"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amount, price and date of the sales (or purchases) of Company securities to be effected;</w:t>
      </w:r>
    </w:p>
    <w:p>
      <w:pPr>
        <w:spacing w:after="0" w:line="25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formula, algorithm or computer program for determining when to sell (or purchase) the Company’s securities, the quantity to sell (or purchase) and the price; or</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decision-making authority with regard to these transactions to a broker or other agent without any MNPI about the Company or its securities.</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For the avoidance of doubt, you may not subsequently influence how, when or whether to effect purchases or sales with respect to the securities subject to an approved and adopted Rule 10b5-1 Trading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5" w:name="page306"/>
    <w:bookmarkEnd w:id="305"/>
    <w:p>
      <w:pPr>
        <w:ind w:left="328" w:hanging="328"/>
        <w:spacing w:after="0" w:line="286" w:lineRule="auto"/>
        <w:tabs>
          <w:tab w:leader="none" w:pos="328" w:val="left"/>
        </w:tabs>
        <w:numPr>
          <w:ilvl w:val="0"/>
          <w:numId w:val="2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Hedging. </w:t>
      </w:r>
      <w:r>
        <w:rPr>
          <w:rFonts w:ascii="Times New Roman" w:cs="Times New Roman" w:eastAsia="Times New Roman" w:hAnsi="Times New Roman"/>
          <w:sz w:val="18"/>
          <w:szCs w:val="18"/>
          <w:color w:val="auto"/>
        </w:rPr>
        <w:t>You may not have entered into or alter a corresponding or hedging transaction or position with respect to the securities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10b5-1 Trading Plan and must agree not to enter into any such transaction while the Rule 10b5-1 Trading Plan is in effect.</w:t>
      </w:r>
    </w:p>
    <w:p>
      <w:pPr>
        <w:spacing w:after="0" w:line="154" w:lineRule="exact"/>
        <w:rPr>
          <w:rFonts w:ascii="Times New Roman" w:cs="Times New Roman" w:eastAsia="Times New Roman" w:hAnsi="Times New Roman"/>
          <w:sz w:val="18"/>
          <w:szCs w:val="18"/>
          <w:b w:val="1"/>
          <w:bCs w:val="1"/>
          <w:color w:val="auto"/>
        </w:rPr>
      </w:pPr>
    </w:p>
    <w:p>
      <w:pPr>
        <w:jc w:val="both"/>
        <w:ind w:left="328" w:hanging="328"/>
        <w:spacing w:after="0" w:line="268" w:lineRule="auto"/>
        <w:tabs>
          <w:tab w:leader="none" w:pos="328" w:val="left"/>
        </w:tabs>
        <w:numPr>
          <w:ilvl w:val="0"/>
          <w:numId w:val="2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 Faith Requirements. </w:t>
      </w:r>
      <w:r>
        <w:rPr>
          <w:rFonts w:ascii="Times New Roman" w:cs="Times New Roman" w:eastAsia="Times New Roman" w:hAnsi="Times New Roman"/>
          <w:sz w:val="18"/>
          <w:szCs w:val="18"/>
          <w:color w:val="auto"/>
        </w:rPr>
        <w:t>You must enter into the Rule 10b5-1 Trading Plan in good faith and not as part of a plan or scheme to evade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prohibitions of Rules 10b-5 and 10b5-1 under the Exchange Act. You must act in good faith with respect to the Rule 10b5-1 Trading Plan for the entirety of its duration.</w:t>
      </w:r>
    </w:p>
    <w:p>
      <w:pPr>
        <w:spacing w:after="0" w:line="170" w:lineRule="exact"/>
        <w:rPr>
          <w:rFonts w:ascii="Times New Roman" w:cs="Times New Roman" w:eastAsia="Times New Roman" w:hAnsi="Times New Roman"/>
          <w:sz w:val="18"/>
          <w:szCs w:val="18"/>
          <w:b w:val="1"/>
          <w:bCs w:val="1"/>
          <w:color w:val="auto"/>
        </w:rPr>
      </w:pPr>
    </w:p>
    <w:p>
      <w:pPr>
        <w:jc w:val="both"/>
        <w:ind w:left="328" w:hanging="328"/>
        <w:spacing w:after="0" w:line="268" w:lineRule="auto"/>
        <w:tabs>
          <w:tab w:leader="none" w:pos="328" w:val="left"/>
        </w:tabs>
        <w:numPr>
          <w:ilvl w:val="0"/>
          <w:numId w:val="2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Certifications for Section 16 Persons. </w:t>
      </w:r>
      <w:r>
        <w:rPr>
          <w:rFonts w:ascii="Times New Roman" w:cs="Times New Roman" w:eastAsia="Times New Roman" w:hAnsi="Times New Roman"/>
          <w:sz w:val="18"/>
          <w:szCs w:val="18"/>
          <w:color w:val="auto"/>
        </w:rPr>
        <w:t>Section 16 Persons and their Family Members and Controlled Entities that enter into Rule 10b5-1 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Plans must certify that they are: (1) not aware of any MNPI about the Company or the Company securities; and (2) adopting the Rule 10b5-1 Trading Plan in good faith and not as part of a plan or scheme to evade the prohibitions of Rules 10b-5 and 10b5-1 under the Exchange Act.</w:t>
      </w:r>
    </w:p>
    <w:p>
      <w:pPr>
        <w:spacing w:after="0" w:line="170" w:lineRule="exact"/>
        <w:rPr>
          <w:rFonts w:ascii="Times New Roman" w:cs="Times New Roman" w:eastAsia="Times New Roman" w:hAnsi="Times New Roman"/>
          <w:sz w:val="18"/>
          <w:szCs w:val="18"/>
          <w:b w:val="1"/>
          <w:bCs w:val="1"/>
          <w:color w:val="auto"/>
        </w:rPr>
      </w:pPr>
    </w:p>
    <w:p>
      <w:pPr>
        <w:ind w:left="328" w:hanging="328"/>
        <w:spacing w:after="0"/>
        <w:tabs>
          <w:tab w:leader="none" w:pos="328" w:val="left"/>
        </w:tabs>
        <w:numPr>
          <w:ilvl w:val="0"/>
          <w:numId w:val="2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Cooling Off Periods. </w:t>
      </w:r>
      <w:r>
        <w:rPr>
          <w:rFonts w:ascii="Times New Roman" w:cs="Times New Roman" w:eastAsia="Times New Roman" w:hAnsi="Times New Roman"/>
          <w:sz w:val="18"/>
          <w:szCs w:val="18"/>
          <w:color w:val="auto"/>
        </w:rPr>
        <w:t>The first trade under the Rule 10b5-1 Trading Plan may not occur until the expiration of a cooling-off period as follows:</w:t>
      </w:r>
    </w:p>
    <w:p>
      <w:pPr>
        <w:spacing w:after="0" w:line="256" w:lineRule="exact"/>
        <w:rPr>
          <w:rFonts w:ascii="Times New Roman" w:cs="Times New Roman" w:eastAsia="Times New Roman" w:hAnsi="Times New Roman"/>
          <w:sz w:val="18"/>
          <w:szCs w:val="18"/>
          <w:b w:val="1"/>
          <w:bCs w:val="1"/>
          <w:color w:val="auto"/>
        </w:rPr>
      </w:pPr>
    </w:p>
    <w:p>
      <w:pPr>
        <w:jc w:val="both"/>
        <w:ind w:left="968" w:hanging="320"/>
        <w:spacing w:after="0" w:line="261" w:lineRule="auto"/>
        <w:tabs>
          <w:tab w:leader="none" w:pos="968"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Section 16 Persons (as well as their Family Members and Controlled Entities), the later of (1) two business days following the filing of the Company’s Form 10-Q or Form 10-K for the completed fiscal quarter in which the Rule 10b5-1 Trading Plan was adopted and</w:t>
      </w:r>
    </w:p>
    <w:p>
      <w:pPr>
        <w:ind w:left="968"/>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90 calendar days after adoption of the Rule 10b5-1 Trading Plan; provided, however, that the required cooling-off period shall in no event exceed 120 days.</w:t>
      </w:r>
    </w:p>
    <w:p>
      <w:pPr>
        <w:spacing w:after="0" w:line="208"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other Insiders, 30 days after adoption of the Rule 10b5-1 Trading Plan.</w:t>
      </w:r>
    </w:p>
    <w:p>
      <w:pPr>
        <w:spacing w:after="0" w:line="221" w:lineRule="exact"/>
        <w:rPr>
          <w:rFonts w:ascii="Times New Roman" w:cs="Times New Roman" w:eastAsia="Times New Roman" w:hAnsi="Times New Roman"/>
          <w:sz w:val="18"/>
          <w:szCs w:val="18"/>
          <w:color w:val="auto"/>
        </w:rPr>
      </w:pPr>
    </w:p>
    <w:p>
      <w:pPr>
        <w:ind w:left="328" w:hanging="328"/>
        <w:spacing w:after="0" w:line="286" w:lineRule="auto"/>
        <w:tabs>
          <w:tab w:leader="none" w:pos="328" w:val="left"/>
        </w:tabs>
        <w:numPr>
          <w:ilvl w:val="0"/>
          <w:numId w:val="2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Overlapping Rule 10b5-1 Trading Plans. </w:t>
      </w:r>
      <w:r>
        <w:rPr>
          <w:rFonts w:ascii="Times New Roman" w:cs="Times New Roman" w:eastAsia="Times New Roman" w:hAnsi="Times New Roman"/>
          <w:sz w:val="18"/>
          <w:szCs w:val="18"/>
          <w:color w:val="auto"/>
        </w:rPr>
        <w:t>You may not enter into overlapping Rule 10b5-1 Trading Plans (subject to certain exceptions).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Please consult with the GC for any questions regarding overlapping Rule 10b5-1 Trading Plans.</w:t>
      </w:r>
    </w:p>
    <w:p>
      <w:pPr>
        <w:spacing w:after="0" w:line="154" w:lineRule="exact"/>
        <w:rPr>
          <w:rFonts w:ascii="Times New Roman" w:cs="Times New Roman" w:eastAsia="Times New Roman" w:hAnsi="Times New Roman"/>
          <w:sz w:val="18"/>
          <w:szCs w:val="18"/>
          <w:b w:val="1"/>
          <w:bCs w:val="1"/>
          <w:color w:val="auto"/>
        </w:rPr>
      </w:pPr>
    </w:p>
    <w:p>
      <w:pPr>
        <w:jc w:val="both"/>
        <w:ind w:left="328" w:hanging="328"/>
        <w:spacing w:after="0" w:line="262" w:lineRule="auto"/>
        <w:tabs>
          <w:tab w:leader="none" w:pos="328" w:val="left"/>
        </w:tabs>
        <w:numPr>
          <w:ilvl w:val="0"/>
          <w:numId w:val="2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Single Transaction Plans. </w:t>
      </w:r>
      <w:r>
        <w:rPr>
          <w:rFonts w:ascii="Times New Roman" w:cs="Times New Roman" w:eastAsia="Times New Roman" w:hAnsi="Times New Roman"/>
          <w:sz w:val="18"/>
          <w:szCs w:val="18"/>
          <w:color w:val="auto"/>
        </w:rPr>
        <w:t>You may not enter into more than one Rule 10b5-1 Trading Plan designed to effect the open-market purchase or sale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total amount of securities as a single transaction during any rolling 12-month period (subject to certain exceptions). A single-transaction plan is “designed to effect” the purchase or sale of securities as a single transaction when the terms of the plan would, for practical purposes, directly or indirectly require execution in a single transaction.</w:t>
      </w:r>
    </w:p>
    <w:p>
      <w:pPr>
        <w:spacing w:after="0" w:line="176" w:lineRule="exact"/>
        <w:rPr>
          <w:rFonts w:ascii="Times New Roman" w:cs="Times New Roman" w:eastAsia="Times New Roman" w:hAnsi="Times New Roman"/>
          <w:sz w:val="18"/>
          <w:szCs w:val="18"/>
          <w:b w:val="1"/>
          <w:bCs w:val="1"/>
          <w:color w:val="auto"/>
        </w:rPr>
      </w:pPr>
    </w:p>
    <w:p>
      <w:pPr>
        <w:jc w:val="both"/>
        <w:ind w:left="328" w:hanging="328"/>
        <w:spacing w:after="0" w:line="256" w:lineRule="auto"/>
        <w:tabs>
          <w:tab w:leader="none" w:pos="328" w:val="left"/>
        </w:tabs>
        <w:numPr>
          <w:ilvl w:val="0"/>
          <w:numId w:val="2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Modifications and Terminations. </w:t>
      </w:r>
      <w:r>
        <w:rPr>
          <w:rFonts w:ascii="Times New Roman" w:cs="Times New Roman" w:eastAsia="Times New Roman" w:hAnsi="Times New Roman"/>
          <w:sz w:val="18"/>
          <w:szCs w:val="18"/>
          <w:color w:val="auto"/>
        </w:rPr>
        <w:t>Modifications/amendments and terminations of an existing Rule 10b5-1 Trading Plan are strongly discouraged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legal risks, and can affect the validity of trades that have taken place under the plan prior to such modification/amendment or termination. Under Rule 10b5-1 and these guidelines, any modification/amendment to the amount, price or timing of the purchase or sale of the securities underlying the Rule 10b5-1 Trading Plan (a “</w:t>
      </w:r>
      <w:r>
        <w:rPr>
          <w:rFonts w:ascii="Times New Roman" w:cs="Times New Roman" w:eastAsia="Times New Roman" w:hAnsi="Times New Roman"/>
          <w:sz w:val="18"/>
          <w:szCs w:val="18"/>
          <w:u w:val="single" w:color="auto"/>
          <w:color w:val="auto"/>
        </w:rPr>
        <w:t>Material Modification</w:t>
      </w:r>
      <w:r>
        <w:rPr>
          <w:rFonts w:ascii="Times New Roman" w:cs="Times New Roman" w:eastAsia="Times New Roman" w:hAnsi="Times New Roman"/>
          <w:sz w:val="18"/>
          <w:szCs w:val="18"/>
          <w:color w:val="auto"/>
        </w:rPr>
        <w:t>”) will be deemed to be a termination of the current Rule 10b5-1 Trading Plan and creation of a new Rule 10b5-1 Trading Plan. As such, the modification/amendment of an existing Rule 10b5-1 Trading Plan must be reviewed and approved in advance by the GC in accordance with the pre-clearance procedures set forth in the Policy and these guidelines, and any Material Modification will be subject to all the other requirements set forth in these guidelines regarding the adoption of a new Rule 10b5-1 Trading Plan.</w:t>
      </w:r>
    </w:p>
    <w:p>
      <w:pPr>
        <w:spacing w:after="0" w:line="186" w:lineRule="exact"/>
        <w:rPr>
          <w:rFonts w:ascii="Times New Roman" w:cs="Times New Roman" w:eastAsia="Times New Roman" w:hAnsi="Times New Roman"/>
          <w:sz w:val="18"/>
          <w:szCs w:val="18"/>
          <w:b w:val="1"/>
          <w:bCs w:val="1"/>
          <w:color w:val="auto"/>
        </w:rPr>
      </w:pPr>
    </w:p>
    <w:p>
      <w:pPr>
        <w:jc w:val="both"/>
        <w:ind w:left="32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termination (other than through an amendment or modification) of an existing Rule 10b5-1 Trading Plan must be reviewed and approved in advance by the GC in accordance with the pre-clearance procedures set forth in the Policy and these guidelines. Except in limited circumstances, the GC will not approve the termination of a Rule 10b5-1 Trading Plan unless:</w:t>
      </w:r>
    </w:p>
    <w:p>
      <w:pPr>
        <w:spacing w:after="0" w:line="175" w:lineRule="exact"/>
        <w:rPr>
          <w:rFonts w:ascii="Times New Roman" w:cs="Times New Roman" w:eastAsia="Times New Roman" w:hAnsi="Times New Roman"/>
          <w:sz w:val="18"/>
          <w:szCs w:val="18"/>
          <w:b w:val="1"/>
          <w:bCs w:val="1"/>
          <w:color w:val="auto"/>
        </w:rPr>
      </w:pPr>
    </w:p>
    <w:p>
      <w:pPr>
        <w:ind w:left="968" w:hanging="320"/>
        <w:spacing w:after="0"/>
        <w:tabs>
          <w:tab w:leader="none" w:pos="968"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aware of any MNPI; and</w:t>
      </w:r>
    </w:p>
    <w:p>
      <w:pPr>
        <w:spacing w:after="0" w:line="25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you are not subject to a blackout period.</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306" w:name="page307"/>
    <w:bookmarkEnd w:id="306"/>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ind w:left="458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432"/>
        </w:trPr>
        <w:tc>
          <w:tcPr>
            <w:tcW w:w="3700" w:type="dxa"/>
            <w:vAlign w:val="bottom"/>
          </w:tcPr>
          <w:p>
            <w:pPr>
              <w:spacing w:after="0"/>
              <w:rPr>
                <w:sz w:val="24"/>
                <w:szCs w:val="24"/>
                <w:color w:val="auto"/>
              </w:rPr>
            </w:pPr>
          </w:p>
        </w:tc>
        <w:tc>
          <w:tcPr>
            <w:tcW w:w="754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Subsidiaries of Oruka Therapeutics, Inc.</w:t>
            </w:r>
          </w:p>
        </w:tc>
      </w:tr>
      <w:tr>
        <w:trPr>
          <w:trHeight w:val="459"/>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of Subsidiary</w:t>
            </w:r>
          </w:p>
        </w:tc>
        <w:tc>
          <w:tcPr>
            <w:tcW w:w="182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Jurisdiction in Which Incorporated or Organized</w:t>
            </w:r>
          </w:p>
        </w:tc>
      </w:tr>
      <w:tr>
        <w:trPr>
          <w:trHeight w:val="209"/>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Oruka Therapeutics Operating Company, LLC</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Oruka Therapeutics Australia Pty Ltd.</w:t>
            </w: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r>
    </w:tbl>
    <w:p>
      <w:pPr>
        <w:sectPr>
          <w:pgSz w:w="11900" w:h="16838" w:orient="portrait"/>
          <w:cols w:equalWidth="0" w:num="1">
            <w:col w:w="11240"/>
          </w:cols>
          <w:pgMar w:left="320" w:top="117" w:right="339" w:bottom="1440" w:gutter="0" w:footer="0" w:header="0"/>
        </w:sectPr>
      </w:pPr>
    </w:p>
    <w:bookmarkStart w:id="307" w:name="page308"/>
    <w:bookmarkEnd w:id="30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333-283243) of Oruka Therapeutics, Inc. of our report dated March 6, 2025 relating to the financial statements, which appears in this Form 10-K.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ectPr>
          <w:pgSz w:w="11900" w:h="16838" w:orient="portrait"/>
          <w:cols w:equalWidth="0" w:num="1">
            <w:col w:w="11240"/>
          </w:cols>
          <w:pgMar w:left="320" w:top="117" w:right="339" w:bottom="1440" w:gutter="0" w:footer="0" w:header="0"/>
        </w:sectPr>
      </w:pPr>
    </w:p>
    <w:bookmarkStart w:id="308" w:name="page309"/>
    <w:bookmarkEnd w:id="308"/>
    <w:p>
      <w:pPr>
        <w:jc w:val="right"/>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Lawrence Klein, certify that:</w:t>
      </w:r>
    </w:p>
    <w:p>
      <w:pPr>
        <w:spacing w:after="0" w:line="225" w:lineRule="exact"/>
        <w:rPr>
          <w:sz w:val="20"/>
          <w:szCs w:val="20"/>
          <w:color w:val="auto"/>
        </w:rPr>
      </w:pPr>
    </w:p>
    <w:p>
      <w:pPr>
        <w:ind w:left="340" w:hanging="332"/>
        <w:spacing w:after="0"/>
        <w:tabs>
          <w:tab w:leader="none" w:pos="3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Oruka Therapeutics,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2025</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Lawrence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Lawrence Klein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08" w:right="339" w:bottom="1440" w:gutter="0" w:footer="0" w:header="0"/>
        </w:sectPr>
      </w:pPr>
    </w:p>
    <w:bookmarkStart w:id="309" w:name="page310"/>
    <w:bookmarkEnd w:id="30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Arjun Agarwal, certify that:</w:t>
      </w:r>
    </w:p>
    <w:p>
      <w:pPr>
        <w:spacing w:after="0" w:line="225" w:lineRule="exact"/>
        <w:rPr>
          <w:sz w:val="20"/>
          <w:szCs w:val="20"/>
          <w:color w:val="auto"/>
        </w:rPr>
      </w:pPr>
    </w:p>
    <w:p>
      <w:pPr>
        <w:ind w:left="340" w:hanging="332"/>
        <w:spacing w:after="0"/>
        <w:tabs>
          <w:tab w:leader="none" w:pos="3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Oruka Therapeutics,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2025</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Arjun Agarwal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Arjun Agarwal</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Senior Vice President, Finance and Treasurer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Financial Officer and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ectPr>
          <w:pgSz w:w="11900" w:h="16838" w:orient="portrait"/>
          <w:cols w:equalWidth="0" w:num="1">
            <w:col w:w="11240"/>
          </w:cols>
          <w:pgMar w:left="320" w:top="117" w:right="339" w:bottom="1440" w:gutter="0" w:footer="0" w:header="0"/>
        </w:sectPr>
      </w:pPr>
    </w:p>
    <w:bookmarkStart w:id="310" w:name="page311"/>
    <w:bookmarkEnd w:id="310"/>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 and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Oruka Therapeutics, Inc. (the “Company”) for the year ended December 31, 2024, as filed with the Securities and Exchange Commission on the date hereof (the “Report”), each of the undersigned officers of the Company hereby certifies, pursuant to 18 U.S.C. Section 1350, as adopted pursuant to Section 906 of the Sarbanes-Oxley Act of 2002, that to the best of his knowledge:</w:t>
      </w:r>
    </w:p>
    <w:p>
      <w:pPr>
        <w:spacing w:after="0" w:line="203" w:lineRule="exact"/>
        <w:rPr>
          <w:sz w:val="20"/>
          <w:szCs w:val="20"/>
          <w:color w:val="auto"/>
        </w:rPr>
      </w:pPr>
    </w:p>
    <w:p>
      <w:pPr>
        <w:ind w:left="340" w:hanging="332"/>
        <w:spacing w:after="0"/>
        <w:tabs>
          <w:tab w:leader="none" w:pos="3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March 6, 2025</w:t>
      </w:r>
      <w:r>
        <w:rPr>
          <w:sz w:val="20"/>
          <w:szCs w:val="20"/>
          <w:color w:val="auto"/>
        </w:rPr>
        <w:tab/>
      </w:r>
      <w:r>
        <w:rPr>
          <w:rFonts w:ascii="Times New Roman" w:cs="Times New Roman" w:eastAsia="Times New Roman" w:hAnsi="Times New Roman"/>
          <w:sz w:val="17"/>
          <w:szCs w:val="17"/>
          <w:color w:val="auto"/>
        </w:rPr>
        <w:t>/s/ Lawrence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Lawrence Klein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Arjun Agarwal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Arjun Agarwal</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Senior Vice President, Finance and Treasurer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Financial Officer and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ectPr>
          <w:pgSz w:w="11900" w:h="16838" w:orient="portrait"/>
          <w:cols w:equalWidth="0" w:num="1">
            <w:col w:w="11240"/>
          </w:cols>
          <w:pgMar w:left="320" w:top="108" w:right="339" w:bottom="1440" w:gutter="0" w:footer="0" w:header="0"/>
        </w:sectPr>
      </w:pPr>
    </w:p>
    <w:bookmarkStart w:id="311" w:name="page312"/>
    <w:bookmarkEnd w:id="311"/>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156845</wp:posOffset>
            </wp:positionV>
            <wp:extent cx="2477135" cy="9340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1">
                      <a:extLst>
                        <a:ext uri="{28A0092B-C50C-407E-A947-70E740481C1C}"/>
                      </a:extLst>
                    </a:blip>
                    <a:srcRect/>
                    <a:stretch>
                      <a:fillRect/>
                    </a:stretch>
                  </pic:blipFill>
                  <pic:spPr bwMode="auto">
                    <a:xfrm>
                      <a:off x="0" y="0"/>
                      <a:ext cx="2477135" cy="93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INCENTIVE COMPENSATION CLAWBACK POLICY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August 29, 2024</w:t>
      </w:r>
    </w:p>
    <w:p>
      <w:pPr>
        <w:spacing w:after="0" w:line="225" w:lineRule="exact"/>
        <w:rPr>
          <w:sz w:val="20"/>
          <w:szCs w:val="20"/>
          <w:color w:val="auto"/>
        </w:rPr>
      </w:pPr>
    </w:p>
    <w:p>
      <w:pPr>
        <w:ind w:left="340" w:hanging="332"/>
        <w:spacing w:after="0"/>
        <w:tabs>
          <w:tab w:leader="none" w:pos="340" w:val="left"/>
        </w:tabs>
        <w:numPr>
          <w:ilvl w:val="0"/>
          <w:numId w:val="2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Recoupment of Incentive-Based Compensation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It is the policy of Oruka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that, in the event the Company is required to prepare an accounting restatement of the Company’s financial statements due to material non-compliance with any financial reporting requirement under the federal securities laws (including any such correction that is material to the previously issued financial statements, or that would result in a material misstatement if the error were corrected in the current period or left uncorrected in the current period), the Company will recover on a reasonably prompt basis the amount of any Incentive-Based Compensation Received by a Covered Executive during the Recovery Period that exceeds the amount that otherwise would have been Received had it been determined based on the restated financial statements. This Incentive Compensation Clawback Policy (this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has been adopted by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the Company and the Compensation Committee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of the Board. The Committee may amend or change the terms of this Policy at any time for any reason, including as required to comply with any laws, rules, regulations and listing standards that may be applicable to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  Policy Administration and Definitions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Policy is administered by the Committee and is intended to comply with, and as applicable to be administered and interpreted consistent with, and subject to the exceptions set forth in, Listing Rule 5608 adopted by The Nasdaq Stock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to implement Rule 10D-1 under the Securities Exchange Act of 1934, as amended (collectively, “</w:t>
      </w:r>
      <w:r>
        <w:rPr>
          <w:rFonts w:ascii="Times New Roman" w:cs="Times New Roman" w:eastAsia="Times New Roman" w:hAnsi="Times New Roman"/>
          <w:sz w:val="18"/>
          <w:szCs w:val="18"/>
          <w:u w:val="single" w:color="auto"/>
          <w:color w:val="auto"/>
        </w:rPr>
        <w:t>Rule 10D-1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Policy: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Executive</w:t>
      </w:r>
      <w:r>
        <w:rPr>
          <w:rFonts w:ascii="Times New Roman" w:cs="Times New Roman" w:eastAsia="Times New Roman" w:hAnsi="Times New Roman"/>
          <w:sz w:val="18"/>
          <w:szCs w:val="18"/>
          <w:color w:val="auto"/>
        </w:rPr>
        <w:t>” means any “executive officer” of the Company as defined under Rule 10D-1.</w:t>
      </w:r>
    </w:p>
    <w:p>
      <w:pPr>
        <w:spacing w:after="0" w:line="225"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Financial Reporting Measure</w:t>
      </w:r>
      <w:r>
        <w:rPr>
          <w:rFonts w:ascii="Times New Roman" w:cs="Times New Roman" w:eastAsia="Times New Roman" w:hAnsi="Times New Roman"/>
          <w:sz w:val="18"/>
          <w:szCs w:val="18"/>
          <w:color w:val="auto"/>
        </w:rPr>
        <w:t>” is (i) any measure that is determined and presented in accordance with the accounting principles used in preparing the Company’s financial statements and any measure derived wholly or in part from such a measure, and (ii) any measure based in whole or in part on the Company’s stock price or total stockholder return.</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Incentive-Based Compensation</w:t>
      </w:r>
      <w:r>
        <w:rPr>
          <w:rFonts w:ascii="Times New Roman" w:cs="Times New Roman" w:eastAsia="Times New Roman" w:hAnsi="Times New Roman"/>
          <w:sz w:val="18"/>
          <w:szCs w:val="18"/>
          <w:color w:val="auto"/>
        </w:rPr>
        <w:t>” means any compensation granted, earned or vested based in whole or in part on the Company’s attainment of a Financial Reporting Measure that was Received by a person (i) on or after October 2, 2023, and after the person began service as a Covered Executive, and (ii) who served as a Covered Executive at any time during the performance period for the Incentive-Based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2" w:name="page313"/>
    <w:bookmarkEnd w:id="312"/>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Incentive-Based Compensation is deemed to be “</w:t>
      </w:r>
      <w:r>
        <w:rPr>
          <w:rFonts w:ascii="Times New Roman" w:cs="Times New Roman" w:eastAsia="Times New Roman" w:hAnsi="Times New Roman"/>
          <w:sz w:val="18"/>
          <w:szCs w:val="18"/>
          <w:u w:val="single" w:color="auto"/>
          <w:color w:val="auto"/>
        </w:rPr>
        <w:t>Received</w:t>
      </w:r>
      <w:r>
        <w:rPr>
          <w:rFonts w:ascii="Times New Roman" w:cs="Times New Roman" w:eastAsia="Times New Roman" w:hAnsi="Times New Roman"/>
          <w:sz w:val="18"/>
          <w:szCs w:val="18"/>
          <w:color w:val="auto"/>
        </w:rPr>
        <w:t>” in the fiscal period during which the relevant Financial Reporting Measure is attained, regardless of when the compensation is actually paid or awarded.</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Recovery Period</w:t>
      </w:r>
      <w:r>
        <w:rPr>
          <w:rFonts w:ascii="Times New Roman" w:cs="Times New Roman" w:eastAsia="Times New Roman" w:hAnsi="Times New Roman"/>
          <w:sz w:val="18"/>
          <w:szCs w:val="18"/>
          <w:color w:val="auto"/>
        </w:rPr>
        <w:t>” means the three completed fiscal years immediately preceding the date that the Company is required to prepare the accounting restatement described in this Policy and any transition period of less than nine months that is within or immediately following such three fiscal years, all as determined pursuant to Rule 10D-1.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III. Determination by the Committee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Committee determines the amount of Incentive-Based Compensation Received by a Covered Executive during a Recovery Period exceeds the amount that would have been Received if determined or calculated based on the Company’s restated financial results, such excess amount of Incentive-Based Compensation shall be subject to recoupment by the Company pursuant to this Policy. For Incentive-Based Compensation based on stock price or total stockholder return, where the amount of erroneously awarded compensation is not subject to mathematical recalculation directly from the information in an accounting restatement, the Committee will determine the amount based on a reasonable estimate of the effect of the accounting restatement on the relevant stock price or total stockholder return. In all cases, the calculation of the excess amount of Incentive-Based Compensation to be recovered will be determined on a pre-tax basis (i.e., without regard to any taxes paid with respect to such compensation). The Company will maintain and will provide to Nasdaq documentation of all determinations and actions taken in complying with this Policy. Any determinations made by the Committee under this Policy shall be final and binding on all affected individuals.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IV. Methods of Clawback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may effect any recovery pursuant to this Policy in any manner consistent with applicable law, including by requiring payment of such amount(s) to the Company, by set-off, by reducing future compensation, or by such other means or combination of means as the Committee determines to be appropriate. The Company need not recover the excess amount of Incentive-Based Compensation if and to the extent that the Committee determines that such recovery is impracticable, subject to and in accordance with any applicable exceptions under the Nasdaq listing rules and not required under Rule 10D-1, including if the Committee determines that the direct expense paid to a third party to assist in enforcing this Policy would exceed the amount to be recovered after making a reasonable attempt to recover such amounts. The Company is authorized to take appropriate steps to implement this Policy with respect to Incentive-Based Compensation arrangements with Covered Executives.</w:t>
      </w:r>
    </w:p>
    <w:p>
      <w:pPr>
        <w:spacing w:after="0" w:line="18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V.</w:t>
      </w:r>
      <w:r>
        <w:rPr>
          <w:sz w:val="20"/>
          <w:szCs w:val="20"/>
          <w:color w:val="auto"/>
        </w:rPr>
        <w:tab/>
      </w:r>
      <w:r>
        <w:rPr>
          <w:rFonts w:ascii="Times New Roman" w:cs="Times New Roman" w:eastAsia="Times New Roman" w:hAnsi="Times New Roman"/>
          <w:sz w:val="17"/>
          <w:szCs w:val="17"/>
          <w:b w:val="1"/>
          <w:bCs w:val="1"/>
          <w:color w:val="auto"/>
        </w:rPr>
        <w:t>Not Exclusive Remedy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right of recoupment or recovery pursuant to this Policy is in addition to, and not in lieu of, any other remedies or rights of recoupment that may be available to the Company pursuant to the terms of any other policy, any employment agreement or plan or award terms, and any other legal remedies available to the Company (including, but not limited to, Section 304 of the Sarbanes-Oxley Act of 2002); provided that the Company shall not recoup amounts pursuant to such other policy, terms or remedies to the extent it is recovered pursuant to this Policy. The Company shall not indemnify any Covered Executive against the loss of any Incentive-Based Compensation pursuant to this Policy (or provide any advancement of expenses in such instance), nor will the Company pay or reimburse or agree to pay or reimburse any insurance premium to cover any such loss.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 Certification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Covered Executives subject to this Policy will be required to certify their understanding of and intent to comply with this Policy periodically.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3" w:name="page314"/>
    <w:bookmarkEnd w:id="313"/>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 AND CERTIFICATION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By signing below, the undersigned covered executive (the “</w:t>
      </w:r>
      <w:r>
        <w:rPr>
          <w:rFonts w:ascii="Times New Roman" w:cs="Times New Roman" w:eastAsia="Times New Roman" w:hAnsi="Times New Roman"/>
          <w:sz w:val="18"/>
          <w:szCs w:val="18"/>
          <w:u w:val="single" w:color="auto"/>
          <w:color w:val="auto"/>
        </w:rPr>
        <w:t>Covered Executive</w:t>
      </w:r>
      <w:r>
        <w:rPr>
          <w:rFonts w:ascii="Times New Roman" w:cs="Times New Roman" w:eastAsia="Times New Roman" w:hAnsi="Times New Roman"/>
          <w:sz w:val="18"/>
          <w:szCs w:val="18"/>
          <w:color w:val="auto"/>
        </w:rPr>
        <w:t>”) acknowledges and confirms that the Covered Executive has received and reviewed a copy of the Oruka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Incentive Compensation Clawback Policy (as interpreted or modified from time to time pursuant to the terms hereof, the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and in addition, the Covered Executive acknowledges and agrees that, for good and valid consideration, including continuing participation in the Company’s incentive compensation programs, the receipt and sufficiency of which the Covered Executive hereby acknowledges, the Covered Executive will be bound by and abide by the Policy as follows:</w:t>
      </w:r>
    </w:p>
    <w:p>
      <w:pPr>
        <w:spacing w:after="0" w:line="183" w:lineRule="exact"/>
        <w:rPr>
          <w:sz w:val="20"/>
          <w:szCs w:val="20"/>
          <w:color w:val="auto"/>
        </w:rPr>
      </w:pPr>
    </w:p>
    <w:p>
      <w:pPr>
        <w:ind w:left="980" w:hanging="324"/>
        <w:spacing w:after="0" w:line="282" w:lineRule="auto"/>
        <w:tabs>
          <w:tab w:leader="none" w:pos="9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Covered Executive is and will continue to be subject to the Policy and the Policy will apply both during and after the Covered Executive’s employment with the Company;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necessary to comply with the Policy, the Company hereby amends any employment agreement, equity award agreement or similar agreement that the Covered Executive is a party to with the Company;</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Covered Executive shall abide by the terms of the Policy, including, without limitation, by returning any compensation to the Company to the extent required by, and in a manner permitted by, the Policy, and understands and agrees that the Covered Executive shall not be entitled to any (i) indemnification for any liability (including any amounts owed by the Covered Executive in a judgment or settlement of any Clawback Proceeding (as defined below)), or loss (including judgments, fines, taxes, penalties or amounts paid in settlement by or on behalf of the Covered Executive) incurred by the Covered Executive in connection with or as a result of any action taken by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the Company or the Compensation Committee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of the Board to enforce the Policy (such action, a “</w:t>
      </w:r>
      <w:r>
        <w:rPr>
          <w:rFonts w:ascii="Times New Roman" w:cs="Times New Roman" w:eastAsia="Times New Roman" w:hAnsi="Times New Roman"/>
          <w:sz w:val="18"/>
          <w:szCs w:val="18"/>
          <w:u w:val="single" w:color="auto"/>
          <w:color w:val="auto"/>
        </w:rPr>
        <w:t>Clawback Proceeding</w:t>
      </w:r>
      <w:r>
        <w:rPr>
          <w:rFonts w:ascii="Times New Roman" w:cs="Times New Roman" w:eastAsia="Times New Roman" w:hAnsi="Times New Roman"/>
          <w:sz w:val="18"/>
          <w:szCs w:val="18"/>
          <w:color w:val="auto"/>
        </w:rPr>
        <w:t xml:space="preserve">”) or (ii) indemnification or advancement of any expenses (including attorneys’ fees) from the Company and or any subsidiary of the Company incurred by the Covered Executive in connection with any Clawback Proceeding;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Covered Executive is successful on the merits in the defense of any claim asserted against the Covered Executive in a Clawback Proceeding, the Covered Executive shall be indemnified for the expenses (including attorneys’ fees) the Covered Executive reasonably incurred to defend such claim;</w:t>
      </w:r>
    </w:p>
    <w:p>
      <w:pPr>
        <w:spacing w:after="0" w:line="19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amounts payable to the Covered Executive shall be subject to the Policy as may be in effect and reasonably interpreted, or modified from time to time in the sole discretion of the Committee or as required by applicable law or the requirements of any securities exchange on which the Company’s securities are listed, and that such reasonable interpretation, or modification will be covered by this acknowledgment;</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recover compensation paid to the Covered Executive through any method of recovery the Committee or its delegate deems appropriate, including without limitation, by reducing any amount that is or may become payable to the Covered Executive, and the Covered Executive agrees to comply with any reasonable request or reasonable demand for repayment by the Company in order to comply with the Policy;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 AND CERTIFICATION]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4" w:name="page315"/>
    <w:bookmarkEnd w:id="314"/>
    <w:p>
      <w:pPr>
        <w:jc w:val="both"/>
        <w:ind w:left="328" w:hanging="328"/>
        <w:spacing w:after="0" w:line="266" w:lineRule="auto"/>
        <w:tabs>
          <w:tab w:leader="none" w:pos="32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responsible for and shall not make the Covered Executive whole for any effect under any tax law or regulation of the recovery of any compensation pursuant to the Policy or for any taxes paid by the Covered Executive on compensation that is subject to recovery or is recovered pursuant to the Policy; and</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Covered Executive hereby knowingly, voluntarily and intentionally waives, and agrees not to assert any claim regarding, any and all rights to indemnification, advancement and other rights from the Company or any subsidiary of the Company to which the Covered Executive is now or may become entitled under any indemnification agreement between the Covered Executive and the Company (including any provisions related to non-exclusivity of rights contained therein), the Company’s Certificate of Incorporation and Bylaws, the governing documents of each subsidiary of the Company and the Delaware General Corporation Law, in each case to the extent such waiver and agreement is necessary to give effect to the preceding provisions of this Acknowledgment and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267970</wp:posOffset>
            </wp:positionV>
            <wp:extent cx="284607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6428"/>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291465</wp:posOffset>
            </wp:positionV>
            <wp:extent cx="284607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428"/>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291465</wp:posOffset>
            </wp:positionV>
            <wp:extent cx="284607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428"/>
        <w:spacing w:after="0"/>
        <w:rPr>
          <w:sz w:val="20"/>
          <w:szCs w:val="20"/>
          <w:color w:val="auto"/>
        </w:rPr>
      </w:pPr>
      <w:r>
        <w:rPr>
          <w:rFonts w:ascii="Times New Roman" w:cs="Times New Roman" w:eastAsia="Times New Roman" w:hAnsi="Times New Roman"/>
          <w:sz w:val="18"/>
          <w:szCs w:val="18"/>
          <w:color w:val="auto"/>
        </w:rPr>
        <w:t>Date</w:t>
      </w:r>
    </w:p>
    <w:p>
      <w:pPr>
        <w:spacing w:after="0" w:line="22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[ACKNOWLEDGMENT AND CERTIFICATION]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08"/>
      </w:cols>
      <w:pgMar w:left="652"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342"/>
    <w:multiLevelType w:val="hybridMultilevel"/>
    <w:lvl w:ilvl="0">
      <w:lvlJc w:val="left"/>
      <w:lvlText w:val="☐"/>
      <w:numFmt w:val="bullet"/>
      <w:start w:val="1"/>
    </w:lvl>
    <w:lvl w:ilvl="1">
      <w:lvlJc w:val="left"/>
      <w:lvlText w:val="☒"/>
      <w:numFmt w:val="bullet"/>
      <w:start w:val="1"/>
    </w:lvl>
  </w:abstractNum>
  <w:abstractNum w:abstractNumId="1">
    <w:nsid w:val="69E7F3E5"/>
    <w:multiLevelType w:val="hybridMultilevel"/>
    <w:lvl w:ilvl="0">
      <w:lvlJc w:val="left"/>
      <w:lvlText w:val="%1."/>
      <w:numFmt w:val="decimal"/>
      <w:start w:val="23"/>
    </w:lvl>
  </w:abstractNum>
  <w:abstractNum w:abstractNumId="2">
    <w:nsid w:val="2A6DE806"/>
    <w:multiLevelType w:val="hybridMultilevel"/>
    <w:lvl w:ilvl="0">
      <w:lvlJc w:val="left"/>
      <w:lvlText w:val="●"/>
      <w:numFmt w:val="bullet"/>
      <w:start w:val="1"/>
    </w:lvl>
  </w:abstractNum>
  <w:abstractNum w:abstractNumId="3">
    <w:nsid w:val="1816F8C4"/>
    <w:multiLevelType w:val="hybridMultilevel"/>
    <w:lvl w:ilvl="0">
      <w:lvlJc w:val="left"/>
      <w:lvlText w:val="●"/>
      <w:numFmt w:val="bullet"/>
      <w:start w:val="1"/>
    </w:lvl>
  </w:abstractNum>
  <w:abstractNum w:abstractNumId="4">
    <w:nsid w:val="37DF2233"/>
    <w:multiLevelType w:val="hybridMultilevel"/>
    <w:lvl w:ilvl="0">
      <w:lvlJc w:val="left"/>
      <w:lvlText w:val="●"/>
      <w:numFmt w:val="bullet"/>
      <w:start w:val="1"/>
    </w:lvl>
  </w:abstractNum>
  <w:abstractNum w:abstractNumId="5">
    <w:nsid w:val="7AB49DAF"/>
    <w:multiLevelType w:val="hybridMultilevel"/>
    <w:lvl w:ilvl="0">
      <w:lvlJc w:val="left"/>
      <w:lvlText w:val="(%1)"/>
      <w:numFmt w:val="lowerRoman"/>
      <w:start w:val="1"/>
    </w:lvl>
  </w:abstractNum>
  <w:abstractNum w:abstractNumId="6">
    <w:nsid w:val="759F82CD"/>
    <w:multiLevelType w:val="hybridMultilevel"/>
    <w:lvl w:ilvl="0">
      <w:lvlJc w:val="left"/>
      <w:lvlText w:val="●"/>
      <w:numFmt w:val="bullet"/>
      <w:start w:val="1"/>
    </w:lvl>
  </w:abstractNum>
  <w:abstractNum w:abstractNumId="7">
    <w:nsid w:val="61E74EA3"/>
    <w:multiLevelType w:val="hybridMultilevel"/>
    <w:lvl w:ilvl="0">
      <w:lvlJc w:val="left"/>
      <w:lvlText w:val="●"/>
      <w:numFmt w:val="bullet"/>
      <w:start w:val="1"/>
    </w:lvl>
  </w:abstractNum>
  <w:abstractNum w:abstractNumId="8">
    <w:nsid w:val="597B4D84"/>
    <w:multiLevelType w:val="hybridMultilevel"/>
    <w:lvl w:ilvl="0">
      <w:lvlJc w:val="left"/>
      <w:lvlText w:val="●"/>
      <w:numFmt w:val="bullet"/>
      <w:start w:val="1"/>
    </w:lvl>
  </w:abstractNum>
  <w:abstractNum w:abstractNumId="9">
    <w:nsid w:val="F819E7F"/>
    <w:multiLevelType w:val="hybridMultilevel"/>
    <w:lvl w:ilvl="0">
      <w:lvlJc w:val="left"/>
      <w:lvlText w:val="●"/>
      <w:numFmt w:val="bullet"/>
      <w:start w:val="1"/>
    </w:lvl>
  </w:abstractNum>
  <w:abstractNum w:abstractNumId="10">
    <w:nsid w:val="57C7D42D"/>
    <w:multiLevelType w:val="hybridMultilevel"/>
    <w:lvl w:ilvl="0">
      <w:lvlJc w:val="left"/>
      <w:lvlText w:val="&amp;"/>
      <w:numFmt w:val="bullet"/>
      <w:start w:val="1"/>
    </w:lvl>
  </w:abstractNum>
  <w:abstractNum w:abstractNumId="11">
    <w:nsid w:val="312167AD"/>
    <w:multiLevelType w:val="hybridMultilevel"/>
    <w:lvl w:ilvl="0">
      <w:lvlJc w:val="left"/>
      <w:lvlText w:val="●"/>
      <w:numFmt w:val="bullet"/>
      <w:start w:val="1"/>
    </w:lvl>
  </w:abstractNum>
  <w:abstractNum w:abstractNumId="12">
    <w:nsid w:val="631B64D4"/>
    <w:multiLevelType w:val="hybridMultilevel"/>
    <w:lvl w:ilvl="0">
      <w:lvlJc w:val="left"/>
      <w:lvlText w:val="(%1)"/>
      <w:numFmt w:val="lowerRoman"/>
      <w:start w:val="2"/>
    </w:lvl>
  </w:abstractNum>
  <w:abstractNum w:abstractNumId="13">
    <w:nsid w:val="78B5E776"/>
    <w:multiLevelType w:val="hybridMultilevel"/>
    <w:lvl w:ilvl="0">
      <w:lvlJc w:val="left"/>
      <w:lvlText w:val="●"/>
      <w:numFmt w:val="bullet"/>
      <w:start w:val="1"/>
    </w:lvl>
  </w:abstractNum>
  <w:abstractNum w:abstractNumId="14">
    <w:nsid w:val="75486E47"/>
    <w:multiLevelType w:val="hybridMultilevel"/>
    <w:lvl w:ilvl="0">
      <w:lvlJc w:val="left"/>
      <w:lvlText w:val="●"/>
      <w:numFmt w:val="bullet"/>
      <w:start w:val="1"/>
    </w:lvl>
  </w:abstractNum>
  <w:abstractNum w:abstractNumId="15">
    <w:nsid w:val="6E534CDE"/>
    <w:multiLevelType w:val="hybridMultilevel"/>
    <w:lvl w:ilvl="0">
      <w:lvlJc w:val="left"/>
      <w:lvlText w:val="●"/>
      <w:numFmt w:val="bullet"/>
      <w:start w:val="1"/>
    </w:lvl>
  </w:abstractNum>
  <w:abstractNum w:abstractNumId="16">
    <w:nsid w:val="1A0DDE32"/>
    <w:multiLevelType w:val="hybridMultilevel"/>
    <w:lvl w:ilvl="0">
      <w:lvlJc w:val="left"/>
      <w:lvlText w:val="●"/>
      <w:numFmt w:val="bullet"/>
      <w:start w:val="1"/>
    </w:lvl>
  </w:abstractNum>
  <w:abstractNum w:abstractNumId="17">
    <w:nsid w:val="65968C1C"/>
    <w:multiLevelType w:val="hybridMultilevel"/>
    <w:lvl w:ilvl="0">
      <w:lvlJc w:val="left"/>
      <w:lvlText w:val="●"/>
      <w:numFmt w:val="bullet"/>
      <w:start w:val="1"/>
    </w:lvl>
  </w:abstractNum>
  <w:abstractNum w:abstractNumId="18">
    <w:nsid w:val="46263DEC"/>
    <w:multiLevelType w:val="hybridMultilevel"/>
    <w:lvl w:ilvl="0">
      <w:lvlJc w:val="left"/>
      <w:lvlText w:val="●"/>
      <w:numFmt w:val="bullet"/>
      <w:start w:val="1"/>
    </w:lvl>
  </w:abstractNum>
  <w:abstractNum w:abstractNumId="19">
    <w:nsid w:val="260D8C4A"/>
    <w:multiLevelType w:val="hybridMultilevel"/>
    <w:lvl w:ilvl="0">
      <w:lvlJc w:val="left"/>
      <w:lvlText w:val="●"/>
      <w:numFmt w:val="bullet"/>
      <w:start w:val="1"/>
    </w:lvl>
  </w:abstractNum>
  <w:abstractNum w:abstractNumId="20">
    <w:nsid w:val="73D4D3C4"/>
    <w:multiLevelType w:val="hybridMultilevel"/>
    <w:lvl w:ilvl="0">
      <w:lvlJc w:val="left"/>
      <w:lvlText w:val="●"/>
      <w:numFmt w:val="bullet"/>
      <w:start w:val="1"/>
    </w:lvl>
  </w:abstractNum>
  <w:abstractNum w:abstractNumId="21">
    <w:nsid w:val="746F2E30"/>
    <w:multiLevelType w:val="hybridMultilevel"/>
    <w:lvl w:ilvl="0">
      <w:lvlJc w:val="left"/>
      <w:lvlText w:val="●"/>
      <w:numFmt w:val="bullet"/>
      <w:start w:val="1"/>
    </w:lvl>
  </w:abstractNum>
  <w:abstractNum w:abstractNumId="22">
    <w:nsid w:val="6FDE8AF6"/>
    <w:multiLevelType w:val="hybridMultilevel"/>
    <w:lvl w:ilvl="0">
      <w:lvlJc w:val="left"/>
      <w:lvlText w:val="●"/>
      <w:numFmt w:val="bullet"/>
      <w:start w:val="1"/>
    </w:lvl>
  </w:abstractNum>
  <w:abstractNum w:abstractNumId="23">
    <w:nsid w:val="3FC32E20"/>
    <w:multiLevelType w:val="hybridMultilevel"/>
    <w:lvl w:ilvl="0">
      <w:lvlJc w:val="left"/>
      <w:lvlText w:val="●"/>
      <w:numFmt w:val="bullet"/>
      <w:start w:val="1"/>
    </w:lvl>
  </w:abstractNum>
  <w:abstractNum w:abstractNumId="24">
    <w:nsid w:val="49C0E823"/>
    <w:multiLevelType w:val="hybridMultilevel"/>
    <w:lvl w:ilvl="0">
      <w:lvlJc w:val="left"/>
      <w:lvlText w:val="●"/>
      <w:numFmt w:val="bullet"/>
      <w:start w:val="1"/>
    </w:lvl>
  </w:abstractNum>
  <w:abstractNum w:abstractNumId="25">
    <w:nsid w:val="14D53685"/>
    <w:multiLevelType w:val="hybridMultilevel"/>
    <w:lvl w:ilvl="0">
      <w:lvlJc w:val="left"/>
      <w:lvlText w:val="●"/>
      <w:numFmt w:val="bullet"/>
      <w:start w:val="1"/>
    </w:lvl>
  </w:abstractNum>
  <w:abstractNum w:abstractNumId="26">
    <w:nsid w:val="230F856C"/>
    <w:multiLevelType w:val="hybridMultilevel"/>
    <w:lvl w:ilvl="0">
      <w:lvlJc w:val="left"/>
      <w:lvlText w:val="%1."/>
      <w:numFmt w:val="decimal"/>
      <w:start w:val="23"/>
    </w:lvl>
  </w:abstractNum>
  <w:abstractNum w:abstractNumId="27">
    <w:nsid w:val="6EAA85FB"/>
    <w:multiLevelType w:val="hybridMultilevel"/>
    <w:lvl w:ilvl="0">
      <w:lvlJc w:val="left"/>
      <w:lvlText w:val="(%1)"/>
      <w:numFmt w:val="lowerRoman"/>
      <w:start w:val="2"/>
    </w:lvl>
  </w:abstractNum>
  <w:abstractNum w:abstractNumId="28">
    <w:nsid w:val="3F06ECB2"/>
    <w:multiLevelType w:val="hybridMultilevel"/>
    <w:lvl w:ilvl="0">
      <w:lvlJc w:val="left"/>
      <w:lvlText w:val="●"/>
      <w:numFmt w:val="bullet"/>
      <w:start w:val="1"/>
    </w:lvl>
  </w:abstractNum>
  <w:abstractNum w:abstractNumId="29">
    <w:nsid w:val="3B594807"/>
    <w:multiLevelType w:val="hybridMultilevel"/>
    <w:lvl w:ilvl="0">
      <w:lvlJc w:val="left"/>
      <w:lvlText w:val="●"/>
      <w:numFmt w:val="bullet"/>
      <w:start w:val="1"/>
    </w:lvl>
  </w:abstractNum>
  <w:abstractNum w:abstractNumId="30">
    <w:nsid w:val="6CAA2304"/>
    <w:multiLevelType w:val="hybridMultilevel"/>
    <w:lvl w:ilvl="0">
      <w:lvlJc w:val="left"/>
      <w:lvlText w:val="(%1)"/>
      <w:numFmt w:val="decimal"/>
      <w:start w:val="1"/>
    </w:lvl>
  </w:abstractNum>
  <w:abstractNum w:abstractNumId="31">
    <w:nsid w:val="3F7C2FF4"/>
    <w:multiLevelType w:val="hybridMultilevel"/>
    <w:lvl w:ilvl="0">
      <w:lvlJc w:val="left"/>
      <w:lvlText w:val="$"/>
      <w:numFmt w:val="bullet"/>
      <w:start w:val="1"/>
    </w:lvl>
  </w:abstractNum>
  <w:abstractNum w:abstractNumId="32">
    <w:nsid w:val="25413BEC"/>
    <w:multiLevelType w:val="hybridMultilevel"/>
    <w:lvl w:ilvl="0">
      <w:lvlJc w:val="left"/>
      <w:lvlText w:val="$"/>
      <w:numFmt w:val="bullet"/>
      <w:start w:val="1"/>
    </w:lvl>
  </w:abstractNum>
  <w:abstractNum w:abstractNumId="33">
    <w:nsid w:val="17180B0B"/>
    <w:multiLevelType w:val="hybridMultilevel"/>
    <w:lvl w:ilvl="0">
      <w:lvlJc w:val="left"/>
      <w:lvlText w:val="(%1)"/>
      <w:numFmt w:val="decimal"/>
      <w:start w:val="1"/>
    </w:lvl>
  </w:abstractNum>
  <w:abstractNum w:abstractNumId="34">
    <w:nsid w:val="579328B9"/>
    <w:multiLevelType w:val="hybridMultilevel"/>
    <w:lvl w:ilvl="0">
      <w:lvlJc w:val="left"/>
      <w:lvlText w:val="$"/>
      <w:numFmt w:val="bullet"/>
      <w:start w:val="1"/>
    </w:lvl>
  </w:abstractNum>
  <w:abstractNum w:abstractNumId="35">
    <w:nsid w:val="5D205E20"/>
    <w:multiLevelType w:val="hybridMultilevel"/>
    <w:lvl w:ilvl="0">
      <w:lvlJc w:val="left"/>
      <w:lvlText w:val="$"/>
      <w:numFmt w:val="bullet"/>
      <w:start w:val="1"/>
    </w:lvl>
  </w:abstractNum>
  <w:abstractNum w:abstractNumId="36">
    <w:nsid w:val="11CCA8BA"/>
    <w:multiLevelType w:val="hybridMultilevel"/>
    <w:lvl w:ilvl="0">
      <w:lvlJc w:val="left"/>
      <w:lvlText w:val="●"/>
      <w:numFmt w:val="bullet"/>
      <w:start w:val="1"/>
    </w:lvl>
  </w:abstractNum>
  <w:abstractNum w:abstractNumId="37">
    <w:nsid w:val="4D32AB86"/>
    <w:multiLevelType w:val="hybridMultilevel"/>
    <w:lvl w:ilvl="0">
      <w:lvlJc w:val="left"/>
      <w:lvlText w:val="(%1)"/>
      <w:numFmt w:val="decimal"/>
      <w:start w:val="1"/>
    </w:lvl>
  </w:abstractNum>
  <w:abstractNum w:abstractNumId="38">
    <w:nsid w:val="3F07ACC3"/>
    <w:multiLevelType w:val="hybridMultilevel"/>
    <w:lvl w:ilvl="0">
      <w:lvlJc w:val="left"/>
      <w:lvlText w:val="●"/>
      <w:numFmt w:val="bullet"/>
      <w:start w:val="1"/>
    </w:lvl>
  </w:abstractNum>
  <w:abstractNum w:abstractNumId="39">
    <w:nsid w:val="6B47F63E"/>
    <w:multiLevelType w:val="hybridMultilevel"/>
    <w:lvl w:ilvl="0">
      <w:lvlJc w:val="left"/>
      <w:lvlText w:val="$"/>
      <w:numFmt w:val="bullet"/>
      <w:start w:val="1"/>
    </w:lvl>
  </w:abstractNum>
  <w:abstractNum w:abstractNumId="40">
    <w:nsid w:val="5CB44A05"/>
    <w:multiLevelType w:val="hybridMultilevel"/>
    <w:lvl w:ilvl="0">
      <w:lvlJc w:val="left"/>
      <w:lvlText w:val="$"/>
      <w:numFmt w:val="bullet"/>
      <w:start w:val="1"/>
    </w:lvl>
  </w:abstractNum>
  <w:abstractNum w:abstractNumId="41">
    <w:nsid w:val="16CF80F1"/>
    <w:multiLevelType w:val="hybridMultilevel"/>
    <w:lvl w:ilvl="0">
      <w:lvlJc w:val="left"/>
      <w:lvlText w:val="(%1)"/>
      <w:numFmt w:val="decimal"/>
      <w:start w:val="1"/>
    </w:lvl>
  </w:abstractNum>
  <w:abstractNum w:abstractNumId="42">
    <w:nsid w:val="1C695DEC"/>
    <w:multiLevelType w:val="hybridMultilevel"/>
    <w:lvl w:ilvl="0">
      <w:lvlJc w:val="left"/>
      <w:lvlText w:val="$"/>
      <w:numFmt w:val="bullet"/>
      <w:start w:val="1"/>
    </w:lvl>
  </w:abstractNum>
  <w:abstractNum w:abstractNumId="43">
    <w:nsid w:val="3FCFAED9"/>
    <w:multiLevelType w:val="hybridMultilevel"/>
    <w:lvl w:ilvl="0">
      <w:lvlJc w:val="left"/>
      <w:lvlText w:val="$"/>
      <w:numFmt w:val="bullet"/>
      <w:start w:val="1"/>
    </w:lvl>
  </w:abstractNum>
  <w:abstractNum w:abstractNumId="44">
    <w:nsid w:val="F856867"/>
    <w:multiLevelType w:val="hybridMultilevel"/>
    <w:lvl w:ilvl="0">
      <w:lvlJc w:val="left"/>
      <w:lvlText w:val="$"/>
      <w:numFmt w:val="bullet"/>
      <w:start w:val="1"/>
    </w:lvl>
  </w:abstractNum>
  <w:abstractNum w:abstractNumId="45">
    <w:nsid w:val="11B1CC33"/>
    <w:multiLevelType w:val="hybridMultilevel"/>
    <w:lvl w:ilvl="0">
      <w:lvlJc w:val="left"/>
      <w:lvlText w:val="$"/>
      <w:numFmt w:val="bullet"/>
      <w:start w:val="1"/>
    </w:lvl>
  </w:abstractNum>
  <w:abstractNum w:abstractNumId="46">
    <w:nsid w:val="2E22FBB7"/>
    <w:multiLevelType w:val="hybridMultilevel"/>
    <w:lvl w:ilvl="0">
      <w:lvlJc w:val="left"/>
      <w:lvlText w:val="$"/>
      <w:numFmt w:val="bullet"/>
      <w:start w:val="1"/>
    </w:lvl>
  </w:abstractNum>
  <w:abstractNum w:abstractNumId="47">
    <w:nsid w:val="29934699"/>
    <w:multiLevelType w:val="hybridMultilevel"/>
    <w:lvl w:ilvl="0">
      <w:lvlJc w:val="left"/>
      <w:lvlText w:val="$"/>
      <w:numFmt w:val="bullet"/>
      <w:start w:val="1"/>
    </w:lvl>
  </w:abstractNum>
  <w:abstractNum w:abstractNumId="48">
    <w:nsid w:val="77485850"/>
    <w:multiLevelType w:val="hybridMultilevel"/>
    <w:lvl w:ilvl="0">
      <w:lvlJc w:val="left"/>
      <w:lvlText w:val="$"/>
      <w:numFmt w:val="bullet"/>
      <w:start w:val="1"/>
    </w:lvl>
  </w:abstractNum>
  <w:abstractNum w:abstractNumId="49">
    <w:nsid w:val="744939A3"/>
    <w:multiLevelType w:val="hybridMultilevel"/>
    <w:lvl w:ilvl="0">
      <w:lvlJc w:val="left"/>
      <w:lvlText w:val="$"/>
      <w:numFmt w:val="bullet"/>
      <w:start w:val="1"/>
    </w:lvl>
  </w:abstractNum>
  <w:abstractNum w:abstractNumId="50">
    <w:nsid w:val="4FA0D2E3"/>
    <w:multiLevelType w:val="hybridMultilevel"/>
    <w:lvl w:ilvl="0">
      <w:lvlJc w:val="left"/>
      <w:lvlText w:val="$"/>
      <w:numFmt w:val="bullet"/>
      <w:start w:val="1"/>
    </w:lvl>
  </w:abstractNum>
  <w:abstractNum w:abstractNumId="51">
    <w:nsid w:val="6B1D2C14"/>
    <w:multiLevelType w:val="hybridMultilevel"/>
    <w:lvl w:ilvl="0">
      <w:lvlJc w:val="left"/>
      <w:lvlText w:val="$"/>
      <w:numFmt w:val="bullet"/>
      <w:start w:val="1"/>
    </w:lvl>
  </w:abstractNum>
  <w:abstractNum w:abstractNumId="52">
    <w:nsid w:val="68B867D3"/>
    <w:multiLevelType w:val="hybridMultilevel"/>
    <w:lvl w:ilvl="0">
      <w:lvlJc w:val="left"/>
      <w:lvlText w:val="$"/>
      <w:numFmt w:val="bullet"/>
      <w:start w:val="1"/>
    </w:lvl>
  </w:abstractNum>
  <w:abstractNum w:abstractNumId="53">
    <w:nsid w:val="3F7F5DD9"/>
    <w:multiLevelType w:val="hybridMultilevel"/>
    <w:lvl w:ilvl="0">
      <w:lvlJc w:val="left"/>
      <w:lvlText w:val="$"/>
      <w:numFmt w:val="bullet"/>
      <w:start w:val="1"/>
    </w:lvl>
  </w:abstractNum>
  <w:abstractNum w:abstractNumId="54">
    <w:nsid w:val="2AE05A34"/>
    <w:multiLevelType w:val="hybridMultilevel"/>
    <w:lvl w:ilvl="0">
      <w:lvlJc w:val="left"/>
      <w:lvlText w:val="●"/>
      <w:numFmt w:val="bullet"/>
      <w:start w:val="1"/>
    </w:lvl>
  </w:abstractNum>
  <w:abstractNum w:abstractNumId="55">
    <w:nsid w:val="32794FF7"/>
    <w:multiLevelType w:val="hybridMultilevel"/>
    <w:lvl w:ilvl="0">
      <w:lvlJc w:val="left"/>
      <w:lvlText w:val="$"/>
      <w:numFmt w:val="bullet"/>
      <w:start w:val="1"/>
    </w:lvl>
  </w:abstractNum>
  <w:abstractNum w:abstractNumId="56">
    <w:nsid w:val="5454945E"/>
    <w:multiLevelType w:val="hybridMultilevel"/>
    <w:lvl w:ilvl="0">
      <w:lvlJc w:val="left"/>
      <w:lvlText w:val="$"/>
      <w:numFmt w:val="bullet"/>
      <w:start w:val="1"/>
    </w:lvl>
  </w:abstractNum>
  <w:abstractNum w:abstractNumId="57">
    <w:nsid w:val="4DEFDFA0"/>
    <w:multiLevelType w:val="hybridMultilevel"/>
    <w:lvl w:ilvl="0">
      <w:lvlJc w:val="left"/>
      <w:lvlText w:val="(%1)"/>
      <w:numFmt w:val="decimal"/>
      <w:start w:val="1"/>
    </w:lvl>
  </w:abstractNum>
  <w:abstractNum w:abstractNumId="58">
    <w:nsid w:val="2123D5F2"/>
    <w:multiLevelType w:val="hybridMultilevel"/>
    <w:lvl w:ilvl="0">
      <w:lvlJc w:val="left"/>
      <w:lvlText w:val="$"/>
      <w:numFmt w:val="bullet"/>
      <w:start w:val="1"/>
    </w:lvl>
  </w:abstractNum>
  <w:abstractNum w:abstractNumId="59">
    <w:nsid w:val="135B8110"/>
    <w:multiLevelType w:val="hybridMultilevel"/>
    <w:lvl w:ilvl="0">
      <w:lvlJc w:val="left"/>
      <w:lvlText w:val="$"/>
      <w:numFmt w:val="bullet"/>
      <w:start w:val="1"/>
    </w:lvl>
  </w:abstractNum>
  <w:abstractNum w:abstractNumId="60">
    <w:nsid w:val="94927A8"/>
    <w:multiLevelType w:val="hybridMultilevel"/>
    <w:lvl w:ilvl="0">
      <w:lvlJc w:val="left"/>
      <w:lvlText w:val="●"/>
      <w:numFmt w:val="bullet"/>
      <w:start w:val="1"/>
    </w:lvl>
  </w:abstractNum>
  <w:abstractNum w:abstractNumId="61">
    <w:nsid w:val="DCDF8F6"/>
    <w:multiLevelType w:val="hybridMultilevel"/>
    <w:lvl w:ilvl="0">
      <w:lvlJc w:val="left"/>
      <w:lvlText w:val="(%1)"/>
      <w:numFmt w:val="decimal"/>
      <w:start w:val="1"/>
    </w:lvl>
  </w:abstractNum>
  <w:abstractNum w:abstractNumId="62">
    <w:nsid w:val="52D7B105"/>
    <w:multiLevelType w:val="hybridMultilevel"/>
    <w:lvl w:ilvl="0">
      <w:lvlJc w:val="left"/>
      <w:lvlText w:val="(%1)"/>
      <w:numFmt w:val="decimal"/>
      <w:start w:val="1"/>
    </w:lvl>
  </w:abstractNum>
  <w:abstractNum w:abstractNumId="63">
    <w:nsid w:val="2E8A6394"/>
    <w:multiLevelType w:val="hybridMultilevel"/>
    <w:lvl w:ilvl="0">
      <w:lvlJc w:val="left"/>
      <w:lvlText w:val="(%1)"/>
      <w:numFmt w:val="decimal"/>
      <w:start w:val="1"/>
    </w:lvl>
  </w:abstractNum>
  <w:abstractNum w:abstractNumId="64">
    <w:nsid w:val="24E60401"/>
    <w:multiLevelType w:val="hybridMultilevel"/>
    <w:lvl w:ilvl="0">
      <w:lvlJc w:val="left"/>
      <w:lvlText w:val="(%1)"/>
      <w:numFmt w:val="decimal"/>
      <w:start w:val="1"/>
    </w:lvl>
  </w:abstractNum>
  <w:abstractNum w:abstractNumId="65">
    <w:nsid w:val="2A6AD9BE"/>
    <w:multiLevelType w:val="hybridMultilevel"/>
    <w:lvl w:ilvl="0">
      <w:lvlJc w:val="left"/>
      <w:lvlText w:val="(%1)"/>
      <w:numFmt w:val="decimal"/>
      <w:start w:val="1"/>
    </w:lvl>
  </w:abstractNum>
  <w:abstractNum w:abstractNumId="66">
    <w:nsid w:val="BAAC1B4"/>
    <w:multiLevelType w:val="hybridMultilevel"/>
    <w:lvl w:ilvl="0">
      <w:lvlJc w:val="left"/>
      <w:lvlText w:val="●"/>
      <w:numFmt w:val="bullet"/>
      <w:start w:val="1"/>
    </w:lvl>
  </w:abstractNum>
  <w:abstractNum w:abstractNumId="67">
    <w:nsid w:val="36B2ACBC"/>
    <w:multiLevelType w:val="hybridMultilevel"/>
    <w:lvl w:ilvl="0">
      <w:lvlJc w:val="left"/>
      <w:lvlText w:val="*"/>
      <w:numFmt w:val="bullet"/>
      <w:start w:val="1"/>
    </w:lvl>
  </w:abstractNum>
  <w:abstractNum w:abstractNumId="68">
    <w:nsid w:val="779D8544"/>
    <w:multiLevelType w:val="hybridMultilevel"/>
    <w:lvl w:ilvl="0">
      <w:lvlJc w:val="left"/>
      <w:lvlText w:val="(%1)"/>
      <w:numFmt w:val="decimal"/>
      <w:start w:val="1"/>
    </w:lvl>
  </w:abstractNum>
  <w:abstractNum w:abstractNumId="69">
    <w:nsid w:val="4AB26E78"/>
    <w:multiLevelType w:val="hybridMultilevel"/>
    <w:lvl w:ilvl="0">
      <w:lvlJc w:val="left"/>
      <w:lvlText w:val="(%1)"/>
      <w:numFmt w:val="decimal"/>
      <w:start w:val="2"/>
    </w:lvl>
  </w:abstractNum>
  <w:abstractNum w:abstractNumId="70">
    <w:nsid w:val="21FAA2FA"/>
    <w:multiLevelType w:val="hybridMultilevel"/>
    <w:lvl w:ilvl="0">
      <w:lvlJc w:val="left"/>
      <w:lvlText w:val="(%1)"/>
      <w:numFmt w:val="decimal"/>
      <w:start w:val="1"/>
    </w:lvl>
  </w:abstractNum>
  <w:abstractNum w:abstractNumId="71">
    <w:nsid w:val="5451CF49"/>
    <w:multiLevelType w:val="hybridMultilevel"/>
    <w:lvl w:ilvl="0">
      <w:lvlJc w:val="left"/>
      <w:lvlText w:val="(%1)"/>
      <w:numFmt w:val="decimal"/>
      <w:start w:val="1"/>
    </w:lvl>
  </w:abstractNum>
  <w:abstractNum w:abstractNumId="72">
    <w:nsid w:val="6181EF69"/>
    <w:multiLevelType w:val="hybridMultilevel"/>
    <w:lvl w:ilvl="0">
      <w:lvlJc w:val="left"/>
      <w:lvlText w:val="(%1)"/>
      <w:numFmt w:val="decimal"/>
      <w:start w:val="1"/>
    </w:lvl>
  </w:abstractNum>
  <w:abstractNum w:abstractNumId="73">
    <w:nsid w:val="3E6400E6"/>
    <w:multiLevelType w:val="hybridMultilevel"/>
    <w:lvl w:ilvl="0">
      <w:lvlJc w:val="left"/>
      <w:lvlText w:val="(%1)"/>
      <w:numFmt w:val="lowerLetter"/>
      <w:start w:val="1"/>
    </w:lvl>
    <w:lvl w:ilvl="1">
      <w:lvlJc w:val="left"/>
      <w:lvlText w:val="(%2)"/>
      <w:numFmt w:val="decimal"/>
      <w:start w:val="1"/>
    </w:lvl>
  </w:abstractNum>
  <w:abstractNum w:abstractNumId="74">
    <w:nsid w:val="14217E23"/>
    <w:multiLevelType w:val="hybridMultilevel"/>
    <w:lvl w:ilvl="0">
      <w:lvlJc w:val="left"/>
      <w:lvlText w:val="*"/>
      <w:numFmt w:val="bullet"/>
      <w:start w:val="1"/>
    </w:lvl>
  </w:abstractNum>
  <w:abstractNum w:abstractNumId="75">
    <w:nsid w:val="710757D0"/>
    <w:multiLevelType w:val="hybridMultilevel"/>
    <w:lvl w:ilvl="0">
      <w:lvlJc w:val="left"/>
      <w:lvlText w:val="**"/>
      <w:numFmt w:val="bullet"/>
      <w:start w:val="1"/>
    </w:lvl>
  </w:abstractNum>
  <w:abstractNum w:abstractNumId="76">
    <w:nsid w:val="5015CD1A"/>
    <w:multiLevelType w:val="hybridMultilevel"/>
    <w:lvl w:ilvl="0">
      <w:lvlJc w:val="left"/>
      <w:lvlText w:val="#"/>
      <w:numFmt w:val="bullet"/>
      <w:start w:val="1"/>
    </w:lvl>
  </w:abstractNum>
  <w:abstractNum w:abstractNumId="77">
    <w:nsid w:val="424479DA"/>
    <w:multiLevelType w:val="hybridMultilevel"/>
    <w:lvl w:ilvl="0">
      <w:lvlJc w:val="left"/>
      <w:lvlText w:val="†"/>
      <w:numFmt w:val="bullet"/>
      <w:start w:val="1"/>
    </w:lvl>
  </w:abstractNum>
  <w:abstractNum w:abstractNumId="78">
    <w:nsid w:val="1A9A9E69"/>
    <w:multiLevelType w:val="hybridMultilevel"/>
    <w:lvl w:ilvl="0">
      <w:lvlJc w:val="left"/>
      <w:lvlText w:val="●"/>
      <w:numFmt w:val="bullet"/>
      <w:start w:val="1"/>
    </w:lvl>
  </w:abstractNum>
  <w:abstractNum w:abstractNumId="79">
    <w:nsid w:val="475E256A"/>
    <w:multiLevelType w:val="hybridMultilevel"/>
    <w:lvl w:ilvl="0">
      <w:lvlJc w:val="left"/>
      <w:lvlText w:val="●"/>
      <w:numFmt w:val="bullet"/>
      <w:start w:val="1"/>
    </w:lvl>
  </w:abstractNum>
  <w:abstractNum w:abstractNumId="80">
    <w:nsid w:val="368DB37E"/>
    <w:multiLevelType w:val="hybridMultilevel"/>
    <w:lvl w:ilvl="0">
      <w:lvlJc w:val="left"/>
      <w:lvlText w:val="●"/>
      <w:numFmt w:val="bullet"/>
      <w:start w:val="1"/>
    </w:lvl>
  </w:abstractNum>
  <w:abstractNum w:abstractNumId="81">
    <w:nsid w:val="6A3B714C"/>
    <w:multiLevelType w:val="hybridMultilevel"/>
    <w:lvl w:ilvl="0">
      <w:lvlJc w:val="left"/>
      <w:lvlText w:val="●"/>
      <w:numFmt w:val="bullet"/>
      <w:start w:val="1"/>
    </w:lvl>
  </w:abstractNum>
  <w:abstractNum w:abstractNumId="82">
    <w:nsid w:val="327B517E"/>
    <w:multiLevelType w:val="hybridMultilevel"/>
    <w:lvl w:ilvl="0">
      <w:lvlJc w:val="left"/>
      <w:lvlText w:val="%1."/>
      <w:numFmt w:val="decimal"/>
      <w:start w:val="1"/>
    </w:lvl>
  </w:abstractNum>
  <w:abstractNum w:abstractNumId="83">
    <w:nsid w:val="1F461B51"/>
    <w:multiLevelType w:val="hybridMultilevel"/>
    <w:lvl w:ilvl="0">
      <w:lvlJc w:val="left"/>
      <w:lvlText w:val="%1."/>
      <w:numFmt w:val="decimal"/>
      <w:start w:val="3"/>
    </w:lvl>
  </w:abstractNum>
  <w:abstractNum w:abstractNumId="84">
    <w:nsid w:val="29BACF25"/>
    <w:multiLevelType w:val="hybridMultilevel"/>
    <w:lvl w:ilvl="0">
      <w:lvlJc w:val="left"/>
      <w:lvlText w:val="(%1)"/>
      <w:numFmt w:val="lowerLetter"/>
      <w:start w:val="1"/>
    </w:lvl>
  </w:abstractNum>
  <w:abstractNum w:abstractNumId="85">
    <w:nsid w:val="5D5BABB3"/>
    <w:multiLevelType w:val="hybridMultilevel"/>
    <w:lvl w:ilvl="0">
      <w:lvlJc w:val="left"/>
      <w:lvlText w:val="%1."/>
      <w:numFmt w:val="decimal"/>
      <w:start w:val="5"/>
    </w:lvl>
  </w:abstractNum>
  <w:abstractNum w:abstractNumId="86">
    <w:nsid w:val="51BF6B48"/>
    <w:multiLevelType w:val="hybridMultilevel"/>
    <w:lvl w:ilvl="0">
      <w:lvlJc w:val="left"/>
      <w:lvlText w:val="(%1)"/>
      <w:numFmt w:val="lowerLetter"/>
      <w:start w:val="1"/>
    </w:lvl>
  </w:abstractNum>
  <w:abstractNum w:abstractNumId="87">
    <w:nsid w:val="7E0F6384"/>
    <w:multiLevelType w:val="hybridMultilevel"/>
    <w:lvl w:ilvl="0">
      <w:lvlJc w:val="left"/>
      <w:lvlText w:val="%1."/>
      <w:numFmt w:val="decimal"/>
      <w:start w:val="6"/>
    </w:lvl>
  </w:abstractNum>
  <w:abstractNum w:abstractNumId="88">
    <w:nsid w:val="2B4B8B53"/>
    <w:multiLevelType w:val="hybridMultilevel"/>
    <w:lvl w:ilvl="0">
      <w:lvlJc w:val="left"/>
      <w:lvlText w:val="%1."/>
      <w:numFmt w:val="decimal"/>
      <w:start w:val="7"/>
    </w:lvl>
  </w:abstractNum>
  <w:abstractNum w:abstractNumId="89">
    <w:nsid w:val="72E3413A"/>
    <w:multiLevelType w:val="hybridMultilevel"/>
    <w:lvl w:ilvl="0">
      <w:lvlJc w:val="left"/>
      <w:lvlText w:val="(%1)"/>
      <w:numFmt w:val="lowerLetter"/>
      <w:start w:val="1"/>
    </w:lvl>
  </w:abstractNum>
  <w:abstractNum w:abstractNumId="90">
    <w:nsid w:val="116AE494"/>
    <w:multiLevelType w:val="hybridMultilevel"/>
    <w:lvl w:ilvl="0">
      <w:lvlJc w:val="left"/>
      <w:lvlText w:val="(%1)"/>
      <w:numFmt w:val="lowerLetter"/>
      <w:start w:val="9"/>
    </w:lvl>
  </w:abstractNum>
  <w:abstractNum w:abstractNumId="91">
    <w:nsid w:val="3494B2FB"/>
    <w:multiLevelType w:val="hybridMultilevel"/>
    <w:lvl w:ilvl="0">
      <w:lvlJc w:val="left"/>
      <w:lvlText w:val="(%1)"/>
      <w:numFmt w:val="lowerLetter"/>
      <w:start w:val="3"/>
    </w:lvl>
  </w:abstractNum>
  <w:abstractNum w:abstractNumId="92">
    <w:nsid w:val="B13A31"/>
    <w:multiLevelType w:val="hybridMultilevel"/>
    <w:lvl w:ilvl="0">
      <w:lvlJc w:val="left"/>
      <w:lvlText w:val="%1."/>
      <w:numFmt w:val="decimal"/>
      <w:start w:val="10"/>
    </w:lvl>
    <w:lvl w:ilvl="1">
      <w:lvlJc w:val="left"/>
      <w:lvlText w:val="(%2)"/>
      <w:numFmt w:val="upperLetter"/>
      <w:start w:val="1"/>
    </w:lvl>
  </w:abstractNum>
  <w:abstractNum w:abstractNumId="93">
    <w:nsid w:val="64429599"/>
    <w:multiLevelType w:val="hybridMultilevel"/>
    <w:lvl w:ilvl="0">
      <w:lvlJc w:val="left"/>
      <w:lvlText w:val="(%1)"/>
      <w:numFmt w:val="upperLetter"/>
      <w:start w:val="24"/>
    </w:lvl>
  </w:abstractNum>
  <w:abstractNum w:abstractNumId="94">
    <w:nsid w:val="631F1690"/>
    <w:multiLevelType w:val="hybridMultilevel"/>
    <w:lvl w:ilvl="0">
      <w:lvlJc w:val="left"/>
      <w:lvlText w:val="%1."/>
      <w:numFmt w:val="decimal"/>
      <w:start w:val="11"/>
    </w:lvl>
  </w:abstractNum>
  <w:abstractNum w:abstractNumId="95">
    <w:nsid w:val="25973E32"/>
    <w:multiLevelType w:val="hybridMultilevel"/>
    <w:lvl w:ilvl="0">
      <w:lvlJc w:val="left"/>
      <w:lvlText w:val="%1"/>
      <w:numFmt w:val="decimal"/>
      <w:start w:val="144"/>
    </w:lvl>
  </w:abstractNum>
  <w:abstractNum w:abstractNumId="96">
    <w:nsid w:val="EAD6F57"/>
    <w:multiLevelType w:val="hybridMultilevel"/>
    <w:lvl w:ilvl="0">
      <w:lvlJc w:val="left"/>
      <w:lvlText w:val="%1."/>
      <w:numFmt w:val="decimal"/>
      <w:start w:val="12"/>
    </w:lvl>
  </w:abstractNum>
  <w:abstractNum w:abstractNumId="97">
    <w:nsid w:val="6EC9D844"/>
    <w:multiLevelType w:val="hybridMultilevel"/>
    <w:lvl w:ilvl="0">
      <w:lvlJc w:val="left"/>
      <w:lvlText w:val="%1"/>
      <w:numFmt w:val="decimal"/>
      <w:start w:val="12"/>
    </w:lvl>
  </w:abstractNum>
  <w:abstractNum w:abstractNumId="98">
    <w:nsid w:val="5C49EAEE"/>
    <w:multiLevelType w:val="hybridMultilevel"/>
    <w:lvl w:ilvl="0">
      <w:lvlJc w:val="left"/>
      <w:lvlText w:val="%1."/>
      <w:numFmt w:val="decimal"/>
      <w:start w:val="13"/>
    </w:lvl>
  </w:abstractNum>
  <w:abstractNum w:abstractNumId="99">
    <w:nsid w:val="64AF49B"/>
    <w:multiLevelType w:val="hybridMultilevel"/>
    <w:lvl w:ilvl="0">
      <w:lvlJc w:val="left"/>
      <w:lvlText w:val="(%1)"/>
      <w:numFmt w:val="lowerLetter"/>
      <w:start w:val="1"/>
    </w:lvl>
  </w:abstractNum>
  <w:abstractNum w:abstractNumId="100">
    <w:nsid w:val="397C46BC"/>
    <w:multiLevelType w:val="hybridMultilevel"/>
    <w:lvl w:ilvl="0">
      <w:lvlJc w:val="left"/>
      <w:lvlText w:val="(%1)"/>
      <w:numFmt w:val="lowerLetter"/>
      <w:start w:val="3"/>
    </w:lvl>
  </w:abstractNum>
  <w:abstractNum w:abstractNumId="101">
    <w:nsid w:val="7E448DE9"/>
    <w:multiLevelType w:val="hybridMultilevel"/>
    <w:lvl w:ilvl="0">
      <w:lvlJc w:val="left"/>
      <w:lvlText w:val="(%1)"/>
      <w:numFmt w:val="decimal"/>
      <w:start w:val="1"/>
    </w:lvl>
    <w:lvl w:ilvl="1">
      <w:lvlJc w:val="left"/>
      <w:lvlText w:val="☐"/>
      <w:numFmt w:val="bullet"/>
      <w:start w:val="1"/>
    </w:lvl>
  </w:abstractNum>
  <w:abstractNum w:abstractNumId="102">
    <w:nsid w:val="5A9CC3E5"/>
    <w:multiLevelType w:val="hybridMultilevel"/>
    <w:lvl w:ilvl="0">
      <w:lvlJc w:val="left"/>
      <w:lvlText w:val="(%1)"/>
      <w:numFmt w:val="lowerLetter"/>
      <w:start w:val="1"/>
    </w:lvl>
  </w:abstractNum>
  <w:abstractNum w:abstractNumId="103">
    <w:nsid w:val="1AFE3625"/>
    <w:multiLevelType w:val="hybridMultilevel"/>
    <w:lvl w:ilvl="0">
      <w:lvlJc w:val="left"/>
      <w:lvlText w:val="%1."/>
      <w:numFmt w:val="decimal"/>
      <w:start w:val="1"/>
    </w:lvl>
  </w:abstractNum>
  <w:abstractNum w:abstractNumId="104">
    <w:nsid w:val="3CA88ECF"/>
    <w:multiLevelType w:val="hybridMultilevel"/>
    <w:lvl w:ilvl="0">
      <w:lvlJc w:val="left"/>
      <w:lvlText w:val="%1."/>
      <w:numFmt w:val="decimal"/>
      <w:start w:val="4"/>
    </w:lvl>
  </w:abstractNum>
  <w:abstractNum w:abstractNumId="105">
    <w:nsid w:val="6EBE4208"/>
    <w:multiLevelType w:val="hybridMultilevel"/>
    <w:lvl w:ilvl="0">
      <w:lvlJc w:val="left"/>
      <w:lvlText w:val="%1."/>
      <w:numFmt w:val="decimal"/>
      <w:start w:val="8"/>
    </w:lvl>
  </w:abstractNum>
  <w:abstractNum w:abstractNumId="106">
    <w:nsid w:val="C058DF5"/>
    <w:multiLevelType w:val="hybridMultilevel"/>
    <w:lvl w:ilvl="0">
      <w:lvlJc w:val="left"/>
      <w:lvlText w:val="(%1)"/>
      <w:numFmt w:val="lowerLetter"/>
      <w:start w:val="1"/>
    </w:lvl>
  </w:abstractNum>
  <w:abstractNum w:abstractNumId="107">
    <w:nsid w:val="CBE5BE9"/>
    <w:multiLevelType w:val="hybridMultilevel"/>
    <w:lvl w:ilvl="0">
      <w:lvlJc w:val="left"/>
      <w:lvlText w:val="(%1)"/>
      <w:numFmt w:val="lowerRoman"/>
      <w:start w:val="1"/>
    </w:lvl>
  </w:abstractNum>
  <w:abstractNum w:abstractNumId="108">
    <w:nsid w:val="3102BBE2"/>
    <w:multiLevelType w:val="hybridMultilevel"/>
    <w:lvl w:ilvl="0">
      <w:lvlJc w:val="left"/>
      <w:lvlText w:val="%1."/>
      <w:numFmt w:val="decimal"/>
      <w:start w:val="10"/>
    </w:lvl>
    <w:lvl w:ilvl="1">
      <w:lvlJc w:val="left"/>
      <w:lvlText w:val="(%2)"/>
      <w:numFmt w:val="lowerLetter"/>
      <w:start w:val="1"/>
    </w:lvl>
  </w:abstractNum>
  <w:abstractNum w:abstractNumId="109">
    <w:nsid w:val="26A02C5E"/>
    <w:multiLevelType w:val="hybridMultilevel"/>
    <w:lvl w:ilvl="0">
      <w:lvlJc w:val="left"/>
      <w:lvlText w:val="%1."/>
      <w:numFmt w:val="decimal"/>
      <w:start w:val="11"/>
    </w:lvl>
    <w:lvl w:ilvl="1">
      <w:lvlJc w:val="left"/>
      <w:lvlText w:val="(%2)"/>
      <w:numFmt w:val="lowerLetter"/>
      <w:start w:val="1"/>
    </w:lvl>
  </w:abstractNum>
  <w:abstractNum w:abstractNumId="110">
    <w:nsid w:val="541C8153"/>
    <w:multiLevelType w:val="hybridMultilevel"/>
    <w:lvl w:ilvl="0">
      <w:lvlJc w:val="left"/>
      <w:lvlText w:val="%1."/>
      <w:numFmt w:val="decimal"/>
      <w:start w:val="12"/>
    </w:lvl>
    <w:lvl w:ilvl="1">
      <w:lvlJc w:val="left"/>
      <w:lvlText w:val="(%2)"/>
      <w:numFmt w:val="lowerLetter"/>
      <w:start w:val="1"/>
    </w:lvl>
  </w:abstractNum>
  <w:abstractNum w:abstractNumId="111">
    <w:nsid w:val="67906F60"/>
    <w:multiLevelType w:val="hybridMultilevel"/>
    <w:lvl w:ilvl="0">
      <w:lvlJc w:val="left"/>
      <w:lvlText w:val="%1."/>
      <w:numFmt w:val="decimal"/>
      <w:start w:val="13"/>
    </w:lvl>
    <w:lvl w:ilvl="1">
      <w:lvlJc w:val="left"/>
      <w:lvlText w:val="(%2)"/>
      <w:numFmt w:val="lowerLetter"/>
      <w:start w:val="1"/>
    </w:lvl>
  </w:abstractNum>
  <w:abstractNum w:abstractNumId="112">
    <w:nsid w:val="10DB9DAA"/>
    <w:multiLevelType w:val="hybridMultilevel"/>
    <w:lvl w:ilvl="0">
      <w:lvlJc w:val="left"/>
      <w:lvlText w:val="%1"/>
      <w:numFmt w:val="decimal"/>
      <w:start w:val="1"/>
    </w:lvl>
    <w:lvl w:ilvl="1">
      <w:lvlJc w:val="left"/>
      <w:lvlText w:val="(%2)"/>
      <w:numFmt w:val="lowerLetter"/>
      <w:start w:val="5"/>
    </w:lvl>
  </w:abstractNum>
  <w:abstractNum w:abstractNumId="113">
    <w:nsid w:val="697D2D2"/>
    <w:multiLevelType w:val="hybridMultilevel"/>
    <w:lvl w:ilvl="0">
      <w:lvlJc w:val="left"/>
      <w:lvlText w:val="%1."/>
      <w:numFmt w:val="decimal"/>
      <w:start w:val="14"/>
    </w:lvl>
    <w:lvl w:ilvl="1">
      <w:lvlJc w:val="left"/>
      <w:lvlText w:val="%2"/>
      <w:numFmt w:val="lowerLetter"/>
      <w:start w:val="1"/>
    </w:lvl>
  </w:abstractNum>
  <w:abstractNum w:abstractNumId="114">
    <w:nsid w:val="6D68AB2"/>
    <w:multiLevelType w:val="hybridMultilevel"/>
    <w:lvl w:ilvl="0">
      <w:lvlJc w:val="left"/>
      <w:lvlText w:val="%1."/>
      <w:numFmt w:val="decimal"/>
      <w:start w:val="18"/>
    </w:lvl>
  </w:abstractNum>
  <w:abstractNum w:abstractNumId="115">
    <w:nsid w:val="3A966CD0"/>
    <w:multiLevelType w:val="hybridMultilevel"/>
    <w:lvl w:ilvl="0">
      <w:lvlJc w:val="left"/>
      <w:lvlText w:val="%1."/>
      <w:numFmt w:val="decimal"/>
      <w:start w:val="1"/>
    </w:lvl>
  </w:abstractNum>
  <w:abstractNum w:abstractNumId="116">
    <w:nsid w:val="63F37E85"/>
    <w:multiLevelType w:val="hybridMultilevel"/>
    <w:lvl w:ilvl="0">
      <w:lvlJc w:val="left"/>
      <w:lvlText w:val="%1."/>
      <w:numFmt w:val="decimal"/>
      <w:start w:val="1"/>
    </w:lvl>
    <w:lvl w:ilvl="1">
      <w:lvlJc w:val="left"/>
      <w:lvlText w:val="(%2)"/>
      <w:numFmt w:val="lowerLetter"/>
      <w:start w:val="1"/>
    </w:lvl>
  </w:abstractNum>
  <w:abstractNum w:abstractNumId="117">
    <w:nsid w:val="5895F5FA"/>
    <w:multiLevelType w:val="hybridMultilevel"/>
    <w:lvl w:ilvl="0">
      <w:lvlJc w:val="left"/>
      <w:lvlText w:val="%1"/>
      <w:numFmt w:val="decimal"/>
      <w:start w:val="1"/>
    </w:lvl>
    <w:lvl w:ilvl="1">
      <w:lvlJc w:val="left"/>
      <w:lvlText w:val="(%2)"/>
      <w:numFmt w:val="lowerLetter"/>
      <w:start w:val="2"/>
    </w:lvl>
  </w:abstractNum>
  <w:abstractNum w:abstractNumId="118">
    <w:nsid w:val="38A5D054"/>
    <w:multiLevelType w:val="hybridMultilevel"/>
    <w:lvl w:ilvl="0">
      <w:lvlJc w:val="left"/>
      <w:lvlText w:val="%1."/>
      <w:numFmt w:val="decimal"/>
      <w:start w:val="4"/>
    </w:lvl>
    <w:lvl w:ilvl="1">
      <w:lvlJc w:val="left"/>
      <w:lvlText w:val="%2"/>
      <w:numFmt w:val="lowerLetter"/>
      <w:start w:val="1"/>
    </w:lvl>
  </w:abstractNum>
  <w:abstractNum w:abstractNumId="119">
    <w:nsid w:val="F3F09D8"/>
    <w:multiLevelType w:val="hybridMultilevel"/>
    <w:lvl w:ilvl="0">
      <w:lvlJc w:val="left"/>
      <w:lvlText w:val="%1."/>
      <w:numFmt w:val="decimal"/>
      <w:start w:val="8"/>
    </w:lvl>
  </w:abstractNum>
  <w:abstractNum w:abstractNumId="120">
    <w:nsid w:val="4B793735"/>
    <w:multiLevelType w:val="hybridMultilevel"/>
    <w:lvl w:ilvl="0">
      <w:lvlJc w:val="left"/>
      <w:lvlText w:val="%1."/>
      <w:numFmt w:val="decimal"/>
      <w:start w:val="9"/>
    </w:lvl>
    <w:lvl w:ilvl="1">
      <w:lvlJc w:val="left"/>
      <w:lvlText w:val="(%2)"/>
      <w:numFmt w:val="lowerLetter"/>
      <w:start w:val="1"/>
    </w:lvl>
  </w:abstractNum>
  <w:abstractNum w:abstractNumId="121">
    <w:nsid w:val="4A10B4E8"/>
    <w:multiLevelType w:val="hybridMultilevel"/>
    <w:lvl w:ilvl="0">
      <w:lvlJc w:val="left"/>
      <w:lvlText w:val="(%1)"/>
      <w:numFmt w:val="lowerRoman"/>
      <w:start w:val="1"/>
    </w:lvl>
  </w:abstractNum>
  <w:abstractNum w:abstractNumId="122">
    <w:nsid w:val="43D3BCD4"/>
    <w:multiLevelType w:val="hybridMultilevel"/>
    <w:lvl w:ilvl="0">
      <w:lvlJc w:val="left"/>
      <w:lvlText w:val="%1."/>
      <w:numFmt w:val="decimal"/>
      <w:start w:val="10"/>
    </w:lvl>
    <w:lvl w:ilvl="1">
      <w:lvlJc w:val="left"/>
      <w:lvlText w:val="(%2)"/>
      <w:numFmt w:val="lowerLetter"/>
      <w:start w:val="1"/>
    </w:lvl>
  </w:abstractNum>
  <w:abstractNum w:abstractNumId="123">
    <w:nsid w:val="4C2A7166"/>
    <w:multiLevelType w:val="hybridMultilevel"/>
    <w:lvl w:ilvl="0">
      <w:lvlJc w:val="left"/>
      <w:lvlText w:val="(%1)"/>
      <w:numFmt w:val="lowerLetter"/>
      <w:start w:val="4"/>
    </w:lvl>
  </w:abstractNum>
  <w:abstractNum w:abstractNumId="124">
    <w:nsid w:val="2E534A82"/>
    <w:multiLevelType w:val="hybridMultilevel"/>
    <w:lvl w:ilvl="0">
      <w:lvlJc w:val="left"/>
      <w:lvlText w:val="%1."/>
      <w:numFmt w:val="decimal"/>
      <w:start w:val="11"/>
    </w:lvl>
    <w:lvl w:ilvl="1">
      <w:lvlJc w:val="left"/>
      <w:lvlText w:val="(%2)"/>
      <w:numFmt w:val="lowerLetter"/>
      <w:start w:val="1"/>
    </w:lvl>
  </w:abstractNum>
  <w:abstractNum w:abstractNumId="125">
    <w:nsid w:val="26F2D364"/>
    <w:multiLevelType w:val="hybridMultilevel"/>
    <w:lvl w:ilvl="0">
      <w:lvlJc w:val="left"/>
      <w:lvlText w:val="%1"/>
      <w:numFmt w:val="decimal"/>
      <w:start w:val="1"/>
    </w:lvl>
    <w:lvl w:ilvl="1">
      <w:lvlJc w:val="left"/>
      <w:lvlText w:val="(%2)"/>
      <w:numFmt w:val="lowerLetter"/>
      <w:start w:val="4"/>
    </w:lvl>
  </w:abstractNum>
  <w:abstractNum w:abstractNumId="126">
    <w:nsid w:val="71C1AF98"/>
    <w:multiLevelType w:val="hybridMultilevel"/>
    <w:lvl w:ilvl="0">
      <w:lvlJc w:val="left"/>
      <w:lvlText w:val="%1."/>
      <w:numFmt w:val="decimal"/>
      <w:start w:val="12"/>
    </w:lvl>
    <w:lvl w:ilvl="1">
      <w:lvlJc w:val="left"/>
      <w:lvlText w:val="(%2)"/>
      <w:numFmt w:val="lowerLetter"/>
      <w:start w:val="1"/>
    </w:lvl>
  </w:abstractNum>
  <w:abstractNum w:abstractNumId="127">
    <w:nsid w:val="3D00B9D9"/>
    <w:multiLevelType w:val="hybridMultilevel"/>
    <w:lvl w:ilvl="0">
      <w:lvlJc w:val="left"/>
      <w:lvlText w:val="%1"/>
      <w:numFmt w:val="decimal"/>
      <w:start w:val="1"/>
    </w:lvl>
    <w:lvl w:ilvl="1">
      <w:lvlJc w:val="left"/>
      <w:lvlText w:val="(%2)"/>
      <w:numFmt w:val="lowerLetter"/>
      <w:start w:val="2"/>
    </w:lvl>
  </w:abstractNum>
  <w:abstractNum w:abstractNumId="128">
    <w:nsid w:val="15BCABA8"/>
    <w:multiLevelType w:val="hybridMultilevel"/>
    <w:lvl w:ilvl="0">
      <w:lvlJc w:val="left"/>
      <w:lvlText w:val="%1."/>
      <w:numFmt w:val="decimal"/>
      <w:start w:val="13"/>
    </w:lvl>
    <w:lvl w:ilvl="1">
      <w:lvlJc w:val="left"/>
      <w:lvlText w:val="(%2)"/>
      <w:numFmt w:val="lowerLetter"/>
      <w:start w:val="1"/>
    </w:lvl>
  </w:abstractNum>
  <w:abstractNum w:abstractNumId="129">
    <w:nsid w:val="4E0B9A87"/>
    <w:multiLevelType w:val="hybridMultilevel"/>
    <w:lvl w:ilvl="0">
      <w:lvlJc w:val="left"/>
      <w:lvlText w:val="%1"/>
      <w:numFmt w:val="decimal"/>
      <w:start w:val="1"/>
    </w:lvl>
    <w:lvl w:ilvl="1">
      <w:lvlJc w:val="left"/>
      <w:lvlText w:val="(%2)"/>
      <w:numFmt w:val="lowerLetter"/>
      <w:start w:val="3"/>
    </w:lvl>
  </w:abstractNum>
  <w:abstractNum w:abstractNumId="130">
    <w:nsid w:val="434BAE75"/>
    <w:multiLevelType w:val="hybridMultilevel"/>
    <w:lvl w:ilvl="0">
      <w:lvlJc w:val="left"/>
      <w:lvlText w:val="%1."/>
      <w:numFmt w:val="decimal"/>
      <w:start w:val="14"/>
    </w:lvl>
    <w:lvl w:ilvl="1">
      <w:lvlJc w:val="left"/>
      <w:lvlText w:val="%2"/>
      <w:numFmt w:val="lowerLetter"/>
      <w:start w:val="1"/>
    </w:lvl>
  </w:abstractNum>
  <w:abstractNum w:abstractNumId="131">
    <w:nsid w:val="4F38F265"/>
    <w:multiLevelType w:val="hybridMultilevel"/>
    <w:lvl w:ilvl="0">
      <w:lvlJc w:val="left"/>
      <w:lvlText w:val="%1."/>
      <w:numFmt w:val="decimal"/>
      <w:start w:val="17"/>
    </w:lvl>
  </w:abstractNum>
  <w:abstractNum w:abstractNumId="132">
    <w:nsid w:val="4C502870"/>
    <w:multiLevelType w:val="hybridMultilevel"/>
    <w:lvl w:ilvl="0">
      <w:lvlJc w:val="left"/>
      <w:lvlText w:val="%1."/>
      <w:numFmt w:val="decimal"/>
      <w:start w:val="22"/>
    </w:lvl>
  </w:abstractNum>
  <w:abstractNum w:abstractNumId="133">
    <w:nsid w:val="1DE8725A"/>
    <w:multiLevelType w:val="hybridMultilevel"/>
    <w:lvl w:ilvl="0">
      <w:lvlJc w:val="left"/>
      <w:lvlText w:val="%1."/>
      <w:numFmt w:val="decimal"/>
      <w:start w:val="1"/>
    </w:lvl>
  </w:abstractNum>
  <w:abstractNum w:abstractNumId="134">
    <w:nsid w:val="6A37288A"/>
    <w:multiLevelType w:val="hybridMultilevel"/>
    <w:lvl w:ilvl="0">
      <w:lvlJc w:val="left"/>
      <w:lvlText w:val="(%1)"/>
      <w:numFmt w:val="lowerLetter"/>
      <w:start w:val="1"/>
    </w:lvl>
  </w:abstractNum>
  <w:abstractNum w:abstractNumId="135">
    <w:nsid w:val="8F8B73F"/>
    <w:multiLevelType w:val="hybridMultilevel"/>
    <w:lvl w:ilvl="0">
      <w:lvlJc w:val="left"/>
      <w:lvlText w:val="(%1)"/>
      <w:numFmt w:val="lowerLetter"/>
      <w:start w:val="2"/>
    </w:lvl>
  </w:abstractNum>
  <w:abstractNum w:abstractNumId="136">
    <w:nsid w:val="CA6B462"/>
    <w:multiLevelType w:val="hybridMultilevel"/>
    <w:lvl w:ilvl="0">
      <w:lvlJc w:val="left"/>
      <w:lvlText w:val="%1."/>
      <w:numFmt w:val="decimal"/>
      <w:start w:val="2"/>
    </w:lvl>
  </w:abstractNum>
  <w:abstractNum w:abstractNumId="137">
    <w:nsid w:val="763CB680"/>
    <w:multiLevelType w:val="hybridMultilevel"/>
    <w:lvl w:ilvl="0">
      <w:lvlJc w:val="left"/>
      <w:lvlText w:val="%1."/>
      <w:numFmt w:val="decimal"/>
      <w:start w:val="3"/>
    </w:lvl>
  </w:abstractNum>
  <w:abstractNum w:abstractNumId="138">
    <w:nsid w:val="15B71329"/>
    <w:multiLevelType w:val="hybridMultilevel"/>
    <w:lvl w:ilvl="0">
      <w:lvlJc w:val="left"/>
      <w:lvlText w:val="(%1)"/>
      <w:numFmt w:val="lowerLetter"/>
      <w:start w:val="1"/>
    </w:lvl>
  </w:abstractNum>
  <w:abstractNum w:abstractNumId="139">
    <w:nsid w:val="3DA97044"/>
    <w:multiLevelType w:val="hybridMultilevel"/>
    <w:lvl w:ilvl="0">
      <w:lvlJc w:val="left"/>
      <w:lvlText w:val="%1."/>
      <w:numFmt w:val="decimal"/>
      <w:start w:val="4"/>
    </w:lvl>
  </w:abstractNum>
  <w:abstractNum w:abstractNumId="140">
    <w:nsid w:val="1CDCE2DE"/>
    <w:multiLevelType w:val="hybridMultilevel"/>
    <w:lvl w:ilvl="0">
      <w:lvlJc w:val="left"/>
      <w:lvlText w:val="%1."/>
      <w:numFmt w:val="decimal"/>
      <w:start w:val="6"/>
    </w:lvl>
  </w:abstractNum>
  <w:abstractNum w:abstractNumId="141">
    <w:nsid w:val="69D3947C"/>
    <w:multiLevelType w:val="hybridMultilevel"/>
    <w:lvl w:ilvl="0">
      <w:lvlJc w:val="left"/>
      <w:lvlText w:val="%1."/>
      <w:numFmt w:val="decimal"/>
      <w:start w:val="10"/>
    </w:lvl>
  </w:abstractNum>
  <w:abstractNum w:abstractNumId="142">
    <w:nsid w:val="2539DFA5"/>
    <w:multiLevelType w:val="hybridMultilevel"/>
    <w:lvl w:ilvl="0">
      <w:lvlJc w:val="left"/>
      <w:lvlText w:val="%1."/>
      <w:numFmt w:val="decimal"/>
      <w:start w:val="12"/>
    </w:lvl>
  </w:abstractNum>
  <w:abstractNum w:abstractNumId="143">
    <w:nsid w:val="2DB88089"/>
    <w:multiLevelType w:val="hybridMultilevel"/>
    <w:lvl w:ilvl="0">
      <w:lvlJc w:val="left"/>
      <w:lvlText w:val="(%1)"/>
      <w:numFmt w:val="lowerLetter"/>
      <w:start w:val="1"/>
    </w:lvl>
  </w:abstractNum>
  <w:abstractNum w:abstractNumId="144">
    <w:nsid w:val="706B674E"/>
    <w:multiLevelType w:val="hybridMultilevel"/>
    <w:lvl w:ilvl="0">
      <w:lvlJc w:val="left"/>
      <w:lvlText w:val="1"/>
      <w:numFmt w:val="bullet"/>
      <w:start w:val="1"/>
    </w:lvl>
  </w:abstractNum>
  <w:abstractNum w:abstractNumId="145">
    <w:nsid w:val="2C106A57"/>
    <w:multiLevelType w:val="hybridMultilevel"/>
    <w:lvl w:ilvl="0">
      <w:lvlJc w:val="left"/>
      <w:lvlText w:val="(%1)"/>
      <w:numFmt w:val="lowerLetter"/>
      <w:start w:val="4"/>
    </w:lvl>
  </w:abstractNum>
  <w:abstractNum w:abstractNumId="146">
    <w:nsid w:val="684EED59"/>
    <w:multiLevelType w:val="hybridMultilevel"/>
    <w:lvl w:ilvl="0">
      <w:lvlJc w:val="left"/>
      <w:lvlText w:val="%1."/>
      <w:numFmt w:val="decimal"/>
      <w:start w:val="13"/>
    </w:lvl>
  </w:abstractNum>
  <w:abstractNum w:abstractNumId="147">
    <w:nsid w:val="545EE5D3"/>
    <w:multiLevelType w:val="hybridMultilevel"/>
    <w:lvl w:ilvl="0">
      <w:lvlJc w:val="left"/>
      <w:lvlText w:val="2"/>
      <w:numFmt w:val="bullet"/>
      <w:start w:val="1"/>
    </w:lvl>
  </w:abstractNum>
  <w:abstractNum w:abstractNumId="148">
    <w:nsid w:val="4A66051"/>
    <w:multiLevelType w:val="hybridMultilevel"/>
    <w:lvl w:ilvl="0">
      <w:lvlJc w:val="left"/>
      <w:lvlText w:val="%1."/>
      <w:numFmt w:val="decimal"/>
      <w:start w:val="15"/>
    </w:lvl>
  </w:abstractNum>
  <w:abstractNum w:abstractNumId="149">
    <w:nsid w:val="20F4BDAD"/>
    <w:multiLevelType w:val="hybridMultilevel"/>
    <w:lvl w:ilvl="0">
      <w:lvlJc w:val="left"/>
      <w:lvlText w:val="(%1)"/>
      <w:numFmt w:val="lowerLetter"/>
      <w:start w:val="1"/>
    </w:lvl>
  </w:abstractNum>
  <w:abstractNum w:abstractNumId="150">
    <w:nsid w:val="639DEFAC"/>
    <w:multiLevelType w:val="hybridMultilevel"/>
    <w:lvl w:ilvl="0">
      <w:lvlJc w:val="left"/>
      <w:lvlText w:val="%1."/>
      <w:numFmt w:val="decimal"/>
      <w:start w:val="16"/>
    </w:lvl>
  </w:abstractNum>
  <w:abstractNum w:abstractNumId="151">
    <w:nsid w:val="501F9786"/>
    <w:multiLevelType w:val="hybridMultilevel"/>
    <w:lvl w:ilvl="0">
      <w:lvlJc w:val="left"/>
      <w:lvlText w:val="%1."/>
      <w:numFmt w:val="decimal"/>
      <w:start w:val="17"/>
    </w:lvl>
  </w:abstractNum>
  <w:abstractNum w:abstractNumId="152">
    <w:nsid w:val="6B057295"/>
    <w:multiLevelType w:val="hybridMultilevel"/>
    <w:lvl w:ilvl="0">
      <w:lvlJc w:val="left"/>
      <w:lvlText w:val="(%1)"/>
      <w:numFmt w:val="lowerLetter"/>
      <w:start w:val="1"/>
    </w:lvl>
  </w:abstractNum>
  <w:abstractNum w:abstractNumId="153">
    <w:nsid w:val="2771AC80"/>
    <w:multiLevelType w:val="hybridMultilevel"/>
    <w:lvl w:ilvl="0">
      <w:lvlJc w:val="left"/>
      <w:lvlText w:val="[***]"/>
      <w:numFmt w:val="bullet"/>
      <w:start w:val="1"/>
    </w:lvl>
  </w:abstractNum>
  <w:abstractNum w:abstractNumId="154">
    <w:nsid w:val="1C4A08EC"/>
    <w:multiLevelType w:val="hybridMultilevel"/>
    <w:lvl w:ilvl="0">
      <w:lvlJc w:val="left"/>
      <w:lvlText w:val="(%1)"/>
      <w:numFmt w:val="lowerLetter"/>
      <w:start w:val="1"/>
    </w:lvl>
  </w:abstractNum>
  <w:abstractNum w:abstractNumId="155">
    <w:nsid w:val="1958BD17"/>
    <w:multiLevelType w:val="hybridMultilevel"/>
    <w:lvl w:ilvl="0">
      <w:lvlJc w:val="left"/>
      <w:lvlText w:val="(%1)"/>
      <w:numFmt w:val="lowerLetter"/>
      <w:start w:val="3"/>
    </w:lvl>
  </w:abstractNum>
  <w:abstractNum w:abstractNumId="156">
    <w:nsid w:val="4E647FE4"/>
    <w:multiLevelType w:val="hybridMultilevel"/>
    <w:lvl w:ilvl="0">
      <w:lvlJc w:val="left"/>
      <w:lvlText w:val="(%1)"/>
      <w:numFmt w:val="lowerLetter"/>
      <w:start w:val="1"/>
    </w:lvl>
  </w:abstractNum>
  <w:abstractNum w:abstractNumId="157">
    <w:nsid w:val="E0BB885"/>
    <w:multiLevelType w:val="hybridMultilevel"/>
    <w:lvl w:ilvl="0">
      <w:lvlJc w:val="left"/>
      <w:lvlText w:val="(%1)"/>
      <w:numFmt w:val="lowerLetter"/>
      <w:start w:val="5"/>
    </w:lvl>
  </w:abstractNum>
  <w:abstractNum w:abstractNumId="158">
    <w:nsid w:val="565976F1"/>
    <w:multiLevelType w:val="hybridMultilevel"/>
    <w:lvl w:ilvl="0">
      <w:lvlJc w:val="left"/>
      <w:lvlText w:val="(%1)"/>
      <w:numFmt w:val="lowerLetter"/>
      <w:start w:val="1"/>
    </w:lvl>
  </w:abstractNum>
  <w:abstractNum w:abstractNumId="159">
    <w:nsid w:val="64212B8C"/>
    <w:multiLevelType w:val="hybridMultilevel"/>
    <w:lvl w:ilvl="0">
      <w:lvlJc w:val="left"/>
      <w:lvlText w:val="(%1)"/>
      <w:numFmt w:val="lowerLetter"/>
      <w:start w:val="1"/>
    </w:lvl>
  </w:abstractNum>
  <w:abstractNum w:abstractNumId="160">
    <w:nsid w:val="5C17530C"/>
    <w:multiLevelType w:val="hybridMultilevel"/>
    <w:lvl w:ilvl="0">
      <w:lvlJc w:val="left"/>
      <w:lvlText w:val="(%1)"/>
      <w:numFmt w:val="lowerLetter"/>
      <w:start w:val="1"/>
    </w:lvl>
  </w:abstractNum>
  <w:abstractNum w:abstractNumId="161">
    <w:nsid w:val="19A52566"/>
    <w:multiLevelType w:val="hybridMultilevel"/>
    <w:lvl w:ilvl="0">
      <w:lvlJc w:val="left"/>
      <w:lvlText w:val="(%1)"/>
      <w:numFmt w:val="lowerLetter"/>
      <w:start w:val="3"/>
    </w:lvl>
  </w:abstractNum>
  <w:abstractNum w:abstractNumId="162">
    <w:nsid w:val="335A1DF1"/>
    <w:multiLevelType w:val="hybridMultilevel"/>
    <w:lvl w:ilvl="0">
      <w:lvlJc w:val="left"/>
      <w:lvlText w:val="(%1)"/>
      <w:numFmt w:val="lowerLetter"/>
      <w:start w:val="1"/>
    </w:lvl>
  </w:abstractNum>
  <w:abstractNum w:abstractNumId="163">
    <w:nsid w:val="28677B7C"/>
    <w:multiLevelType w:val="hybridMultilevel"/>
    <w:lvl w:ilvl="0">
      <w:lvlJc w:val="left"/>
      <w:lvlText w:val="(%1)"/>
      <w:numFmt w:val="lowerLetter"/>
      <w:start w:val="3"/>
    </w:lvl>
  </w:abstractNum>
  <w:abstractNum w:abstractNumId="164">
    <w:nsid w:val="378D97C0"/>
    <w:multiLevelType w:val="hybridMultilevel"/>
    <w:lvl w:ilvl="0">
      <w:lvlJc w:val="left"/>
      <w:lvlText w:val="(%1)"/>
      <w:numFmt w:val="lowerLetter"/>
      <w:start w:val="1"/>
    </w:lvl>
  </w:abstractNum>
  <w:abstractNum w:abstractNumId="165">
    <w:nsid w:val="1D91467C"/>
    <w:multiLevelType w:val="hybridMultilevel"/>
    <w:lvl w:ilvl="0">
      <w:lvlJc w:val="left"/>
      <w:lvlText w:val="(%1)"/>
      <w:numFmt w:val="lowerLetter"/>
      <w:start w:val="1"/>
    </w:lvl>
  </w:abstractNum>
  <w:abstractNum w:abstractNumId="166">
    <w:nsid w:val="316032BB"/>
    <w:multiLevelType w:val="hybridMultilevel"/>
    <w:lvl w:ilvl="0">
      <w:lvlJc w:val="left"/>
      <w:lvlText w:val="(%1)"/>
      <w:numFmt w:val="lowerLetter"/>
      <w:start w:val="1"/>
    </w:lvl>
  </w:abstractNum>
  <w:abstractNum w:abstractNumId="167">
    <w:nsid w:val="44344C22"/>
    <w:multiLevelType w:val="hybridMultilevel"/>
    <w:lvl w:ilvl="0">
      <w:lvlJc w:val="left"/>
      <w:lvlText w:val="(%1)"/>
      <w:numFmt w:val="lowerLetter"/>
      <w:start w:val="2"/>
    </w:lvl>
  </w:abstractNum>
  <w:abstractNum w:abstractNumId="168">
    <w:nsid w:val="13CDFCFC"/>
    <w:multiLevelType w:val="hybridMultilevel"/>
    <w:lvl w:ilvl="0">
      <w:lvlJc w:val="left"/>
      <w:lvlText w:val="[***]"/>
      <w:numFmt w:val="bullet"/>
      <w:start w:val="1"/>
    </w:lvl>
  </w:abstractNum>
  <w:abstractNum w:abstractNumId="169">
    <w:nsid w:val="471745E4"/>
    <w:multiLevelType w:val="hybridMultilevel"/>
    <w:lvl w:ilvl="0">
      <w:lvlJc w:val="left"/>
      <w:lvlText w:val="(%1)"/>
      <w:numFmt w:val="lowerLetter"/>
      <w:start w:val="1"/>
    </w:lvl>
  </w:abstractNum>
  <w:abstractNum w:abstractNumId="170">
    <w:nsid w:val="1DDBC66"/>
    <w:multiLevelType w:val="hybridMultilevel"/>
    <w:lvl w:ilvl="0">
      <w:lvlJc w:val="left"/>
      <w:lvlText w:val="(%1)"/>
      <w:numFmt w:val="lowerLetter"/>
      <w:start w:val="2"/>
    </w:lvl>
  </w:abstractNum>
  <w:abstractNum w:abstractNumId="171">
    <w:nsid w:val="30AADFDA"/>
    <w:multiLevelType w:val="hybridMultilevel"/>
    <w:lvl w:ilvl="0">
      <w:lvlJc w:val="left"/>
      <w:lvlText w:val="(%1)"/>
      <w:numFmt w:val="lowerLetter"/>
      <w:start w:val="3"/>
    </w:lvl>
  </w:abstractNum>
  <w:abstractNum w:abstractNumId="172">
    <w:nsid w:val="30EADA61"/>
    <w:multiLevelType w:val="hybridMultilevel"/>
    <w:lvl w:ilvl="0">
      <w:lvlJc w:val="left"/>
      <w:lvlText w:val="(%1)"/>
      <w:numFmt w:val="lowerLetter"/>
      <w:start w:val="1"/>
    </w:lvl>
  </w:abstractNum>
  <w:abstractNum w:abstractNumId="173">
    <w:nsid w:val="27179C0B"/>
    <w:multiLevelType w:val="hybridMultilevel"/>
    <w:lvl w:ilvl="0">
      <w:lvlJc w:val="left"/>
      <w:lvlText w:val="(%1)"/>
      <w:numFmt w:val="lowerLetter"/>
      <w:start w:val="3"/>
    </w:lvl>
  </w:abstractNum>
  <w:abstractNum w:abstractNumId="174">
    <w:nsid w:val="5E636063"/>
    <w:multiLevelType w:val="hybridMultilevel"/>
    <w:lvl w:ilvl="0">
      <w:lvlJc w:val="left"/>
      <w:lvlText w:val="(%1)"/>
      <w:numFmt w:val="lowerLetter"/>
      <w:start w:val="1"/>
    </w:lvl>
  </w:abstractNum>
  <w:abstractNum w:abstractNumId="175">
    <w:nsid w:val="215641AF"/>
    <w:multiLevelType w:val="hybridMultilevel"/>
    <w:lvl w:ilvl="0">
      <w:lvlJc w:val="left"/>
      <w:lvlText w:val="(%1)"/>
      <w:numFmt w:val="lowerLetter"/>
      <w:start w:val="2"/>
    </w:lvl>
    <w:lvl w:ilvl="1">
      <w:lvlJc w:val="left"/>
      <w:lvlText w:val="(%2)"/>
      <w:numFmt w:val="lowerRoman"/>
      <w:start w:val="1"/>
    </w:lvl>
  </w:abstractNum>
  <w:abstractNum w:abstractNumId="176">
    <w:nsid w:val="53280662"/>
    <w:multiLevelType w:val="hybridMultilevel"/>
    <w:lvl w:ilvl="0">
      <w:lvlJc w:val="left"/>
      <w:lvlText w:val="(%1)"/>
      <w:numFmt w:val="lowerLetter"/>
      <w:start w:val="4"/>
    </w:lvl>
  </w:abstractNum>
  <w:abstractNum w:abstractNumId="177">
    <w:nsid w:val="46B24DBC"/>
    <w:multiLevelType w:val="hybridMultilevel"/>
    <w:lvl w:ilvl="0">
      <w:lvlJc w:val="left"/>
      <w:lvlText w:val="(%1)"/>
      <w:numFmt w:val="lowerLetter"/>
      <w:start w:val="1"/>
    </w:lvl>
  </w:abstractNum>
  <w:abstractNum w:abstractNumId="178">
    <w:nsid w:val="75B52783"/>
    <w:multiLevelType w:val="hybridMultilevel"/>
    <w:lvl w:ilvl="0">
      <w:lvlJc w:val="left"/>
      <w:lvlText w:val="(%1)"/>
      <w:numFmt w:val="lowerLetter"/>
      <w:start w:val="4"/>
    </w:lvl>
  </w:abstractNum>
  <w:abstractNum w:abstractNumId="179">
    <w:nsid w:val="57CE66B4"/>
    <w:multiLevelType w:val="hybridMultilevel"/>
    <w:lvl w:ilvl="0">
      <w:lvlJc w:val="left"/>
      <w:lvlText w:val="(%1)"/>
      <w:numFmt w:val="lowerLetter"/>
      <w:start w:val="1"/>
    </w:lvl>
  </w:abstractNum>
  <w:abstractNum w:abstractNumId="180">
    <w:nsid w:val="67A70B69"/>
    <w:multiLevelType w:val="hybridMultilevel"/>
    <w:lvl w:ilvl="0">
      <w:lvlJc w:val="left"/>
      <w:lvlText w:val="(%1)"/>
      <w:numFmt w:val="lowerLetter"/>
      <w:start w:val="1"/>
    </w:lvl>
  </w:abstractNum>
  <w:abstractNum w:abstractNumId="181">
    <w:nsid w:val="5953172F"/>
    <w:multiLevelType w:val="hybridMultilevel"/>
    <w:lvl w:ilvl="0">
      <w:lvlJc w:val="left"/>
      <w:lvlText w:val="(%1)"/>
      <w:numFmt w:val="lowerLetter"/>
      <w:start w:val="3"/>
    </w:lvl>
  </w:abstractNum>
  <w:abstractNum w:abstractNumId="182">
    <w:nsid w:val="27EDFE3A"/>
    <w:multiLevelType w:val="hybridMultilevel"/>
    <w:lvl w:ilvl="0">
      <w:lvlJc w:val="left"/>
      <w:lvlText w:val="(%1)"/>
      <w:numFmt w:val="lowerLetter"/>
      <w:start w:val="1"/>
    </w:lvl>
  </w:abstractNum>
  <w:abstractNum w:abstractNumId="183">
    <w:nsid w:val="52AC7DFF"/>
    <w:multiLevelType w:val="hybridMultilevel"/>
    <w:lvl w:ilvl="0">
      <w:lvlJc w:val="left"/>
      <w:lvlText w:val="(%1)"/>
      <w:numFmt w:val="lowerLetter"/>
      <w:start w:val="1"/>
    </w:lvl>
  </w:abstractNum>
  <w:abstractNum w:abstractNumId="184">
    <w:nsid w:val="C4C3AF"/>
    <w:multiLevelType w:val="hybridMultilevel"/>
    <w:lvl w:ilvl="0">
      <w:lvlJc w:val="left"/>
      <w:lvlText w:val="(%1)"/>
      <w:numFmt w:val="lowerLetter"/>
      <w:start w:val="1"/>
    </w:lvl>
  </w:abstractNum>
  <w:abstractNum w:abstractNumId="185">
    <w:nsid w:val="44380727"/>
    <w:multiLevelType w:val="hybridMultilevel"/>
    <w:lvl w:ilvl="0">
      <w:lvlJc w:val="left"/>
      <w:lvlText w:val="(%1)"/>
      <w:numFmt w:val="lowerLetter"/>
      <w:start w:val="10"/>
    </w:lvl>
  </w:abstractNum>
  <w:abstractNum w:abstractNumId="186">
    <w:nsid w:val="6C053B16"/>
    <w:multiLevelType w:val="hybridMultilevel"/>
    <w:lvl w:ilvl="0">
      <w:lvlJc w:val="left"/>
      <w:lvlText w:val="(%1)"/>
      <w:numFmt w:val="lowerLetter"/>
      <w:start w:val="17"/>
    </w:lvl>
    <w:lvl w:ilvl="1">
      <w:lvlJc w:val="left"/>
      <w:lvlText w:val="(%2)"/>
      <w:numFmt w:val="lowerRoman"/>
      <w:start w:val="1"/>
    </w:lvl>
  </w:abstractNum>
  <w:abstractNum w:abstractNumId="187">
    <w:nsid w:val="4F294393"/>
    <w:multiLevelType w:val="hybridMultilevel"/>
    <w:lvl w:ilvl="0">
      <w:lvlJc w:val="left"/>
      <w:lvlText w:val="(%1)"/>
      <w:numFmt w:val="lowerLetter"/>
      <w:start w:val="1"/>
    </w:lvl>
  </w:abstractNum>
  <w:abstractNum w:abstractNumId="188">
    <w:nsid w:val="5243BFAC"/>
    <w:multiLevelType w:val="hybridMultilevel"/>
    <w:lvl w:ilvl="0">
      <w:lvlJc w:val="left"/>
      <w:lvlText w:val="(%1)"/>
      <w:numFmt w:val="lowerLetter"/>
      <w:start w:val="4"/>
    </w:lvl>
  </w:abstractNum>
  <w:abstractNum w:abstractNumId="189">
    <w:nsid w:val="425EB207"/>
    <w:multiLevelType w:val="hybridMultilevel"/>
    <w:lvl w:ilvl="0">
      <w:lvlJc w:val="left"/>
      <w:lvlText w:val="(%1)"/>
      <w:numFmt w:val="lowerLetter"/>
      <w:start w:val="1"/>
    </w:lvl>
  </w:abstractNum>
  <w:abstractNum w:abstractNumId="190">
    <w:nsid w:val="334A6F1F"/>
    <w:multiLevelType w:val="hybridMultilevel"/>
    <w:lvl w:ilvl="0">
      <w:lvlJc w:val="left"/>
      <w:lvlText w:val="(%1)"/>
      <w:numFmt w:val="lowerLetter"/>
      <w:start w:val="1"/>
    </w:lvl>
    <w:lvl w:ilvl="1">
      <w:lvlJc w:val="left"/>
      <w:lvlText w:val="(%2)"/>
      <w:numFmt w:val="lowerLetter"/>
      <w:start w:val="9"/>
    </w:lvl>
  </w:abstractNum>
  <w:abstractNum w:abstractNumId="191">
    <w:nsid w:val="2E5B12B8"/>
    <w:multiLevelType w:val="hybridMultilevel"/>
    <w:lvl w:ilvl="0">
      <w:lvlJc w:val="left"/>
      <w:lvlText w:val="%1"/>
      <w:numFmt w:val="lowerLetter"/>
      <w:start w:val="1"/>
    </w:lvl>
    <w:lvl w:ilvl="1">
      <w:lvlJc w:val="left"/>
      <w:lvlText w:val="(%2)"/>
      <w:numFmt w:val="lowerRoman"/>
      <w:start w:val="2"/>
    </w:lvl>
  </w:abstractNum>
  <w:abstractNum w:abstractNumId="192">
    <w:nsid w:val="5C03D76D"/>
    <w:multiLevelType w:val="hybridMultilevel"/>
    <w:lvl w:ilvl="0">
      <w:lvlJc w:val="left"/>
      <w:lvlText w:val="(%1)"/>
      <w:numFmt w:val="lowerLetter"/>
      <w:start w:val="2"/>
    </w:lvl>
    <w:lvl w:ilvl="1">
      <w:lvlJc w:val="left"/>
      <w:lvlText w:val="%2"/>
      <w:numFmt w:val="lowerRoman"/>
      <w:start w:val="1"/>
    </w:lvl>
  </w:abstractNum>
  <w:abstractNum w:abstractNumId="193">
    <w:nsid w:val="66A48D11"/>
    <w:multiLevelType w:val="hybridMultilevel"/>
    <w:lvl w:ilvl="0">
      <w:lvlJc w:val="left"/>
      <w:lvlText w:val="[***]"/>
      <w:numFmt w:val="bullet"/>
      <w:start w:val="1"/>
    </w:lvl>
  </w:abstractNum>
  <w:abstractNum w:abstractNumId="194">
    <w:nsid w:val="56C28E34"/>
    <w:multiLevelType w:val="hybridMultilevel"/>
    <w:lvl w:ilvl="0">
      <w:lvlJc w:val="left"/>
      <w:lvlText w:val="(%1)"/>
      <w:numFmt w:val="lowerLetter"/>
      <w:start w:val="1"/>
    </w:lvl>
  </w:abstractNum>
  <w:abstractNum w:abstractNumId="195">
    <w:nsid w:val="13916F2D"/>
    <w:multiLevelType w:val="hybridMultilevel"/>
    <w:lvl w:ilvl="0">
      <w:lvlJc w:val="left"/>
      <w:lvlText w:val="[***]"/>
      <w:numFmt w:val="bullet"/>
      <w:start w:val="1"/>
    </w:lvl>
  </w:abstractNum>
  <w:abstractNum w:abstractNumId="196">
    <w:nsid w:val="435D38D"/>
    <w:multiLevelType w:val="hybridMultilevel"/>
    <w:lvl w:ilvl="0">
      <w:lvlJc w:val="left"/>
      <w:lvlText w:val="(%1)"/>
      <w:numFmt w:val="lowerLetter"/>
      <w:start w:val="3"/>
    </w:lvl>
  </w:abstractNum>
  <w:abstractNum w:abstractNumId="197">
    <w:nsid w:val="822C0EF"/>
    <w:multiLevelType w:val="hybridMultilevel"/>
    <w:lvl w:ilvl="0">
      <w:lvlJc w:val="left"/>
      <w:lvlText w:val="(%1)"/>
      <w:numFmt w:val="lowerLetter"/>
      <w:start w:val="1"/>
    </w:lvl>
  </w:abstractNum>
  <w:abstractNum w:abstractNumId="198">
    <w:nsid w:val="57C5BB4F"/>
    <w:multiLevelType w:val="hybridMultilevel"/>
    <w:lvl w:ilvl="0">
      <w:lvlJc w:val="left"/>
      <w:lvlText w:val="(%1)"/>
      <w:numFmt w:val="lowerLetter"/>
      <w:start w:val="3"/>
    </w:lvl>
  </w:abstractNum>
  <w:abstractNum w:abstractNumId="199">
    <w:nsid w:val="1803D089"/>
    <w:multiLevelType w:val="hybridMultilevel"/>
    <w:lvl w:ilvl="0">
      <w:lvlJc w:val="left"/>
      <w:lvlText w:val="(%1)"/>
      <w:numFmt w:val="lowerLetter"/>
      <w:start w:val="1"/>
    </w:lvl>
  </w:abstractNum>
  <w:abstractNum w:abstractNumId="200">
    <w:nsid w:val="4F3A06D4"/>
    <w:multiLevelType w:val="hybridMultilevel"/>
    <w:lvl w:ilvl="0">
      <w:lvlJc w:val="left"/>
      <w:lvlText w:val="(%1)"/>
      <w:numFmt w:val="lowerLetter"/>
      <w:start w:val="1"/>
    </w:lvl>
  </w:abstractNum>
  <w:abstractNum w:abstractNumId="201">
    <w:nsid w:val="59A377B6"/>
    <w:multiLevelType w:val="hybridMultilevel"/>
    <w:lvl w:ilvl="0">
      <w:lvlJc w:val="left"/>
      <w:lvlText w:val="(%1)"/>
      <w:numFmt w:val="lowerLetter"/>
      <w:start w:val="3"/>
    </w:lvl>
  </w:abstractNum>
  <w:abstractNum w:abstractNumId="202">
    <w:nsid w:val="48AEB063"/>
    <w:multiLevelType w:val="hybridMultilevel"/>
    <w:lvl w:ilvl="0">
      <w:lvlJc w:val="left"/>
      <w:lvlText w:val="(%1)"/>
      <w:numFmt w:val="lowerLetter"/>
      <w:start w:val="1"/>
    </w:lvl>
  </w:abstractNum>
  <w:abstractNum w:abstractNumId="203">
    <w:nsid w:val="24E135"/>
    <w:multiLevelType w:val="hybridMultilevel"/>
    <w:lvl w:ilvl="0">
      <w:lvlJc w:val="left"/>
      <w:lvlText w:val="(%1)"/>
      <w:numFmt w:val="lowerLetter"/>
      <w:start w:val="3"/>
    </w:lvl>
  </w:abstractNum>
  <w:abstractNum w:abstractNumId="204">
    <w:nsid w:val="BB13C1"/>
    <w:multiLevelType w:val="hybridMultilevel"/>
    <w:lvl w:ilvl="0">
      <w:lvlJc w:val="left"/>
      <w:lvlText w:val="(%1)"/>
      <w:numFmt w:val="lowerLetter"/>
      <w:start w:val="1"/>
    </w:lvl>
  </w:abstractNum>
  <w:abstractNum w:abstractNumId="205">
    <w:nsid w:val="271210C7"/>
    <w:multiLevelType w:val="hybridMultilevel"/>
    <w:lvl w:ilvl="0">
      <w:lvlJc w:val="left"/>
      <w:lvlText w:val="(%1)"/>
      <w:numFmt w:val="lowerLetter"/>
      <w:start w:val="2"/>
    </w:lvl>
  </w:abstractNum>
  <w:abstractNum w:abstractNumId="206">
    <w:nsid w:val="217B22E4"/>
    <w:multiLevelType w:val="hybridMultilevel"/>
    <w:lvl w:ilvl="0">
      <w:lvlJc w:val="left"/>
      <w:lvlText w:val="(%1)"/>
      <w:numFmt w:val="lowerLetter"/>
      <w:start w:val="1"/>
    </w:lvl>
  </w:abstractNum>
  <w:abstractNum w:abstractNumId="207">
    <w:nsid w:val="53E31A24"/>
    <w:multiLevelType w:val="hybridMultilevel"/>
    <w:lvl w:ilvl="0">
      <w:lvlJc w:val="left"/>
      <w:lvlText w:val="(%1)"/>
      <w:numFmt w:val="lowerLetter"/>
      <w:start w:val="2"/>
    </w:lvl>
  </w:abstractNum>
  <w:abstractNum w:abstractNumId="208">
    <w:nsid w:val="6DC45E83"/>
    <w:multiLevelType w:val="hybridMultilevel"/>
    <w:lvl w:ilvl="0">
      <w:lvlJc w:val="left"/>
      <w:lvlText w:val="(%1)"/>
      <w:numFmt w:val="lowerLetter"/>
      <w:start w:val="1"/>
    </w:lvl>
  </w:abstractNum>
  <w:abstractNum w:abstractNumId="209">
    <w:nsid w:val="17304A67"/>
    <w:multiLevelType w:val="hybridMultilevel"/>
    <w:lvl w:ilvl="0">
      <w:lvlJc w:val="left"/>
      <w:lvlText w:val="(%1)"/>
      <w:numFmt w:val="lowerLetter"/>
      <w:start w:val="1"/>
    </w:lvl>
  </w:abstractNum>
  <w:abstractNum w:abstractNumId="210">
    <w:nsid w:val="2BB180D8"/>
    <w:multiLevelType w:val="hybridMultilevel"/>
    <w:lvl w:ilvl="0">
      <w:lvlJc w:val="left"/>
      <w:lvlText w:val="(%1)"/>
      <w:numFmt w:val="lowerLetter"/>
      <w:start w:val="2"/>
    </w:lvl>
  </w:abstractNum>
  <w:abstractNum w:abstractNumId="211">
    <w:nsid w:val="556B69ED"/>
    <w:multiLevelType w:val="hybridMultilevel"/>
    <w:lvl w:ilvl="0">
      <w:lvlJc w:val="left"/>
      <w:lvlText w:val="[***]"/>
      <w:numFmt w:val="bullet"/>
      <w:start w:val="1"/>
    </w:lvl>
  </w:abstractNum>
  <w:abstractNum w:abstractNumId="212">
    <w:nsid w:val="70836196"/>
    <w:multiLevelType w:val="hybridMultilevel"/>
    <w:lvl w:ilvl="0">
      <w:lvlJc w:val="left"/>
      <w:lvlText w:val="(%1)"/>
      <w:numFmt w:val="lowerLetter"/>
      <w:start w:val="1"/>
    </w:lvl>
  </w:abstractNum>
  <w:abstractNum w:abstractNumId="213">
    <w:nsid w:val="539F7F12"/>
    <w:multiLevelType w:val="hybridMultilevel"/>
    <w:lvl w:ilvl="0">
      <w:lvlJc w:val="left"/>
      <w:lvlText w:val="(%1)"/>
      <w:numFmt w:val="lowerLetter"/>
      <w:start w:val="2"/>
    </w:lvl>
  </w:abstractNum>
  <w:abstractNum w:abstractNumId="214">
    <w:nsid w:val="2817E7EC"/>
    <w:multiLevelType w:val="hybridMultilevel"/>
    <w:lvl w:ilvl="0">
      <w:lvlJc w:val="left"/>
      <w:lvlText w:val="(%1)"/>
      <w:numFmt w:val="lowerLetter"/>
      <w:start w:val="1"/>
    </w:lvl>
  </w:abstractNum>
  <w:abstractNum w:abstractNumId="215">
    <w:nsid w:val="71482545"/>
    <w:multiLevelType w:val="hybridMultilevel"/>
    <w:lvl w:ilvl="0">
      <w:lvlJc w:val="left"/>
      <w:lvlText w:val="(%1)"/>
      <w:numFmt w:val="lowerLetter"/>
      <w:start w:val="2"/>
    </w:lvl>
  </w:abstractNum>
  <w:abstractNum w:abstractNumId="216">
    <w:nsid w:val="17D78639"/>
    <w:multiLevelType w:val="hybridMultilevel"/>
    <w:lvl w:ilvl="0">
      <w:lvlJc w:val="left"/>
      <w:lvlText w:val="(%1)"/>
      <w:numFmt w:val="lowerLetter"/>
      <w:start w:val="1"/>
    </w:lvl>
    <w:lvl w:ilvl="1">
      <w:lvlJc w:val="left"/>
      <w:lvlText w:val="(%2)"/>
      <w:numFmt w:val="lowerRoman"/>
      <w:start w:val="1"/>
    </w:lvl>
  </w:abstractNum>
  <w:abstractNum w:abstractNumId="217">
    <w:nsid w:val="141D2302"/>
    <w:multiLevelType w:val="hybridMultilevel"/>
    <w:lvl w:ilvl="0">
      <w:lvlJc w:val="left"/>
      <w:lvlText w:val="%1"/>
      <w:numFmt w:val="lowerLetter"/>
      <w:start w:val="1"/>
    </w:lvl>
    <w:lvl w:ilvl="1">
      <w:lvlJc w:val="left"/>
      <w:lvlText w:val="(%2)"/>
      <w:numFmt w:val="lowerRoman"/>
      <w:start w:val="3"/>
    </w:lvl>
  </w:abstractNum>
  <w:abstractNum w:abstractNumId="218">
    <w:nsid w:val="407168D8"/>
    <w:multiLevelType w:val="hybridMultilevel"/>
    <w:lvl w:ilvl="0">
      <w:lvlJc w:val="left"/>
      <w:lvlText w:val="(%1)"/>
      <w:numFmt w:val="lowerLetter"/>
      <w:start w:val="3"/>
    </w:lvl>
    <w:lvl w:ilvl="1">
      <w:lvlJc w:val="left"/>
      <w:lvlText w:val="%2"/>
      <w:numFmt w:val="lowerRoman"/>
      <w:start w:val="1"/>
    </w:lvl>
  </w:abstractNum>
  <w:abstractNum w:abstractNumId="219">
    <w:nsid w:val="6A1B45E5"/>
    <w:multiLevelType w:val="hybridMultilevel"/>
    <w:lvl w:ilvl="0">
      <w:lvlJc w:val="left"/>
      <w:lvlText w:val="(%1)"/>
      <w:numFmt w:val="lowerLetter"/>
      <w:start w:val="5"/>
    </w:lvl>
  </w:abstractNum>
  <w:abstractNum w:abstractNumId="220">
    <w:nsid w:val="567BD50A"/>
    <w:multiLevelType w:val="hybridMultilevel"/>
    <w:lvl w:ilvl="0">
      <w:lvlJc w:val="left"/>
      <w:lvlText w:val="(%1)"/>
      <w:numFmt w:val="lowerLetter"/>
      <w:start w:val="1"/>
    </w:lvl>
  </w:abstractNum>
  <w:abstractNum w:abstractNumId="221">
    <w:nsid w:val="73BBD7F8"/>
    <w:multiLevelType w:val="hybridMultilevel"/>
    <w:lvl w:ilvl="0">
      <w:lvlJc w:val="left"/>
      <w:lvlText w:val="(%1)"/>
      <w:numFmt w:val="lowerLetter"/>
      <w:start w:val="5"/>
    </w:lvl>
  </w:abstractNum>
  <w:abstractNum w:abstractNumId="222">
    <w:nsid w:val="1876589D"/>
    <w:multiLevelType w:val="hybridMultilevel"/>
    <w:lvl w:ilvl="0">
      <w:lvlJc w:val="left"/>
      <w:lvlText w:val="(%1)"/>
      <w:numFmt w:val="lowerLetter"/>
      <w:start w:val="1"/>
    </w:lvl>
  </w:abstractNum>
  <w:abstractNum w:abstractNumId="223">
    <w:nsid w:val="327FAC77"/>
    <w:multiLevelType w:val="hybridMultilevel"/>
    <w:lvl w:ilvl="0">
      <w:lvlJc w:val="left"/>
      <w:lvlText w:val="(%1)"/>
      <w:numFmt w:val="lowerLetter"/>
      <w:start w:val="1"/>
    </w:lvl>
  </w:abstractNum>
  <w:abstractNum w:abstractNumId="224">
    <w:nsid w:val="5A606509"/>
    <w:multiLevelType w:val="hybridMultilevel"/>
    <w:lvl w:ilvl="0">
      <w:lvlJc w:val="left"/>
      <w:lvlText w:val="(%1)"/>
      <w:numFmt w:val="lowerLetter"/>
      <w:start w:val="2"/>
    </w:lvl>
  </w:abstractNum>
  <w:abstractNum w:abstractNumId="225">
    <w:nsid w:val="6F38E6D1"/>
    <w:multiLevelType w:val="hybridMultilevel"/>
    <w:lvl w:ilvl="0">
      <w:lvlJc w:val="left"/>
      <w:lvlText w:val="(%1)"/>
      <w:numFmt w:val="lowerLetter"/>
      <w:start w:val="1"/>
    </w:lvl>
  </w:abstractNum>
  <w:abstractNum w:abstractNumId="226">
    <w:nsid w:val="46111BA5"/>
    <w:multiLevelType w:val="hybridMultilevel"/>
    <w:lvl w:ilvl="0">
      <w:lvlJc w:val="left"/>
      <w:lvlText w:val="(%1)"/>
      <w:numFmt w:val="lowerLetter"/>
      <w:start w:val="2"/>
    </w:lvl>
  </w:abstractNum>
  <w:abstractNum w:abstractNumId="227">
    <w:nsid w:val="5E963896"/>
    <w:multiLevelType w:val="hybridMultilevel"/>
    <w:lvl w:ilvl="0">
      <w:lvlJc w:val="left"/>
      <w:lvlText w:val="(%1)"/>
      <w:numFmt w:val="lowerLetter"/>
      <w:start w:val="1"/>
    </w:lvl>
  </w:abstractNum>
  <w:abstractNum w:abstractNumId="228">
    <w:nsid w:val="775BA7C1"/>
    <w:multiLevelType w:val="hybridMultilevel"/>
    <w:lvl w:ilvl="0">
      <w:lvlJc w:val="left"/>
      <w:lvlText w:val="(%1)"/>
      <w:numFmt w:val="lowerLetter"/>
      <w:start w:val="1"/>
    </w:lvl>
  </w:abstractNum>
  <w:abstractNum w:abstractNumId="229">
    <w:nsid w:val="1DD6D6F4"/>
    <w:multiLevelType w:val="hybridMultilevel"/>
    <w:lvl w:ilvl="0">
      <w:lvlJc w:val="left"/>
      <w:lvlText w:val="(%1)"/>
      <w:numFmt w:val="lowerLetter"/>
      <w:start w:val="12"/>
    </w:lvl>
  </w:abstractNum>
  <w:abstractNum w:abstractNumId="230">
    <w:nsid w:val="769A091F"/>
    <w:multiLevelType w:val="hybridMultilevel"/>
    <w:lvl w:ilvl="0">
      <w:lvlJc w:val="left"/>
      <w:lvlText w:val="(%1)"/>
      <w:numFmt w:val="lowerLetter"/>
      <w:start w:val="17"/>
    </w:lvl>
    <w:lvl w:ilvl="1">
      <w:lvlJc w:val="left"/>
      <w:lvlText w:val="(%2)"/>
      <w:numFmt w:val="lowerRoman"/>
      <w:start w:val="1"/>
    </w:lvl>
  </w:abstractNum>
  <w:abstractNum w:abstractNumId="231">
    <w:nsid w:val="4695AE95"/>
    <w:multiLevelType w:val="hybridMultilevel"/>
    <w:lvl w:ilvl="0">
      <w:lvlJc w:val="left"/>
      <w:lvlText w:val="(%1)"/>
      <w:numFmt w:val="lowerLetter"/>
      <w:start w:val="1"/>
    </w:lvl>
  </w:abstractNum>
  <w:abstractNum w:abstractNumId="232">
    <w:nsid w:val="777A4EAA"/>
    <w:multiLevelType w:val="hybridMultilevel"/>
    <w:lvl w:ilvl="0">
      <w:lvlJc w:val="left"/>
      <w:lvlText w:val="(%1)"/>
      <w:numFmt w:val="lowerLetter"/>
      <w:start w:val="4"/>
    </w:lvl>
  </w:abstractNum>
  <w:abstractNum w:abstractNumId="233">
    <w:nsid w:val="3F48B982"/>
    <w:multiLevelType w:val="hybridMultilevel"/>
    <w:lvl w:ilvl="0">
      <w:lvlJc w:val="left"/>
      <w:lvlText w:val="(%1)"/>
      <w:numFmt w:val="lowerLetter"/>
      <w:start w:val="1"/>
    </w:lvl>
  </w:abstractNum>
  <w:abstractNum w:abstractNumId="234">
    <w:nsid w:val="46BA8FCA"/>
    <w:multiLevelType w:val="hybridMultilevel"/>
    <w:lvl w:ilvl="0">
      <w:lvlJc w:val="left"/>
      <w:lvlText w:val="(%1)"/>
      <w:numFmt w:val="lowerLetter"/>
      <w:start w:val="1"/>
    </w:lvl>
  </w:abstractNum>
  <w:abstractNum w:abstractNumId="235">
    <w:nsid w:val="7835626C"/>
    <w:multiLevelType w:val="hybridMultilevel"/>
    <w:lvl w:ilvl="0">
      <w:lvlJc w:val="left"/>
      <w:lvlText w:val="%1"/>
      <w:numFmt w:val="lowerLetter"/>
      <w:start w:val="1"/>
    </w:lvl>
    <w:lvl w:ilvl="1">
      <w:lvlJc w:val="left"/>
      <w:lvlText w:val="(%2)"/>
      <w:numFmt w:val="lowerRoman"/>
      <w:start w:val="1"/>
    </w:lvl>
  </w:abstractNum>
  <w:abstractNum w:abstractNumId="236">
    <w:nsid w:val="665ACA49"/>
    <w:multiLevelType w:val="hybridMultilevel"/>
    <w:lvl w:ilvl="0">
      <w:lvlJc w:val="left"/>
      <w:lvlText w:val="(%1)"/>
      <w:numFmt w:val="lowerLetter"/>
      <w:start w:val="2"/>
    </w:lvl>
    <w:lvl w:ilvl="1">
      <w:lvlJc w:val="left"/>
      <w:lvlText w:val="%2"/>
      <w:numFmt w:val="lowerRoman"/>
      <w:start w:val="1"/>
    </w:lvl>
  </w:abstractNum>
  <w:abstractNum w:abstractNumId="237">
    <w:nsid w:val="6835B2AE"/>
    <w:multiLevelType w:val="hybridMultilevel"/>
    <w:lvl w:ilvl="0">
      <w:lvlJc w:val="left"/>
      <w:lvlText w:val="[***]"/>
      <w:numFmt w:val="bullet"/>
      <w:start w:val="1"/>
    </w:lvl>
  </w:abstractNum>
  <w:abstractNum w:abstractNumId="238">
    <w:nsid w:val="4C187C90"/>
    <w:multiLevelType w:val="hybridMultilevel"/>
    <w:lvl w:ilvl="0">
      <w:lvlJc w:val="left"/>
      <w:lvlText w:val="%1."/>
      <w:numFmt w:val="decimal"/>
      <w:start w:val="1"/>
    </w:lvl>
  </w:abstractNum>
  <w:abstractNum w:abstractNumId="239">
    <w:nsid w:val="541F28CD"/>
    <w:multiLevelType w:val="hybridMultilevel"/>
    <w:lvl w:ilvl="0">
      <w:lvlJc w:val="left"/>
      <w:lvlText w:val="●"/>
      <w:numFmt w:val="bullet"/>
      <w:start w:val="1"/>
    </w:lvl>
  </w:abstractNum>
  <w:abstractNum w:abstractNumId="240">
    <w:nsid w:val="7F65FD16"/>
    <w:multiLevelType w:val="hybridMultilevel"/>
    <w:lvl w:ilvl="0">
      <w:lvlJc w:val="left"/>
      <w:lvlText w:val="%1."/>
      <w:numFmt w:val="decimal"/>
      <w:start w:val="2"/>
    </w:lvl>
    <w:lvl w:ilvl="1">
      <w:lvlJc w:val="left"/>
      <w:lvlText w:val="%2."/>
      <w:numFmt w:val="lowerRoman"/>
      <w:start w:val="1"/>
    </w:lvl>
  </w:abstractNum>
  <w:abstractNum w:abstractNumId="241">
    <w:nsid w:val="77C9FD68"/>
    <w:multiLevelType w:val="hybridMultilevel"/>
    <w:lvl w:ilvl="0">
      <w:lvlJc w:val="left"/>
      <w:lvlText w:val="%1."/>
      <w:numFmt w:val="decimal"/>
      <w:start w:val="3"/>
    </w:lvl>
  </w:abstractNum>
  <w:abstractNum w:abstractNumId="242">
    <w:nsid w:val="298A92BA"/>
    <w:multiLevelType w:val="hybridMultilevel"/>
    <w:lvl w:ilvl="0">
      <w:lvlJc w:val="left"/>
      <w:lvlText w:val="%1."/>
      <w:numFmt w:val="decimal"/>
      <w:start w:val="4"/>
    </w:lvl>
  </w:abstractNum>
  <w:abstractNum w:abstractNumId="243">
    <w:nsid w:val="6FE95EAC"/>
    <w:multiLevelType w:val="hybridMultilevel"/>
    <w:lvl w:ilvl="0">
      <w:lvlJc w:val="left"/>
      <w:lvlText w:val="%1."/>
      <w:numFmt w:val="decimal"/>
      <w:start w:val="8"/>
    </w:lvl>
  </w:abstractNum>
  <w:abstractNum w:abstractNumId="244">
    <w:nsid w:val="4B697C7A"/>
    <w:multiLevelType w:val="hybridMultilevel"/>
    <w:lvl w:ilvl="0">
      <w:lvlJc w:val="left"/>
      <w:lvlText w:val="%1."/>
      <w:numFmt w:val="decimal"/>
      <w:start w:val="10"/>
    </w:lvl>
    <w:lvl w:ilvl="1">
      <w:lvlJc w:val="left"/>
      <w:lvlText w:val="(%2)"/>
      <w:numFmt w:val="lowerRoman"/>
      <w:start w:val="4"/>
    </w:lvl>
  </w:abstractNum>
  <w:abstractNum w:abstractNumId="245">
    <w:nsid w:val="51A27AA6"/>
    <w:multiLevelType w:val="hybridMultilevel"/>
    <w:lvl w:ilvl="0">
      <w:lvlJc w:val="left"/>
      <w:lvlText w:val="%1."/>
      <w:numFmt w:val="decimal"/>
      <w:start w:val="11"/>
    </w:lvl>
  </w:abstractNum>
  <w:abstractNum w:abstractNumId="246">
    <w:nsid w:val="613183F2"/>
    <w:multiLevelType w:val="hybridMultilevel"/>
    <w:lvl w:ilvl="0">
      <w:lvlJc w:val="left"/>
      <w:lvlText w:val="(%1)"/>
      <w:numFmt w:val="lowerLetter"/>
      <w:start w:val="2"/>
    </w:lvl>
  </w:abstractNum>
  <w:abstractNum w:abstractNumId="247">
    <w:nsid w:val="634102B4"/>
    <w:multiLevelType w:val="hybridMultilevel"/>
    <w:lvl w:ilvl="0">
      <w:lvlJc w:val="left"/>
      <w:lvlText w:val="%1."/>
      <w:numFmt w:val="decimal"/>
      <w:start w:val="12"/>
    </w:lvl>
  </w:abstractNum>
  <w:abstractNum w:abstractNumId="248">
    <w:nsid w:val="65BF9DA8"/>
    <w:multiLevelType w:val="hybridMultilevel"/>
    <w:lvl w:ilvl="0">
      <w:lvlJc w:val="left"/>
      <w:lvlText w:val="(%1)"/>
      <w:numFmt w:val="lowerLetter"/>
      <w:start w:val="1"/>
    </w:lvl>
  </w:abstractNum>
  <w:abstractNum w:abstractNumId="249">
    <w:nsid w:val="21A2ECCA"/>
    <w:multiLevelType w:val="hybridMultilevel"/>
    <w:lvl w:ilvl="0">
      <w:lvlJc w:val="left"/>
      <w:lvlText w:val="%1."/>
      <w:numFmt w:val="decimal"/>
      <w:start w:val="13"/>
    </w:lvl>
    <w:lvl w:ilvl="1">
      <w:lvlJc w:val="left"/>
      <w:lvlText w:val="[***]"/>
      <w:numFmt w:val="bullet"/>
      <w:start w:val="1"/>
    </w:lvl>
  </w:abstractNum>
  <w:abstractNum w:abstractNumId="250">
    <w:nsid w:val="4D5C4899"/>
    <w:multiLevelType w:val="hybridMultilevel"/>
    <w:lvl w:ilvl="0">
      <w:lvlJc w:val="left"/>
      <w:lvlText w:val="[***]"/>
      <w:numFmt w:val="bullet"/>
      <w:start w:val="1"/>
    </w:lvl>
  </w:abstractNum>
  <w:abstractNum w:abstractNumId="251">
    <w:nsid w:val="3C3B72B2"/>
    <w:multiLevelType w:val="hybridMultilevel"/>
    <w:lvl w:ilvl="0">
      <w:lvlJc w:val="left"/>
      <w:lvlText w:val="%1."/>
      <w:numFmt w:val="decimal"/>
      <w:start w:val="1"/>
    </w:lvl>
  </w:abstractNum>
  <w:abstractNum w:abstractNumId="252">
    <w:nsid w:val="155EC4C2"/>
    <w:multiLevelType w:val="hybridMultilevel"/>
    <w:lvl w:ilvl="0">
      <w:lvlJc w:val="left"/>
      <w:lvlText w:val="5.%1."/>
      <w:numFmt w:val="decimal"/>
      <w:start w:val="2"/>
    </w:lvl>
  </w:abstractNum>
  <w:abstractNum w:abstractNumId="253">
    <w:nsid w:val="65D2A137"/>
    <w:multiLevelType w:val="hybridMultilevel"/>
    <w:lvl w:ilvl="0">
      <w:lvlJc w:val="left"/>
      <w:lvlText w:val="%1."/>
      <w:numFmt w:val="decimal"/>
      <w:start w:val="3"/>
    </w:lvl>
  </w:abstractNum>
  <w:abstractNum w:abstractNumId="254">
    <w:nsid w:val="6EBB1F2A"/>
    <w:multiLevelType w:val="hybridMultilevel"/>
    <w:lvl w:ilvl="0">
      <w:lvlJc w:val="left"/>
      <w:lvlText w:val="1"/>
      <w:numFmt w:val="bullet"/>
      <w:start w:val="1"/>
    </w:lvl>
  </w:abstractNum>
  <w:abstractNum w:abstractNumId="255">
    <w:nsid w:val="6FBF29CB"/>
    <w:multiLevelType w:val="hybridMultilevel"/>
    <w:lvl w:ilvl="0">
      <w:lvlJc w:val="left"/>
      <w:lvlText w:val="%1."/>
      <w:numFmt w:val="upperLetter"/>
      <w:start w:val="35"/>
    </w:lvl>
    <w:lvl w:ilvl="1">
      <w:lvlJc w:val="left"/>
      <w:lvlText w:val="%2"/>
      <w:numFmt w:val="upperLetter"/>
      <w:start w:val="1"/>
    </w:lvl>
  </w:abstractNum>
  <w:abstractNum w:abstractNumId="256">
    <w:nsid w:val="550B8808"/>
    <w:multiLevelType w:val="hybridMultilevel"/>
    <w:lvl w:ilvl="0">
      <w:lvlJc w:val="left"/>
      <w:lvlText w:val="%1."/>
      <w:numFmt w:val="decimal"/>
      <w:start w:val="1"/>
    </w:lvl>
  </w:abstractNum>
  <w:abstractNum w:abstractNumId="257">
    <w:nsid w:val="34CC3ACF"/>
    <w:multiLevelType w:val="hybridMultilevel"/>
    <w:lvl w:ilvl="0">
      <w:lvlJc w:val="left"/>
      <w:lvlText w:val="●"/>
      <w:numFmt w:val="bullet"/>
      <w:start w:val="1"/>
    </w:lvl>
  </w:abstractNum>
  <w:abstractNum w:abstractNumId="258">
    <w:nsid w:val="4E556261"/>
    <w:multiLevelType w:val="hybridMultilevel"/>
    <w:lvl w:ilvl="0">
      <w:lvlJc w:val="left"/>
      <w:lvlText w:val="%1."/>
      <w:numFmt w:val="decimal"/>
      <w:start w:val="5"/>
    </w:lvl>
  </w:abstractNum>
  <w:abstractNum w:abstractNumId="259">
    <w:nsid w:val="4C672FC9"/>
    <w:multiLevelType w:val="hybridMultilevel"/>
    <w:lvl w:ilvl="0">
      <w:lvlJc w:val="left"/>
      <w:lvlText w:val="%1."/>
      <w:numFmt w:val="decimal"/>
      <w:start w:val="1"/>
    </w:lvl>
  </w:abstractNum>
  <w:abstractNum w:abstractNumId="260">
    <w:nsid w:val="52A311C3"/>
    <w:multiLevelType w:val="hybridMultilevel"/>
    <w:lvl w:ilvl="0">
      <w:lvlJc w:val="left"/>
      <w:lvlText w:val="●"/>
      <w:numFmt w:val="bullet"/>
      <w:start w:val="1"/>
    </w:lvl>
  </w:abstractNum>
  <w:abstractNum w:abstractNumId="261">
    <w:nsid w:val="44EF6B80"/>
    <w:multiLevelType w:val="hybridMultilevel"/>
    <w:lvl w:ilvl="0">
      <w:lvlJc w:val="left"/>
      <w:lvlText w:val="●"/>
      <w:numFmt w:val="bullet"/>
      <w:start w:val="1"/>
    </w:lvl>
  </w:abstractNum>
  <w:abstractNum w:abstractNumId="262">
    <w:nsid w:val="12FCDE5E"/>
    <w:multiLevelType w:val="hybridMultilevel"/>
    <w:lvl w:ilvl="0">
      <w:lvlJc w:val="left"/>
      <w:lvlText w:val="●"/>
      <w:numFmt w:val="bullet"/>
      <w:start w:val="1"/>
    </w:lvl>
  </w:abstractNum>
  <w:abstractNum w:abstractNumId="263">
    <w:nsid w:val="4A1D606E"/>
    <w:multiLevelType w:val="hybridMultilevel"/>
    <w:lvl w:ilvl="0">
      <w:lvlJc w:val="left"/>
      <w:lvlText w:val="%1."/>
      <w:numFmt w:val="decimal"/>
      <w:start w:val="2"/>
    </w:lvl>
  </w:abstractNum>
  <w:abstractNum w:abstractNumId="264">
    <w:nsid w:val="4382503"/>
    <w:multiLevelType w:val="hybridMultilevel"/>
    <w:lvl w:ilvl="0">
      <w:lvlJc w:val="left"/>
      <w:lvlText w:val="●"/>
      <w:numFmt w:val="bullet"/>
      <w:start w:val="1"/>
    </w:lvl>
  </w:abstractNum>
  <w:abstractNum w:abstractNumId="265">
    <w:nsid w:val="59B76E28"/>
    <w:multiLevelType w:val="hybridMultilevel"/>
    <w:lvl w:ilvl="0">
      <w:lvlJc w:val="left"/>
      <w:lvlText w:val="%1."/>
      <w:numFmt w:val="decimal"/>
      <w:start w:val="1"/>
    </w:lvl>
  </w:abstractNum>
  <w:abstractNum w:abstractNumId="266">
    <w:nsid w:val="4252C2DA"/>
    <w:multiLevelType w:val="hybridMultilevel"/>
    <w:lvl w:ilvl="0">
      <w:lvlJc w:val="left"/>
      <w:lvlText w:val="%1."/>
      <w:numFmt w:val="decimal"/>
      <w:start w:val="2"/>
    </w:lvl>
  </w:abstractNum>
  <w:abstractNum w:abstractNumId="267">
    <w:nsid w:val="6A92EF4C"/>
    <w:multiLevelType w:val="hybridMultilevel"/>
    <w:lvl w:ilvl="0">
      <w:lvlJc w:val="left"/>
      <w:lvlText w:val="%1."/>
      <w:numFmt w:val="decimal"/>
      <w:start w:val="3"/>
    </w:lvl>
  </w:abstractNum>
  <w:abstractNum w:abstractNumId="268">
    <w:nsid w:val="41ED20D7"/>
    <w:multiLevelType w:val="hybridMultilevel"/>
    <w:lvl w:ilvl="0">
      <w:lvlJc w:val="left"/>
      <w:lvlText w:val="%1."/>
      <w:numFmt w:val="decimal"/>
      <w:start w:val="4"/>
    </w:lvl>
  </w:abstractNum>
  <w:abstractNum w:abstractNumId="269">
    <w:nsid w:val="E6B3F6A"/>
    <w:multiLevelType w:val="hybridMultilevel"/>
    <w:lvl w:ilvl="0">
      <w:lvlJc w:val="left"/>
      <w:lvlText w:val="●"/>
      <w:numFmt w:val="bullet"/>
      <w:start w:val="1"/>
    </w:lvl>
  </w:abstractNum>
  <w:abstractNum w:abstractNumId="270">
    <w:nsid w:val="3EB21819"/>
    <w:multiLevelType w:val="hybridMultilevel"/>
    <w:lvl w:ilvl="0">
      <w:lvlJc w:val="left"/>
      <w:lvlText w:val="2"/>
      <w:numFmt w:val="bullet"/>
      <w:start w:val="1"/>
    </w:lvl>
  </w:abstractNum>
  <w:abstractNum w:abstractNumId="271">
    <w:nsid w:val="41531DED"/>
    <w:multiLevelType w:val="hybridMultilevel"/>
    <w:lvl w:ilvl="0">
      <w:lvlJc w:val="left"/>
      <w:lvlText w:val="3"/>
      <w:numFmt w:val="bullet"/>
      <w:start w:val="1"/>
    </w:lvl>
  </w:abstractNum>
  <w:abstractNum w:abstractNumId="272">
    <w:nsid w:val="6353CD2"/>
    <w:multiLevelType w:val="hybridMultilevel"/>
    <w:lvl w:ilvl="0">
      <w:lvlJc w:val="left"/>
      <w:lvlText w:val="●"/>
      <w:numFmt w:val="bullet"/>
      <w:start w:val="1"/>
    </w:lvl>
  </w:abstractNum>
  <w:abstractNum w:abstractNumId="273">
    <w:nsid w:val="683CAAD3"/>
    <w:multiLevelType w:val="hybridMultilevel"/>
    <w:lvl w:ilvl="0">
      <w:lvlJc w:val="left"/>
      <w:lvlText w:val="%1."/>
      <w:numFmt w:val="decimal"/>
      <w:start w:val="1"/>
    </w:lvl>
    <w:lvl w:ilvl="1">
      <w:lvlJc w:val="left"/>
      <w:lvlText w:val="●"/>
      <w:numFmt w:val="bullet"/>
      <w:start w:val="1"/>
    </w:lvl>
  </w:abstractNum>
  <w:abstractNum w:abstractNumId="274">
    <w:nsid w:val="313C7C99"/>
    <w:multiLevelType w:val="hybridMultilevel"/>
    <w:lvl w:ilvl="0">
      <w:lvlJc w:val="left"/>
      <w:lvlText w:val="%1."/>
      <w:numFmt w:val="decimal"/>
      <w:start w:val="4"/>
    </w:lvl>
    <w:lvl w:ilvl="1">
      <w:lvlJc w:val="left"/>
      <w:lvlText w:val="●"/>
      <w:numFmt w:val="bullet"/>
      <w:start w:val="1"/>
    </w:lvl>
  </w:abstractNum>
  <w:abstractNum w:abstractNumId="275">
    <w:nsid w:val="519EB94C"/>
    <w:multiLevelType w:val="hybridMultilevel"/>
    <w:lvl w:ilvl="0">
      <w:lvlJc w:val="left"/>
      <w:lvlText w:val="%1."/>
      <w:numFmt w:val="decimal"/>
      <w:start w:val="1"/>
    </w:lvl>
    <w:lvl w:ilvl="1">
      <w:lvlJc w:val="left"/>
      <w:lvlText w:val="%2."/>
      <w:numFmt w:val="lowerLetter"/>
      <w:start w:val="1"/>
    </w:lvl>
  </w:abstractNum>
  <w:abstractNum w:abstractNumId="276">
    <w:nsid w:val="39DF2579"/>
    <w:multiLevelType w:val="hybridMultilevel"/>
    <w:lvl w:ilvl="0">
      <w:lvlJc w:val="left"/>
      <w:lvlText w:val="%1."/>
      <w:numFmt w:val="decimal"/>
      <w:start w:val="1"/>
    </w:lvl>
    <w:lvl w:ilvl="1">
      <w:lvlJc w:val="left"/>
      <w:lvlText w:val="%2."/>
      <w:numFmt w:val="lowerLetter"/>
      <w:start w:val="1"/>
    </w:lvl>
  </w:abstractNum>
  <w:abstractNum w:abstractNumId="277">
    <w:nsid w:val="126E008B"/>
    <w:multiLevelType w:val="hybridMultilevel"/>
    <w:lvl w:ilvl="0">
      <w:lvlJc w:val="left"/>
      <w:lvlText w:val="%1)"/>
      <w:numFmt w:val="decimal"/>
      <w:start w:val="1"/>
    </w:lvl>
  </w:abstractNum>
  <w:abstractNum w:abstractNumId="278">
    <w:nsid w:val="34DFBC00"/>
    <w:multiLevelType w:val="hybridMultilevel"/>
    <w:lvl w:ilvl="0">
      <w:lvlJc w:val="left"/>
      <w:lvlText w:val="%1."/>
      <w:numFmt w:val="upperLetter"/>
      <w:start w:val="9"/>
    </w:lvl>
  </w:abstractNum>
  <w:abstractNum w:abstractNumId="279">
    <w:nsid w:val="1F9EC322"/>
    <w:multiLevelType w:val="hybridMultilevel"/>
    <w:lvl w:ilvl="0">
      <w:lvlJc w:val="left"/>
      <w:lvlText w:val="(%1)"/>
      <w:numFmt w:val="lowerLetter"/>
      <w:start w:val="1"/>
    </w:lvl>
  </w:abstractNum>
  <w:abstractNum w:abstractNumId="280">
    <w:nsid w:val="3410ED56"/>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86" Type="http://schemas.openxmlformats.org/officeDocument/2006/relationships/image" Target="media/image243.png"/><Relationship Id="rId287" Type="http://schemas.openxmlformats.org/officeDocument/2006/relationships/image" Target="media/image244.png"/><Relationship Id="rId288" Type="http://schemas.openxmlformats.org/officeDocument/2006/relationships/image" Target="media/image245.png"/><Relationship Id="rId289" Type="http://schemas.openxmlformats.org/officeDocument/2006/relationships/image" Target="media/image246.png"/><Relationship Id="rId290" Type="http://schemas.openxmlformats.org/officeDocument/2006/relationships/image" Target="media/image247.png"/><Relationship Id="rId291" Type="http://schemas.openxmlformats.org/officeDocument/2006/relationships/image" Target="media/image248.png"/><Relationship Id="rId292" Type="http://schemas.openxmlformats.org/officeDocument/2006/relationships/image" Target="media/image249.png"/><Relationship Id="rId293" Type="http://schemas.openxmlformats.org/officeDocument/2006/relationships/image" Target="media/image250.png"/><Relationship Id="rId294" Type="http://schemas.openxmlformats.org/officeDocument/2006/relationships/image" Target="media/image251.png"/><Relationship Id="rId295" Type="http://schemas.openxmlformats.org/officeDocument/2006/relationships/image" Target="media/image252.png"/><Relationship Id="rId296" Type="http://schemas.openxmlformats.org/officeDocument/2006/relationships/image" Target="media/image253.png"/><Relationship Id="rId297" Type="http://schemas.openxmlformats.org/officeDocument/2006/relationships/image" Target="media/image254.png"/><Relationship Id="rId298" Type="http://schemas.openxmlformats.org/officeDocument/2006/relationships/image" Target="media/image255.png"/><Relationship Id="rId299" Type="http://schemas.openxmlformats.org/officeDocument/2006/relationships/image" Target="media/image256.png"/><Relationship Id="rId300" Type="http://schemas.openxmlformats.org/officeDocument/2006/relationships/image" Target="media/image257.png"/><Relationship Id="rId301" Type="http://schemas.openxmlformats.org/officeDocument/2006/relationships/image" Target="media/image258.png"/><Relationship Id="rId302" Type="http://schemas.openxmlformats.org/officeDocument/2006/relationships/image" Target="media/image259.png"/><Relationship Id="rId303" Type="http://schemas.openxmlformats.org/officeDocument/2006/relationships/image" Target="media/image260.png"/><Relationship Id="rId304" Type="http://schemas.openxmlformats.org/officeDocument/2006/relationships/image" Target="media/image261.png"/><Relationship Id="rId305" Type="http://schemas.openxmlformats.org/officeDocument/2006/relationships/image" Target="media/image262.png"/><Relationship Id="rId306" Type="http://schemas.openxmlformats.org/officeDocument/2006/relationships/image" Target="media/image263.png"/><Relationship Id="rId307" Type="http://schemas.openxmlformats.org/officeDocument/2006/relationships/image" Target="media/image264.png"/><Relationship Id="rId308" Type="http://schemas.openxmlformats.org/officeDocument/2006/relationships/image" Target="media/image265.png"/><Relationship Id="rId309" Type="http://schemas.openxmlformats.org/officeDocument/2006/relationships/image" Target="media/image266.png"/><Relationship Id="rId310" Type="http://schemas.openxmlformats.org/officeDocument/2006/relationships/image" Target="media/image267.png"/><Relationship Id="rId311" Type="http://schemas.openxmlformats.org/officeDocument/2006/relationships/image" Target="media/image268.png"/><Relationship Id="rId312" Type="http://schemas.openxmlformats.org/officeDocument/2006/relationships/image" Target="media/image269.png"/><Relationship Id="rId313" Type="http://schemas.openxmlformats.org/officeDocument/2006/relationships/image" Target="media/image270.png"/><Relationship Id="rId314" Type="http://schemas.openxmlformats.org/officeDocument/2006/relationships/image" Target="media/image271.jpeg"/><Relationship Id="rId315" Type="http://schemas.openxmlformats.org/officeDocument/2006/relationships/image" Target="media/image272.png"/><Relationship Id="rId316" Type="http://schemas.openxmlformats.org/officeDocument/2006/relationships/image" Target="media/image273.png"/><Relationship Id="rId317" Type="http://schemas.openxmlformats.org/officeDocument/2006/relationships/image" Target="media/image274.png"/><Relationship Id="rId318" Type="http://schemas.openxmlformats.org/officeDocument/2006/relationships/image" Target="media/image275.png"/><Relationship Id="rId319" Type="http://schemas.openxmlformats.org/officeDocument/2006/relationships/image" Target="media/image276.png"/><Relationship Id="rId320" Type="http://schemas.openxmlformats.org/officeDocument/2006/relationships/image" Target="media/image277.png"/><Relationship Id="rId321" Type="http://schemas.openxmlformats.org/officeDocument/2006/relationships/image" Target="media/image278.png"/><Relationship Id="rId322" Type="http://schemas.openxmlformats.org/officeDocument/2006/relationships/image" Target="media/image279.png"/><Relationship Id="rId323" Type="http://schemas.openxmlformats.org/officeDocument/2006/relationships/image" Target="media/image280.png"/><Relationship Id="rId324" Type="http://schemas.openxmlformats.org/officeDocument/2006/relationships/image" Target="media/image281.png"/><Relationship Id="rId325" Type="http://schemas.openxmlformats.org/officeDocument/2006/relationships/image" Target="media/image282.png"/><Relationship Id="rId326" Type="http://schemas.openxmlformats.org/officeDocument/2006/relationships/image" Target="media/image283.png"/><Relationship Id="rId327" Type="http://schemas.openxmlformats.org/officeDocument/2006/relationships/image" Target="media/image284.png"/><Relationship Id="rId328" Type="http://schemas.openxmlformats.org/officeDocument/2006/relationships/image" Target="media/image285.jpeg"/><Relationship Id="rId329" Type="http://schemas.openxmlformats.org/officeDocument/2006/relationships/image" Target="media/image286.png"/><Relationship Id="rId330" Type="http://schemas.openxmlformats.org/officeDocument/2006/relationships/image" Target="media/image287.png"/><Relationship Id="rId331" Type="http://schemas.openxmlformats.org/officeDocument/2006/relationships/image" Target="media/image288.png"/><Relationship Id="rId332" Type="http://schemas.openxmlformats.org/officeDocument/2006/relationships/image" Target="media/image289.png"/><Relationship Id="rId333" Type="http://schemas.openxmlformats.org/officeDocument/2006/relationships/image" Target="media/image290.png"/><Relationship Id="rId334" Type="http://schemas.openxmlformats.org/officeDocument/2006/relationships/image" Target="media/image291.png"/><Relationship Id="rId335" Type="http://schemas.openxmlformats.org/officeDocument/2006/relationships/image" Target="media/image292.png"/><Relationship Id="rId336" Type="http://schemas.openxmlformats.org/officeDocument/2006/relationships/image" Target="media/image293.png"/><Relationship Id="rId337" Type="http://schemas.openxmlformats.org/officeDocument/2006/relationships/image" Target="media/image294.png"/><Relationship Id="rId338" Type="http://schemas.openxmlformats.org/officeDocument/2006/relationships/image" Target="media/image295.png"/><Relationship Id="rId339" Type="http://schemas.openxmlformats.org/officeDocument/2006/relationships/image" Target="media/image296.png"/><Relationship Id="rId340" Type="http://schemas.openxmlformats.org/officeDocument/2006/relationships/image" Target="media/image297.png"/><Relationship Id="rId341" Type="http://schemas.openxmlformats.org/officeDocument/2006/relationships/image" Target="media/image298.png"/><Relationship Id="rId342" Type="http://schemas.openxmlformats.org/officeDocument/2006/relationships/image" Target="media/image299.png"/><Relationship Id="rId343" Type="http://schemas.openxmlformats.org/officeDocument/2006/relationships/image" Target="media/image300.png"/><Relationship Id="rId344" Type="http://schemas.openxmlformats.org/officeDocument/2006/relationships/image" Target="media/image301.png"/><Relationship Id="rId345" Type="http://schemas.openxmlformats.org/officeDocument/2006/relationships/image" Target="media/image302.png"/><Relationship Id="rId346" Type="http://schemas.openxmlformats.org/officeDocument/2006/relationships/image" Target="media/image303.png"/><Relationship Id="rId347" Type="http://schemas.openxmlformats.org/officeDocument/2006/relationships/image" Target="media/image304.png"/><Relationship Id="rId348" Type="http://schemas.openxmlformats.org/officeDocument/2006/relationships/image" Target="media/image305.png"/><Relationship Id="rId349" Type="http://schemas.openxmlformats.org/officeDocument/2006/relationships/image" Target="media/image306.png"/><Relationship Id="rId350" Type="http://schemas.openxmlformats.org/officeDocument/2006/relationships/image" Target="media/image307.png"/><Relationship Id="rId351" Type="http://schemas.openxmlformats.org/officeDocument/2006/relationships/image" Target="media/image308.png"/><Relationship Id="rId352" Type="http://schemas.openxmlformats.org/officeDocument/2006/relationships/image" Target="media/image309.png"/><Relationship Id="rId353" Type="http://schemas.openxmlformats.org/officeDocument/2006/relationships/image" Target="media/image310.png"/><Relationship Id="rId354" Type="http://schemas.openxmlformats.org/officeDocument/2006/relationships/image" Target="media/image311.png"/><Relationship Id="rId355" Type="http://schemas.openxmlformats.org/officeDocument/2006/relationships/image" Target="media/image312.png"/><Relationship Id="rId356" Type="http://schemas.openxmlformats.org/officeDocument/2006/relationships/image" Target="media/image313.png"/><Relationship Id="rId357" Type="http://schemas.openxmlformats.org/officeDocument/2006/relationships/image" Target="media/image314.png"/><Relationship Id="rId358" Type="http://schemas.openxmlformats.org/officeDocument/2006/relationships/image" Target="media/image315.png"/><Relationship Id="rId359" Type="http://schemas.openxmlformats.org/officeDocument/2006/relationships/image" Target="media/image316.png"/><Relationship Id="rId360" Type="http://schemas.openxmlformats.org/officeDocument/2006/relationships/image" Target="media/image317.png"/><Relationship Id="rId361" Type="http://schemas.openxmlformats.org/officeDocument/2006/relationships/image" Target="media/image318.png"/><Relationship Id="rId362" Type="http://schemas.openxmlformats.org/officeDocument/2006/relationships/image" Target="media/image319.png"/><Relationship Id="rId363" Type="http://schemas.openxmlformats.org/officeDocument/2006/relationships/image" Target="media/image320.png"/><Relationship Id="rId364" Type="http://schemas.openxmlformats.org/officeDocument/2006/relationships/image" Target="media/image321.png"/><Relationship Id="rId365" Type="http://schemas.openxmlformats.org/officeDocument/2006/relationships/image" Target="media/image322.png"/><Relationship Id="rId366" Type="http://schemas.openxmlformats.org/officeDocument/2006/relationships/image" Target="media/image323.png"/><Relationship Id="rId367" Type="http://schemas.openxmlformats.org/officeDocument/2006/relationships/image" Target="media/image324.png"/><Relationship Id="rId368" Type="http://schemas.openxmlformats.org/officeDocument/2006/relationships/image" Target="media/image325.png"/><Relationship Id="rId369" Type="http://schemas.openxmlformats.org/officeDocument/2006/relationships/image" Target="media/image326.png"/><Relationship Id="rId370" Type="http://schemas.openxmlformats.org/officeDocument/2006/relationships/image" Target="media/image327.png"/><Relationship Id="rId371" Type="http://schemas.openxmlformats.org/officeDocument/2006/relationships/image" Target="media/image328.png"/><Relationship Id="rId372" Type="http://schemas.openxmlformats.org/officeDocument/2006/relationships/image" Target="media/image329.png"/><Relationship Id="rId373" Type="http://schemas.openxmlformats.org/officeDocument/2006/relationships/image" Target="media/image330.png"/><Relationship Id="rId374" Type="http://schemas.openxmlformats.org/officeDocument/2006/relationships/image" Target="media/image331.png"/><Relationship Id="rId375" Type="http://schemas.openxmlformats.org/officeDocument/2006/relationships/image" Target="media/image332.png"/><Relationship Id="rId376" Type="http://schemas.openxmlformats.org/officeDocument/2006/relationships/image" Target="media/image333.png"/><Relationship Id="rId377" Type="http://schemas.openxmlformats.org/officeDocument/2006/relationships/image" Target="media/image334.png"/><Relationship Id="rId378" Type="http://schemas.openxmlformats.org/officeDocument/2006/relationships/image" Target="media/image335.png"/><Relationship Id="rId379" Type="http://schemas.openxmlformats.org/officeDocument/2006/relationships/image" Target="media/image336.png"/><Relationship Id="rId380" Type="http://schemas.openxmlformats.org/officeDocument/2006/relationships/image" Target="media/image337.png"/><Relationship Id="rId381" Type="http://schemas.openxmlformats.org/officeDocument/2006/relationships/image" Target="media/image338.png"/><Relationship Id="rId382" Type="http://schemas.openxmlformats.org/officeDocument/2006/relationships/image" Target="media/image339.png"/><Relationship Id="rId383" Type="http://schemas.openxmlformats.org/officeDocument/2006/relationships/image" Target="media/image340.png"/><Relationship Id="rId384" Type="http://schemas.openxmlformats.org/officeDocument/2006/relationships/image" Target="media/image341.png"/><Relationship Id="rId385" Type="http://schemas.openxmlformats.org/officeDocument/2006/relationships/image" Target="media/image342.png"/><Relationship Id="rId386" Type="http://schemas.openxmlformats.org/officeDocument/2006/relationships/image" Target="media/image343.png"/><Relationship Id="rId387" Type="http://schemas.openxmlformats.org/officeDocument/2006/relationships/image" Target="media/image344.png"/><Relationship Id="rId388" Type="http://schemas.openxmlformats.org/officeDocument/2006/relationships/image" Target="media/image345.png"/><Relationship Id="rId389" Type="http://schemas.openxmlformats.org/officeDocument/2006/relationships/image" Target="media/image346.png"/><Relationship Id="rId390" Type="http://schemas.openxmlformats.org/officeDocument/2006/relationships/image" Target="media/image347.png"/><Relationship Id="rId391" Type="http://schemas.openxmlformats.org/officeDocument/2006/relationships/image" Target="media/image348.png"/><Relationship Id="rId392" Type="http://schemas.openxmlformats.org/officeDocument/2006/relationships/image" Target="media/image349.png"/><Relationship Id="rId393" Type="http://schemas.openxmlformats.org/officeDocument/2006/relationships/image" Target="media/image350.png"/><Relationship Id="rId394" Type="http://schemas.openxmlformats.org/officeDocument/2006/relationships/image" Target="media/image351.png"/><Relationship Id="rId395" Type="http://schemas.openxmlformats.org/officeDocument/2006/relationships/image" Target="media/image352.png"/><Relationship Id="rId396" Type="http://schemas.openxmlformats.org/officeDocument/2006/relationships/image" Target="media/image353.png"/><Relationship Id="rId397" Type="http://schemas.openxmlformats.org/officeDocument/2006/relationships/image" Target="media/image354.png"/><Relationship Id="rId398" Type="http://schemas.openxmlformats.org/officeDocument/2006/relationships/image" Target="media/image355.png"/><Relationship Id="rId399" Type="http://schemas.openxmlformats.org/officeDocument/2006/relationships/image" Target="media/image356.png"/><Relationship Id="rId400" Type="http://schemas.openxmlformats.org/officeDocument/2006/relationships/image" Target="media/image357.png"/><Relationship Id="rId401" Type="http://schemas.openxmlformats.org/officeDocument/2006/relationships/image" Target="media/image358.png"/><Relationship Id="rId402" Type="http://schemas.openxmlformats.org/officeDocument/2006/relationships/image" Target="media/image359.png"/><Relationship Id="rId403" Type="http://schemas.openxmlformats.org/officeDocument/2006/relationships/image" Target="media/image360.png"/><Relationship Id="rId404" Type="http://schemas.openxmlformats.org/officeDocument/2006/relationships/image" Target="media/image361.png"/><Relationship Id="rId405" Type="http://schemas.openxmlformats.org/officeDocument/2006/relationships/image" Target="media/image362.png"/><Relationship Id="rId406" Type="http://schemas.openxmlformats.org/officeDocument/2006/relationships/image" Target="media/image363.png"/><Relationship Id="rId407" Type="http://schemas.openxmlformats.org/officeDocument/2006/relationships/image" Target="media/image364.png"/><Relationship Id="rId408" Type="http://schemas.openxmlformats.org/officeDocument/2006/relationships/image" Target="media/image365.png"/><Relationship Id="rId409" Type="http://schemas.openxmlformats.org/officeDocument/2006/relationships/image" Target="media/image366.png"/><Relationship Id="rId410" Type="http://schemas.openxmlformats.org/officeDocument/2006/relationships/image" Target="media/image367.png"/><Relationship Id="rId411" Type="http://schemas.openxmlformats.org/officeDocument/2006/relationships/image" Target="media/image368.png"/><Relationship Id="rId412" Type="http://schemas.openxmlformats.org/officeDocument/2006/relationships/image" Target="media/image369.png"/><Relationship Id="rId413" Type="http://schemas.openxmlformats.org/officeDocument/2006/relationships/image" Target="media/image370.png"/><Relationship Id="rId414" Type="http://schemas.openxmlformats.org/officeDocument/2006/relationships/image" Target="media/image371.png"/><Relationship Id="rId415" Type="http://schemas.openxmlformats.org/officeDocument/2006/relationships/image" Target="media/image372.png"/><Relationship Id="rId416" Type="http://schemas.openxmlformats.org/officeDocument/2006/relationships/image" Target="media/image373.png"/><Relationship Id="rId417" Type="http://schemas.openxmlformats.org/officeDocument/2006/relationships/image" Target="media/image374.png"/><Relationship Id="rId418" Type="http://schemas.openxmlformats.org/officeDocument/2006/relationships/image" Target="media/image375.png"/><Relationship Id="rId419" Type="http://schemas.openxmlformats.org/officeDocument/2006/relationships/image" Target="media/image376.png"/><Relationship Id="rId420" Type="http://schemas.openxmlformats.org/officeDocument/2006/relationships/image" Target="media/image377.png"/><Relationship Id="rId421" Type="http://schemas.openxmlformats.org/officeDocument/2006/relationships/image" Target="media/image378.png"/><Relationship Id="rId422" Type="http://schemas.openxmlformats.org/officeDocument/2006/relationships/image" Target="media/image379.png"/><Relationship Id="rId423" Type="http://schemas.openxmlformats.org/officeDocument/2006/relationships/image" Target="media/image380.png"/><Relationship Id="rId424" Type="http://schemas.openxmlformats.org/officeDocument/2006/relationships/image" Target="media/image381.png"/><Relationship Id="rId425" Type="http://schemas.openxmlformats.org/officeDocument/2006/relationships/image" Target="media/image382.png"/><Relationship Id="rId426" Type="http://schemas.openxmlformats.org/officeDocument/2006/relationships/image" Target="media/image383.png"/><Relationship Id="rId427" Type="http://schemas.openxmlformats.org/officeDocument/2006/relationships/image" Target="media/image384.png"/><Relationship Id="rId428" Type="http://schemas.openxmlformats.org/officeDocument/2006/relationships/image" Target="media/image385.png"/><Relationship Id="rId429" Type="http://schemas.openxmlformats.org/officeDocument/2006/relationships/image" Target="media/image386.png"/><Relationship Id="rId430" Type="http://schemas.openxmlformats.org/officeDocument/2006/relationships/image" Target="media/image387.png"/><Relationship Id="rId431" Type="http://schemas.openxmlformats.org/officeDocument/2006/relationships/image" Target="media/image388.png"/><Relationship Id="rId432" Type="http://schemas.openxmlformats.org/officeDocument/2006/relationships/image" Target="media/image389.png"/><Relationship Id="rId433" Type="http://schemas.openxmlformats.org/officeDocument/2006/relationships/image" Target="media/image390.png"/><Relationship Id="rId434" Type="http://schemas.openxmlformats.org/officeDocument/2006/relationships/image" Target="media/image391.png"/><Relationship Id="rId435" Type="http://schemas.openxmlformats.org/officeDocument/2006/relationships/image" Target="media/image392.png"/><Relationship Id="rId436" Type="http://schemas.openxmlformats.org/officeDocument/2006/relationships/image" Target="media/image393.png"/><Relationship Id="rId437" Type="http://schemas.openxmlformats.org/officeDocument/2006/relationships/image" Target="media/image394.png"/><Relationship Id="rId438" Type="http://schemas.openxmlformats.org/officeDocument/2006/relationships/image" Target="media/image395.png"/><Relationship Id="rId439" Type="http://schemas.openxmlformats.org/officeDocument/2006/relationships/image" Target="media/image396.png"/><Relationship Id="rId440" Type="http://schemas.openxmlformats.org/officeDocument/2006/relationships/image" Target="media/image397.png"/><Relationship Id="rId441" Type="http://schemas.openxmlformats.org/officeDocument/2006/relationships/image" Target="media/image398.png"/><Relationship Id="rId442" Type="http://schemas.openxmlformats.org/officeDocument/2006/relationships/image" Target="media/image399.png"/><Relationship Id="rId443" Type="http://schemas.openxmlformats.org/officeDocument/2006/relationships/image" Target="media/image400.png"/><Relationship Id="rId444" Type="http://schemas.openxmlformats.org/officeDocument/2006/relationships/image" Target="media/image401.png"/><Relationship Id="rId445" Type="http://schemas.openxmlformats.org/officeDocument/2006/relationships/image" Target="media/image402.png"/><Relationship Id="rId446" Type="http://schemas.openxmlformats.org/officeDocument/2006/relationships/image" Target="media/image403.png"/><Relationship Id="rId447" Type="http://schemas.openxmlformats.org/officeDocument/2006/relationships/image" Target="media/image404.png"/><Relationship Id="rId448" Type="http://schemas.openxmlformats.org/officeDocument/2006/relationships/image" Target="media/image405.png"/><Relationship Id="rId449" Type="http://schemas.openxmlformats.org/officeDocument/2006/relationships/image" Target="media/image406.png"/><Relationship Id="rId450" Type="http://schemas.openxmlformats.org/officeDocument/2006/relationships/image" Target="media/image407.png"/><Relationship Id="rId451" Type="http://schemas.openxmlformats.org/officeDocument/2006/relationships/image" Target="media/image408.png"/><Relationship Id="rId452" Type="http://schemas.openxmlformats.org/officeDocument/2006/relationships/image" Target="media/image409.png"/><Relationship Id="rId453" Type="http://schemas.openxmlformats.org/officeDocument/2006/relationships/image" Target="media/image410.jpeg"/><Relationship Id="rId454" Type="http://schemas.openxmlformats.org/officeDocument/2006/relationships/image" Target="media/image411.png"/><Relationship Id="rId455" Type="http://schemas.openxmlformats.org/officeDocument/2006/relationships/image" Target="media/image412.png"/><Relationship Id="rId456" Type="http://schemas.openxmlformats.org/officeDocument/2006/relationships/image" Target="media/image413.png"/><Relationship Id="rId457" Type="http://schemas.openxmlformats.org/officeDocument/2006/relationships/image" Target="media/image414.png"/><Relationship Id="rId458" Type="http://schemas.openxmlformats.org/officeDocument/2006/relationships/image" Target="media/image415.png"/><Relationship Id="rId459" Type="http://schemas.openxmlformats.org/officeDocument/2006/relationships/image" Target="media/image416.png"/><Relationship Id="rId460" Type="http://schemas.openxmlformats.org/officeDocument/2006/relationships/image" Target="media/image417.png"/><Relationship Id="rId461" Type="http://schemas.openxmlformats.org/officeDocument/2006/relationships/image" Target="media/image418.png"/><Relationship Id="rId462" Type="http://schemas.openxmlformats.org/officeDocument/2006/relationships/image" Target="media/image419.png"/><Relationship Id="rId463" Type="http://schemas.openxmlformats.org/officeDocument/2006/relationships/image" Target="media/image420.png"/><Relationship Id="rId464" Type="http://schemas.openxmlformats.org/officeDocument/2006/relationships/image" Target="media/image421.png"/><Relationship Id="rId465" Type="http://schemas.openxmlformats.org/officeDocument/2006/relationships/image" Target="media/image422.png"/><Relationship Id="rId466" Type="http://schemas.openxmlformats.org/officeDocument/2006/relationships/image" Target="media/image423.png"/><Relationship Id="rId467" Type="http://schemas.openxmlformats.org/officeDocument/2006/relationships/image" Target="media/image424.png"/><Relationship Id="rId468" Type="http://schemas.openxmlformats.org/officeDocument/2006/relationships/image" Target="media/image425.png"/><Relationship Id="rId469" Type="http://schemas.openxmlformats.org/officeDocument/2006/relationships/image" Target="media/image426.png"/><Relationship Id="rId470" Type="http://schemas.openxmlformats.org/officeDocument/2006/relationships/image" Target="media/image427.png"/><Relationship Id="rId471" Type="http://schemas.openxmlformats.org/officeDocument/2006/relationships/image" Target="media/image428.jpeg"/><Relationship Id="rId472" Type="http://schemas.openxmlformats.org/officeDocument/2006/relationships/image" Target="media/image429.png"/><Relationship Id="rId473" Type="http://schemas.openxmlformats.org/officeDocument/2006/relationships/image" Target="media/image430.png"/><Relationship Id="rId474" Type="http://schemas.openxmlformats.org/officeDocument/2006/relationships/image" Target="media/image431.png"/><Relationship Id="rId475" Type="http://schemas.openxmlformats.org/officeDocument/2006/relationships/image" Target="media/image432.png"/><Relationship Id="rId476" Type="http://schemas.openxmlformats.org/officeDocument/2006/relationships/image" Target="media/image433.png"/><Relationship Id="rId477" Type="http://schemas.openxmlformats.org/officeDocument/2006/relationships/image" Target="media/image434.png"/><Relationship Id="rId478" Type="http://schemas.openxmlformats.org/officeDocument/2006/relationships/image" Target="media/image435.png"/><Relationship Id="rId250" Type="http://schemas.openxmlformats.org/officeDocument/2006/relationships/hyperlink" Target="http://www.sec.gov/Archives/edgar/data/907654/000119312524085437/d794675dex21.htm" TargetMode="External"/><Relationship Id="rId251" Type="http://schemas.openxmlformats.org/officeDocument/2006/relationships/hyperlink" Target="http://www.sec.gov/Archives/edgar/data/907654/000121390024076184/ea021319301ex3-5_oruka.htm" TargetMode="External"/><Relationship Id="rId252" Type="http://schemas.openxmlformats.org/officeDocument/2006/relationships/hyperlink" Target="http://www.sec.gov/Archives/edgar/data/907654/000121390024076184/ea021319301ex3-6_oruka.htm" TargetMode="External"/><Relationship Id="rId253" Type="http://schemas.openxmlformats.org/officeDocument/2006/relationships/hyperlink" Target="http://www.sec.gov/Archives/edgar/data/907654/000119312513233692/d507513dex31b.htm" TargetMode="External"/><Relationship Id="rId254" Type="http://schemas.openxmlformats.org/officeDocument/2006/relationships/hyperlink" Target="http://www.sec.gov/Archives/edgar/data/907654/000121390024076184/ea021319301ex3-8_oruka.htm" TargetMode="External"/><Relationship Id="rId255" Type="http://schemas.openxmlformats.org/officeDocument/2006/relationships/hyperlink" Target="http://www.sec.gov/Archives/edgar/data/907654/000121390024076184/ea021319301ex3-9_oruka.htm" TargetMode="External"/><Relationship Id="rId256" Type="http://schemas.openxmlformats.org/officeDocument/2006/relationships/hyperlink" Target="http://www.sec.gov/Archives/edgar/data/907654/000121390024078549/ea021443901ex3-1_oruka.htm" TargetMode="External"/><Relationship Id="rId257" Type="http://schemas.openxmlformats.org/officeDocument/2006/relationships/hyperlink" Target="http://www.sec.gov/Archives/edgar/data/907654/000121390024042529/ea020512201ex4-3_arcabio.htm" TargetMode="External"/><Relationship Id="rId258" Type="http://schemas.openxmlformats.org/officeDocument/2006/relationships/hyperlink" Target="http://www.sec.gov/Archives/edgar/data/907654/000121390024078549/ea021443901ex4-1_oruka.htm" TargetMode="External"/><Relationship Id="rId259" Type="http://schemas.openxmlformats.org/officeDocument/2006/relationships/hyperlink" Target="https://www.sec.gov/Archives/edgar/data/907654/000121390024076184/ea021319301ex10-10_oruka.htm" TargetMode="External"/><Relationship Id="rId260" Type="http://schemas.openxmlformats.org/officeDocument/2006/relationships/hyperlink" Target="https://www.sec.gov/Archives/edgar/data/907654/000121390024076184/ea021319301ex10-11_oruka.htm" TargetMode="External"/><Relationship Id="rId261" Type="http://schemas.openxmlformats.org/officeDocument/2006/relationships/hyperlink" Target="https://www.sec.gov/Archives/edgar/data/907654/000121390024042529/ea020512201ex10-40_arcabio.htm" TargetMode="External"/><Relationship Id="rId262" Type="http://schemas.openxmlformats.org/officeDocument/2006/relationships/hyperlink" Target="https://www.sec.gov/Archives/edgar/data/907654/000121390024076184/ea021319301ex10-13_oruka.htm" TargetMode="External"/><Relationship Id="rId263" Type="http://schemas.openxmlformats.org/officeDocument/2006/relationships/hyperlink" Target="https://www.sec.gov/Archives/edgar/data/907654/000121390024076184/ea021319301ex10-16_oruka.htm" TargetMode="External"/><Relationship Id="rId264" Type="http://schemas.openxmlformats.org/officeDocument/2006/relationships/hyperlink" Target="https://www.sec.gov/Archives/edgar/data/907654/000121390024098574/ea022059801ex99-2_oruka.htm" TargetMode="External"/><Relationship Id="rId265" Type="http://schemas.openxmlformats.org/officeDocument/2006/relationships/hyperlink" Target="https://www.sec.gov/Archives/edgar/data/907654/000121390024098574/ea022059801ex99-3_oruka.htm" TargetMode="External"/><Relationship Id="rId266" Type="http://schemas.openxmlformats.org/officeDocument/2006/relationships/hyperlink" Target="https://www.sec.gov/Archives/edgar/data/907654/000121390024042529/ea020512201ex10-42_arcabio.htm" TargetMode="External"/><Relationship Id="rId267" Type="http://schemas.openxmlformats.org/officeDocument/2006/relationships/hyperlink" Target="https://www.sec.gov/Archives/edgar/data/907654/000095017024041846/abio-ex10_1.htm" TargetMode="External"/><Relationship Id="rId268" Type="http://schemas.openxmlformats.org/officeDocument/2006/relationships/hyperlink" Target="https://www.sec.gov/Archives/edgar/data/907654/000095017024046918/abio-ex10_1.htm" TargetMode="External"/><Relationship Id="rId269" Type="http://schemas.openxmlformats.org/officeDocument/2006/relationships/hyperlink" Target="https://www.sec.gov/Archives/edgar/data/907654/000095017024046918/abio-ex10_2.htm" TargetMode="External"/><Relationship Id="rId270" Type="http://schemas.openxmlformats.org/officeDocument/2006/relationships/hyperlink" Target="http://www.sec.gov/Archives/edgar/data/907654/000121390024076184/ea021319301ex10-25_oruka.htm" TargetMode="External"/><Relationship Id="rId271" Type="http://schemas.openxmlformats.org/officeDocument/2006/relationships/hyperlink" Target="https://www.sec.gov/Archives/edgar/data/907654/000121390024042529/ea020512201ex10-43_arcabio.htm" TargetMode="External"/><Relationship Id="rId272" Type="http://schemas.openxmlformats.org/officeDocument/2006/relationships/hyperlink" Target="https://www.sec.gov/Archives/edgar/data/907654/000121390024042529/ea020512201ex10-44_arcabio.htm" TargetMode="External"/><Relationship Id="rId273" Type="http://schemas.openxmlformats.org/officeDocument/2006/relationships/hyperlink" Target="https://www.sec.gov/Archives/edgar/data/907654/000121390024085543/ea021674601ex10-1_oruka.htm" TargetMode="External"/><Relationship Id="rId274" Type="http://schemas.openxmlformats.org/officeDocument/2006/relationships/hyperlink" Target="https://www.sec.gov/Archives/edgar/data/907654/000121390024085543/ea021674601ex10-2_oruka.htm" TargetMode="External"/><Relationship Id="rId275" Type="http://schemas.openxmlformats.org/officeDocument/2006/relationships/hyperlink" Target="https://www.sec.gov/Archives/edgar/data/907654/000119312524085437/d794675dex104.htm" TargetMode="External"/><Relationship Id="rId276" Type="http://schemas.openxmlformats.org/officeDocument/2006/relationships/hyperlink" Target="http://www.sec.gov/Archives/edgar/data/907654/000121390024060156/ea020913401ex10-1_arcabio.htm" TargetMode="External"/><Relationship Id="rId277" Type="http://schemas.openxmlformats.org/officeDocument/2006/relationships/hyperlink" Target="http://www.sec.gov/Archives/edgar/data/907654/000121390024060156/ea020913401ex10-2_arcabio.htm" TargetMode="External"/><Relationship Id="rId278" Type="http://schemas.openxmlformats.org/officeDocument/2006/relationships/hyperlink" Target="https://www.sec.gov/Archives/edgar/data/907654/000121390024097443/ea021692901ex10-4_oruka.htm" TargetMode="External"/><Relationship Id="rId279" Type="http://schemas.openxmlformats.org/officeDocument/2006/relationships/hyperlink" Target="http://www.sec.gov/Archives/edgar/data/907654/000121390024078549/ea021443901ex10-1_oruka.htm" TargetMode="External"/><Relationship Id="rId280" Type="http://schemas.openxmlformats.org/officeDocument/2006/relationships/hyperlink" Target="http://www.sec.gov/Archives/edgar/data/907654/000121390024078549/ea021443901ex10-2_oruka.htm" TargetMode="External"/><Relationship Id="rId281" Type="http://schemas.openxmlformats.org/officeDocument/2006/relationships/hyperlink" Target="http://www.sec.gov/Archives/edgar/data/907654/000121390024069662/ea021147201ex10-1_arcabio.htm" TargetMode="External"/><Relationship Id="rId282" Type="http://schemas.openxmlformats.org/officeDocument/2006/relationships/hyperlink" Target="https://www.sec.gov/Archives/edgar/data/907654/000121390024053881/ea020512202ex10-50_arcabio.htm" TargetMode="External"/><Relationship Id="rId283" Type="http://schemas.openxmlformats.org/officeDocument/2006/relationships/hyperlink" Target="https://www.sec.gov/Archives/edgar/data/907654/000121390024053881/ea020512202ex10-51_arcabio.htm" TargetMode="External"/><Relationship Id="rId284" Type="http://schemas.openxmlformats.org/officeDocument/2006/relationships/hyperlink" Target="https://www.sec.gov/Archives/edgar/data/907654/000121390024076184/ea021319301ex14-1_oruka.htm" TargetMode="External"/><Relationship Id="rId285" Type="http://schemas.openxmlformats.org/officeDocument/2006/relationships/hyperlink" Target="https://www.sec.gov/Archives/edgar/data/907654/000121390024076184/ea021319301ex16-1_oruk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2025-03-06T15:33:11Z</dcterms:created>
  <dcterms:modified xsi:type="dcterms:W3CDTF">2025-03-06T15:33:11Z</dcterms:modified>
</cp:coreProperties>
</file>