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3545-424b5_oruka.htm"/>
      <w:bookmarkStart w:id="1" w:name="ksea0303545424b5_oruka"/>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333-298488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790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dated October 3, 2025, with TD Securities (USA) LLC (“TD Cowen”), as amended by Amendment No. 1 to the Sales Agreement, dated August 21, 2026, relating to the sale of shares of our common stock, $0.001 par value per share (as amended, the “Sales Agreement”). In accordance with the terms of the Sales Agreement, under this prospectus, we may offer and sell shares of our common stock having an aggregate offering price of up to $500,000,000 from time to time through TD Cowen, acting as our agent or principal.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our common stock, if any, under this prospectus will be made in negotiated transactions, including block trades or block sales, or by any method permitted by law deemed to be an “at the market offering” as defined in Rule 415(a)(4) under the Securities Act of 1933, as amended (the “Securities Act”), including, without limitation, sales made through The Nasdaq Global Market (“Nasdaq”), or any other existing trading market for our common stock or by any other method permitted by law. TD Cowen is not required to sell any specific number or dollar amount of shares of our common stock, but will act as our sales agent using commercially reasonable efforts consistent with its normal trading and sales practices.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for funds to be received in any escrow, trust or similar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will be entitled to compensation at a commission rate of up to 3.0% of the gross sales price per share sold under the Sales Agreement. See “Plan of Distribution” beginning on page 9 for additional information regarding the compensation to be paid to TD Cowen.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our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trade on the Nasdaq Global Market under the symbol “ORKA.” On August 20, 2026, the last reported sale price of our common stock as reported on the Nasdaq Global Market was $104.86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“Risk Factors” beginning on page 3 of this prospectus and in the documents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by Rule 12b-2 of the Exchange Act and are subject to reduced public company reporting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TD Cowen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August 27,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5135"/>
        <w:gridCol w:w="60"/>
        <w:gridCol w:w="530"/>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1">
              <w:r>
                <w:rPr>
                  <w:rStyle w:val="InternetLink"/>
                </w:rPr>
                <w:t>About This Prospectus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2">
              <w:r>
                <w:rPr>
                  <w:rStyle w:val="InternetLink"/>
                </w:rPr>
                <w:t>Special Note Regarding Forward-Looking Statements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iii</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3">
              <w:r>
                <w:rPr>
                  <w:rStyle w:val="InternetLink"/>
                </w:rPr>
                <w:t>Prospectus Summary</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4">
              <w:r>
                <w:rPr>
                  <w:rStyle w:val="InternetLink"/>
                </w:rPr>
                <w:t>Risk Factors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3</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5</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6">
              <w:r>
                <w:rPr>
                  <w:rStyle w:val="InternetLink"/>
                </w:rPr>
                <w:t>Dilution</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6</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7">
              <w:r>
                <w:rPr>
                  <w:rStyle w:val="InternetLink"/>
                </w:rPr>
                <w:t>Dividend Policy</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8</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8">
              <w:r>
                <w:rPr>
                  <w:rStyle w:val="InternetLink"/>
                </w:rPr>
                <w:t>Plan of Distribution</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9</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09">
              <w:r>
                <w:rPr>
                  <w:rStyle w:val="InternetLink"/>
                </w:rPr>
                <w:t>Legal Matters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10">
              <w:r>
                <w:rPr>
                  <w:rStyle w:val="InternetLink"/>
                </w:rPr>
                <w:t>Experts</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11">
              <w:r>
                <w:rPr>
                  <w:rStyle w:val="InternetLink"/>
                </w:rPr>
                <w:t>Where You Can Find More Information</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10</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5135" w:type="dxa"/>
            <w:tcBorders/>
            <w:shd w:fill="CCEEFF" w:val="clear"/>
            <w:vAlign w:val="center"/>
          </w:tcPr>
          <w:p>
            <w:pPr>
              <w:pStyle w:val="TableContents"/>
              <w:bidi w:val="0"/>
              <w:spacing w:before="0" w:after="283"/>
              <w:jc w:val="left"/>
              <w:rPr/>
            </w:pPr>
            <w:hyperlink w:anchor="b_012">
              <w:r>
                <w:rPr>
                  <w:rStyle w:val="InternetLink"/>
                </w:rPr>
                <w:t>Incorporation of Certain Documents by Reference</w:t>
              </w:r>
            </w:hyperlink>
          </w:p>
        </w:tc>
        <w:tc>
          <w:tcPr>
            <w:tcW w:w="6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11</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360" w:right="0" w:hanging="36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b_001"/>
      <w:bookmarkEnd w:id="2"/>
      <w:r>
        <w:rPr>
          <w:rFonts w:ascii="Times New Roman;Times;Serif" w:hAnsi="Times New Roman;Times;Serif"/>
          <w:b/>
          <w:i w:val="false"/>
          <w:caps/>
          <w:sz w:val="20"/>
        </w:rPr>
        <w:t>About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using a “shelf” registration process. Under this prospectus, we may offer and sell shares of our common stock having an aggregate offering price of up to $500,000,000 from time to time through TD Cowen acting as our agent or principal at prices and on terms to be determined by market conditions at the time of the offering. The $500,000,000 of shares of our common stock that may be sold under this prospectus are included in the $1,000,000,000 of securities that may be sold under the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of shares of our common stock in two separate documents that are bound together: (1) this prospectus, which describes the specific details regarding this offering; and (2) the accompanying base prospectus, which provides general information, some of which may not apply to this offering. Generally, when we refer to this “prospectus,” we are referring to both documents combined.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common stock that we are offering, we urge you to carefully read both this prospectus together with all of the information incorporated by reference herein, as well as the additional information described under the headings “Where You Can Find More Information” and “Incorporation of Certain Documents by Reference.” These documents contain important information that you should consider when making your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in this prospectus, on the other hand, you should rely on the information in this prospectus, provided that if any statement in one of these documents is inconsistent with a statement in another document having a later date — for example, a document filed after the date of this prospectus incorporated by reference in this prospectus — the statement in the document having the later date modifies or supersedes the earlier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TD Cowen has not, authorized anyone to provide any information other than that contained in or incorporated by reference in this prospectus supplement. We and TD Cowen take no responsibility for, and can provide no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in this prospectus or any prospectus supplement that we have authorized for use in connection with this offering as well as the information incorporated by reference herein or therein is accurate only as of its date.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as used in this prospectus and the documents incorporated by reference herein, the terms “Oruka,” “ARCA biopharma, Inc.,” “the Company,” “we,” “us,” and “our” refer to Oruka Therapeutics, Inc., a Delaware corporation, and its consolidated subsidiaries taken as a whole.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b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we have filed with the SEC incorporated by reference herein contain “forward-looking statements” within the meaning of Section 27A of the Securities Act of 1933, as amended, and Section 21E of the Securities Exchange Act of 1934, as amended (the “Exchange Act”). These forward-looking statements reflect our current views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We discuss in greater detail, and incorporate by reference into this prospectus in their entirety, many of these risks and uncertainties under the section titled “Risk Factors” contained in our most recent Annual Report on Form 10-K and Quarterly Reports on Form 10-Q, as well as any amendments thereto reflected in subsequent filings with the SEC.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prospectus and the documents incorporated by reference herein in the context of these risks and uncertainties. We caution you that the risks, uncertainties and other factors referred to in this prospectus and the documents incorporated by reference herein may not contain all of the risks, uncertainties and other factors that may affect our future results and operations. Moreover, we operate in a very competitive and rapidly changing environment, and new risks and uncertainties emerge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contained in this prospectus and the documents incorporated by reference herein,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only the date of the document containing the applicable statement and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the documents incorporated by reference herein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herein or to reflect the occurrence of unanticipated events, except as may be required under applicable U.S. securities laws. You should read this prospectus, together with the documents we have filed with the SEC that are incorporated by reference herein,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4" w:name="b_003"/>
      <w:bookmarkEnd w:id="4"/>
      <w:r>
        <w:rPr>
          <w:rFonts w:ascii="Times New Roman;Times;Serif" w:hAnsi="Times New Roman;Times;Serif"/>
          <w:b/>
          <w:i w:val="false"/>
          <w:caps/>
          <w:sz w:val="20"/>
          <w:bdr w:val="single" w:sz="12" w:space="5" w:color="000000"/>
        </w:rPr>
        <w:t>Prospectus Summary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related to this offering discussed under “Risk Factors” beginning on page 3 of this prospectus, along with the other risk factors, our consolidated financial statements and notes to those consolidated financial statements and the other information incorporated by reference in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Acquisition of Pre-Merger Oruka</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Managing Member of Fairmount Funds Management LLC, for the purposes of holding rights to certain intellectual property being developed by Paragon Therapeutics, Inc. On August 29, 2024, we changed our name from “ARCA biopharma, Inc.” to “Oruka Therapeutics, Inc.” and our Nasdaq ticker symbol from “ABIO” to “ORKA”.</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bdr w:val="single" w:sz="12" w:space="5" w:color="000000"/>
        </w:rPr>
        <w:t>or</w:t>
      </w:r>
      <w:r>
        <w:rPr>
          <w:rFonts w:ascii="Times New Roman;Times;Serif" w:hAnsi="Times New Roman;Times;Serif"/>
          <w:b w:val="false"/>
          <w:i w:val="false"/>
          <w:caps w:val="false"/>
          <w:smallCaps w:val="false"/>
          <w:sz w:val="20"/>
          <w:bdr w:val="single" w:sz="12" w:space="5" w:color="000000"/>
        </w:rPr>
        <w:t xml:space="preserve">, for “skin,” and </w:t>
      </w:r>
      <w:r>
        <w:rPr>
          <w:rFonts w:ascii="Times New Roman;Times;Serif" w:hAnsi="Times New Roman;Times;Serif"/>
          <w:b w:val="false"/>
          <w:i/>
          <w:caps w:val="false"/>
          <w:smallCaps w:val="false"/>
          <w:sz w:val="20"/>
          <w:bdr w:val="single" w:sz="12" w:space="5" w:color="000000"/>
        </w:rPr>
        <w:t>arukah</w:t>
      </w:r>
      <w:r>
        <w:rPr>
          <w:rFonts w:ascii="Times New Roman;Times;Serif" w:hAnsi="Times New Roman;Times;Serif"/>
          <w:b w:val="false"/>
          <w:i w:val="false"/>
          <w:caps w:val="false"/>
          <w:smallCaps w:val="false"/>
          <w:sz w:val="20"/>
          <w:bdr w:val="single" w:sz="12" w:space="5" w:color="00000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lead program, ORKA-001, is designed to target the p19 subunit of interleukin-23 for the treatment of PsO. Our co-lead program, ORKA-002, is designed to target interleukin-17A and interleukin-17F for the treatment of PsO, hidradenitis suppurativa, psoriatic arthritis, and other conditions. The product candidates in these programs each bind their respective targets at high affinity and incorporate half-life extension technology with the aim to increase exposure and decrease dosing frequency. We are also developing ORKA-004, a novel extended half-life antibody designed to target TNF-like ligand 1A (“TL1A”), which we plan to pursue in combination with ORKA-001 and ORKA-002 in a variety of diseases. We believe that our focused strategy, differentiated portfolio, and deep expertise position us to set a new treatment standard in large I&amp;I markets with continued unmet need.</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855 Oak Grove Avenue, Suite 100, Menlo Park, California 94025. The telephone number of our principal executive offices is (650) 606-7910. Our website address is www.orukatx.com. Information contained on, or accessible through, our website is not incorporated by reference into this prospectus. We file our annual, quarterly and current reports, proxy statements and other information with the SEC. We make our periodic and current reports available on our website, free of charge, as soon as reasonably practicable after such material is electronically filed with, or furnished to, the SEC. Our filings with the SEC are also available to the public on the SEC’s website at www.sec.gov. Our common stock is traded on The Nasdaq Global Market under the symbol “ORKA.”</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contains trade names, trademarks and service marks of others, which are the property of their respective owners. Solely for convenience, trademarks and trade names referred to in this prospectus may appear without the ® or TM symbols.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Smaller Reporting Company</w:t>
      </w:r>
    </w:p>
    <w:p>
      <w:pPr>
        <w:pStyle w:val="TextBody"/>
        <w:bidi w:val="0"/>
        <w:spacing w:before="0" w:after="0"/>
        <w:ind w:left="0" w:right="0" w:firstLine="36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of this prospectus, we are a “smaller reporting company” as defined in the Exchange Act, meaning that we are permitted to rely on exemptions from certain disclosure and other requirements that are applicable to other public companies that are not smaller reporting companies. Smaller reporting companies may take advantage of certain scaled disclosures, including, among other things, providing only two years of audited financial statements in their Annual Report on Form 10-K, not being required to comply with the auditor attestation requirements of Section 404 of the Sarbanes-Oxley Act and having reduced disclosure obligations regarding executive compensation. Based on the market value of our stock held by non-affiliates as of the end of the second quarter of our 2026 fiscal year, we will no longer be able to benefit from smaller reporting company status for filings or disclosure for periods beginning on or after January 1, 2027. However, until such filings, we are permitted and intend to rely on the exemptions from certain disclosure and other requirements that are applicable to smaller reporting companies.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78"/>
        <w:gridCol w:w="60"/>
        <w:gridCol w:w="8267"/>
      </w:tblGrid>
      <w:tr>
        <w:trPr/>
        <w:tc>
          <w:tcPr>
            <w:tcW w:w="1878" w:type="dxa"/>
            <w:tcBorders/>
            <w:vAlign w:val="center"/>
          </w:tcPr>
          <w:p>
            <w:pPr>
              <w:pStyle w:val="TableContents"/>
              <w:bidi w:val="0"/>
              <w:spacing w:before="0" w:after="283"/>
              <w:ind w:left="0" w:right="0" w:hanging="180"/>
              <w:jc w:val="left"/>
              <w:rPr/>
            </w:pPr>
            <w:r>
              <w:rPr/>
              <w:t>Common Stock Offered by Us</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Shares of common stock having an aggregate offering price of up to $500,000,000.</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Common Stock to be Outstanding After this Offering</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Up to 65,838,149 shares of common stock, assuming sales of 4,768,262 shares of our common stock in this offering at an offering price of $104.86 per share, which was the last reported sale price of our common stock on Nasdaq on August 20, 2026. The actual number of shares issued will vary depending on the actual sales price of shares sold pursuant to this offering.</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Plan of Distribution</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w:t>
            </w:r>
            <w:r>
              <w:rPr/>
              <w:t>At the market offering” that may be made from time to time through TD Cowen. TD Cowen is not required to sell any specific number or dollar amount of shares of our common stock, but TD Cowen will act as our sales agent using commercially reasonable efforts consistent with its normal trading and sales practices. See “Plan of Distribution.”</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We currently intend to use the net proceeds from this offering for general corporate purposes, including research and development and working capital. See “Use of Proceeds” for a more complete description of the intended use of proceeds from this offering.</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Nasdaq Global Market Symbol</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w:t>
            </w:r>
            <w:r>
              <w:rPr/>
              <w:t>ORKA.”</w:t>
            </w:r>
          </w:p>
        </w:tc>
      </w:tr>
      <w:tr>
        <w:trPr/>
        <w:tc>
          <w:tcPr>
            <w:tcW w:w="1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ind w:left="0" w:right="0" w:hanging="180"/>
              <w:jc w:val="left"/>
              <w:rPr/>
            </w:pPr>
            <w:r>
              <w:rPr/>
              <w:t> </w:t>
            </w:r>
          </w:p>
        </w:tc>
      </w:tr>
      <w:tr>
        <w:trPr/>
        <w:tc>
          <w:tcPr>
            <w:tcW w:w="1878"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267" w:type="dxa"/>
            <w:tcBorders/>
            <w:vAlign w:val="center"/>
          </w:tcPr>
          <w:p>
            <w:pPr>
              <w:pStyle w:val="TableContents"/>
              <w:bidi w:val="0"/>
              <w:spacing w:before="0" w:after="283"/>
              <w:jc w:val="left"/>
              <w:rPr/>
            </w:pPr>
            <w:r>
              <w:rPr/>
              <w:t>Investing in our common stock involves significant risks. You should read the “Risk Factors” section of this prospectus, as well as those risks and uncertainties identified in the documents incorporated by reference in this prospectus, including our most recent Annual Report on Form 10-K and subsequent Quarterly Reports on Form 10-Q, for a discussion of factors to consider carefully before deciding to purchase our common stock.</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issued and outstanding shares of common stock to be outstanding after this offering is based on 61,069,887 shares of our common stock outstanding as of June 30, 2026, and excludes:</w:t>
      </w:r>
    </w:p>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11,428,149 shares of common stock issuable upon the conversion of 137,138 shares of Series B Preferred Stock outstanding as of June 30, 2026;</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5,706,188 shares of common stock issuable upon the exercise of pre-funded warrants outstanding as of June 30, 2026;</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5,227,356 shares of common stock issuable upon the exercise of stock options outstanding as of June 30, 2026 under the 2024 Equity Incentive Plan and the 2024 Stock Incentive Plan with a weighted-average exercise price of $20.64 per share;</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971,930 shares of common stock issuable upon the exercise of warrants outstanding as of June 30, 2026 with a weighted-average exercise price of $23.55 per share issued in connection with the Paruka Warrant Obligation (as defined in our Annual Report on Form 10-K);</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409,922 shares of common stock issuable upon the vesting of restricted stock units outstanding as of June 30,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2,619,353 shares of common stock issuable upon the exercise of employee warrants outstanding as of June 30, 2026 with a weighted-average exercise price of $7.80 per share;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1,499,500 shares of common stock sold under our previous at-the-market equity offering program with TD Securities (USA) LLC subsequent to June 30,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5,910,376 shares of common stock reserved for issuance under our 2024 Stock Incentive Plan as of June 30, 2026; and</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963,033 shares of common stock reserved for issuance under the Employee Stock Purchase Plan as of June 30,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b_004"/>
      <w:bookmarkEnd w:id="5"/>
      <w:r>
        <w:rPr>
          <w:rFonts w:ascii="Times New Roman;Times;Serif" w:hAnsi="Times New Roman;Times;Serif"/>
          <w:b/>
          <w:i w:val="false"/>
          <w:caps/>
          <w:sz w:val="20"/>
        </w:rPr>
        <w:t>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high degree of risk. Before deciding whether to invest in our common stock, you should consider carefully the risks described below and discussed under the sections captioned “Risk Factors” contained in our most recent Annual Report on Form 10-K, as well as in any of our subsequent Quarterly Reports on Form 10-Q and Current Reports on Form 8-K filed with the SEC, which are incorporated by reference in this prospectus in their entirety, together with other information in this prospectus and the information and documents incorporated by reference in this prospectus. Each of the risk factors could adversely affect our business, operating results and financial condition, as well as adversely affect the value of an investment in our securities, and the occurrence of any of these risks might cause you to lose all or part of your investment. There may be additional risks that we do not presently know of or that we currently believe are immaterial which could also impair our business and financial position. Please also read carefully the section 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may not use them effectively.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if any, and could spend the net proceeds in ways that do not improve our business, financial condition or results of operations or enhance the value of our common stock. You may not agree with our decisions, and our use of the proceeds may not yield any return on your investment. We currently intend to use the net proceeds from this offering for general corporate purposes, including research and development and working capital.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number and variability of factors that will determine our use of the net proceeds from this offering, their ultimate use may vary substantially from their currently intended use. You will not have the opportunity to influence our decisions on how to use the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 See “Use of Proceeds.”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shares of common stock in this offering, you may suffer immediate and substantial dilution of your investment.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sold in this offering will be sold from time to time at various prices. The price per share of our common stock sold in this offering may, at the time of sale,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that shares of Series B Preferred Stock are converted into shares of common stock, warrants are exercised, options are exercised, restricted stock units vest, new options or restricted stock units are issued under our equity incentive plans, or we issue additional shares of common stock in the future, there will be further dilution to investors participating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any shares we may issue and gross proceeds resulting from those sales, at any one time or in total, is uncertain.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 order to TD Cowen at any time throughout the term of the Sales Agreement. The number of shares that are sold by TD Cowen after the delivery of any sale order will fluctuate based on the market price of our common stock during the same period and limits we set with TD Cowen in any order to sell shares, and the demand for our common stock during the sale period. Because the price per share of each share sold will fluctuate based on the market price of our common stock during the sale period, it is not possible at this stage to predict the gross proceeds to be raised in connection with those sales or the number of shares, if any, that will be ultimately issued.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subject to the final determination by our board of directors or any restrictions we may place in any applicable sale order, there is no minimum or maximum sales price. Investors may experience a decline in the value of their shares as a result of sales made at prices lower than the prices they paid.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significant number of shares of our common stock in the public markets, or the perception that such sales could occur, could depress the market price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markets, or the perception that such sales could occur, could depress the market price of our common stock and impair our ability to raise capital through the sale of additional equity securities. In addition, certain entities beneficially own a significant percentage of our Company. As of July 1, 2026, entities affiliated with Fairmount Funds Management LLC beneficially own approximately 16.9 million shares of our common stock, or approximately 22.8% of our common stock, assuming the exercise of all pre-funded warrants and options held by such entities, and the conversion of all outstanding shares of Series B Preferred Stock held by such entities into shares of common stock, without giving effect to contractual limitations contained in such securities that restrict the holder (together with its affiliates) from beneficially owning in excess of a specified percentage of our common stock, and without giving effect to the exercise or conversion of any securities exercisable or convertible into common stock owned by other stockholders. It is possible that we could issue and sell additional shares of our common stock in the public markets. We cannot predict the effect that future sales of our common stock, or the perception that such sales might occur, would have on the market price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that are subject to our outstanding options or warrants will become eligible for sale in the public market to the extent permitted by the provisions of various vesting agreements and Rules 144 and 701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certain holders of our common stock have rights, subject to conditions, to require us to file registration statements covering their shares. Registration of these shares under the Securities Act would result in the shares becoming freely tradeable in the public market, subject to the restriction of Rule 144 in the case of our affiliates. If any of these additional shares are sold, or if it is perceived that they will be sold, in the public market, the market price of our common stock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b_005"/>
      <w:bookmarkEnd w:id="6"/>
      <w:r>
        <w:rPr>
          <w:rFonts w:ascii="Times New Roman;Times;Serif" w:hAnsi="Times New Roman;Times;Serif"/>
          <w:b/>
          <w:i w:val="false"/>
          <w:caps/>
          <w:sz w:val="20"/>
        </w:rPr>
        <w:t>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$500,000,000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general corporate purposes, including research and development and working capital. Pending these uses, we intend to invest the net proceeds in short- and intermediate-term, investment grade interest-bearing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b_006"/>
      <w:bookmarkEnd w:id="7"/>
      <w:r>
        <w:rPr>
          <w:rFonts w:ascii="Times New Roman;Times;Serif" w:hAnsi="Times New Roman;Times;Serif"/>
          <w:b/>
          <w:i w:val="false"/>
          <w:caps w:val="false"/>
          <w:smallCaps w:val="false"/>
          <w:sz w:val="20"/>
        </w:rPr>
        <w:t xml:space="preserve">DILUTION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is the amount by which the price paid by the purchasers of the shares of common stock sold in this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net tangible book value as of June 30, 2026 was $1,114.5 million, or $18.25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4,768,262 shares of common stock in this offering based on an assumed public offering price of $104.86 per share, which is the last reported sale price of our common stock on the Nasdaq Global Market on August 20, 2026, after deducting offering commissions and estimated offering expenses payable by us, our as adjusted net tangible book value as of June 30, 2026 would have been $1,599.2 million, or $24.29 per share. This represents an immediate increase in as adjusted net tangible book value of $6.04 per share to our existing stockholders and immediate dilution of $80.57 per share to new investors purchasing common stock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490"/>
        <w:gridCol w:w="60"/>
        <w:gridCol w:w="140"/>
        <w:gridCol w:w="560"/>
        <w:gridCol w:w="60"/>
        <w:gridCol w:w="60"/>
        <w:gridCol w:w="140"/>
        <w:gridCol w:w="680"/>
        <w:gridCol w:w="75"/>
      </w:tblGrid>
      <w:tr>
        <w:trPr/>
        <w:tc>
          <w:tcPr>
            <w:tcW w:w="7490" w:type="dxa"/>
            <w:tcBorders/>
            <w:shd w:fill="CCEEFF" w:val="clear"/>
            <w:vAlign w:val="center"/>
          </w:tcPr>
          <w:p>
            <w:pPr>
              <w:pStyle w:val="TableContents"/>
              <w:bidi w:val="0"/>
              <w:spacing w:before="0" w:after="283"/>
              <w:ind w:left="0" w:right="0" w:hanging="200"/>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104.86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490" w:type="dxa"/>
            <w:tcBorders/>
            <w:shd w:fill="FFFFFF" w:val="clear"/>
            <w:vAlign w:val="center"/>
          </w:tcPr>
          <w:p>
            <w:pPr>
              <w:pStyle w:val="TableContents"/>
              <w:bidi w:val="0"/>
              <w:spacing w:before="0" w:after="283"/>
              <w:jc w:val="left"/>
              <w:rPr/>
            </w:pPr>
            <w:r>
              <w:rPr/>
              <w:t>Historical 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490" w:type="dxa"/>
            <w:tcBorders/>
            <w:shd w:fill="CCEEFF" w:val="clear"/>
            <w:vAlign w:val="center"/>
          </w:tcPr>
          <w:p>
            <w:pPr>
              <w:pStyle w:val="TableContents"/>
              <w:bidi w:val="0"/>
              <w:spacing w:before="0" w:after="283"/>
              <w:jc w:val="left"/>
              <w:rPr/>
            </w:pPr>
            <w:r>
              <w:rPr/>
              <w:t>Increase per share attributable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490" w:type="dxa"/>
            <w:tcBorders/>
            <w:shd w:fill="FFFFFF" w:val="clear"/>
            <w:vAlign w:val="center"/>
          </w:tcPr>
          <w:p>
            <w:pPr>
              <w:pStyle w:val="TableContents"/>
              <w:bidi w:val="0"/>
              <w:spacing w:before="0" w:after="283"/>
              <w:jc w:val="left"/>
              <w:rPr/>
            </w:pPr>
            <w:r>
              <w:rPr/>
              <w:t>As adjusted net tangible book value per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24.29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490" w:type="dxa"/>
            <w:tcBorders/>
            <w:shd w:fill="CCEEFF" w:val="clear"/>
            <w:vAlign w:val="center"/>
          </w:tcPr>
          <w:p>
            <w:pPr>
              <w:pStyle w:val="TableContents"/>
              <w:bidi w:val="0"/>
              <w:spacing w:before="0" w:after="283"/>
              <w:jc w:val="left"/>
              <w:rPr/>
            </w:pPr>
            <w:r>
              <w:rPr/>
              <w:t>Dilution in adjusted net tangible book value per share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80.57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4,768,262 shares of our common stock are sold during the term of the Sales Agreement at a price of $104.86 per share, the last reported sale price of our common stock on the Nasdaq Global Market on August 20, 2026, for aggregate gross proceeds of $500.0 million. The shares subject to the Sales Agreement with TD Cowen are being sold from time to time at various prices. An increase of $1.00 per share in the price at which the shares are sold from the assumed offering price of $104.86 per share shown in the table above, assuming all of our common stock in the aggregate amount of $500.0 million during the term of the Sales Agreement with TD Cowen is sold at that price, would increase our adjusted net tangible book value per share after the offering to $24.31 per share and would increase the dilution in net tangible book value per share to new investors in this offering to $81.55 per share, after deducting commissions and estimated aggregate offering expenses payable by us. A decrease of $1.00 per share in the price at which the shares are sold from the assumed offering price of $104.86 per share shown in the table above, assuming all of our common stock in the aggregate amount of $500.0 million during the term of the Sales Agreement with TD Cowen is sold at that price, would decrease our adjusted net tangible book value per share after the offering to $24.27 per share and would decrease the dilution in net tangible book value per share to new investors in this offering to $79.59 per share, after deducting commissions and estimated aggregate offering expenses payable by us. This information is supplied for illustrative purposes only and will adjust based on the actual public offering price, the actual number of shares that we offer in this offering, and other terms of this offering determined at the time of each offer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shares of Series B Preferred Stock are converted into shares of common stock, warrants are exercised, options are exercised, restricted stock units vest, new options or restricted stock units are issued under our equity incentive plans, or we issue additional shares of common stock in the future, there will be further dilution to investors participating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issued and outstanding shares of common stock to be outstanding after this offering is based on 61,069,887 shares of our common stock outstanding as of June 30, 2026, and excludes: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11,428,149 shares of common stock issuable upon the conversion of 137,138 shares of Series B Preferred Stock outstanding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5,706,188 shares of common stock issuable upon the exercise of pre-funded warrants outstanding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5,227,356 shares of common stock issuable upon the exercise of stock options outstanding as of June 30, 2026 under the 2024 Equity Incentive Plan and the 2024 Stock Incentive Plan with a weighted-average exercise price of $20.64 per share;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971,930 shares of common stock issuable upon the exercise of warrants outstanding as of June 30, 2026 with a weighted-average exercise price of $23.55 per share issued in connection with the Paruka Warrant Obligation (as defined in our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409,922 shares of common stock issuable upon the vesting of restricted stock units outstanding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2,619,353 shares of common stock issuable upon the exercise of employee warrants outstanding as of June 30, 2026 with a weighted-average exercise price of $7.80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1,499,500 shares of common stock sold under our at-the-market equity offering program with TD Securities (USA) LLC subsequent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5,910,376 shares of common stock reserved for issuance under our 2024 Stock Incentive Plan as of June 30, 2026;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963,033 shares of common stock reserved for issuance under the Employee Stock Purchase Plan as of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36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b_007"/>
      <w:bookmarkEnd w:id="8"/>
      <w:r>
        <w:rPr>
          <w:rFonts w:ascii="Times New Roman;Times;Serif" w:hAnsi="Times New Roman;Times;Serif"/>
          <w:b/>
          <w:i w:val="false"/>
          <w:caps/>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all available funds and future earnings, if any, to support our operations and finance the growth and development of our business. We do not intend to pay cash dividends on our common stock for the foreseeable future. Any future determination to pay cash dividends will be at the discretion of our board of directors, subject to applicable limitations under Delaware law, and will be dependent upon our results of operations, financial condition, contractual restrictions and other factors deemed relevant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b_008"/>
      <w:bookmarkEnd w:id="9"/>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with TD Cowen, under which we may offer and sell from time to time shares of common stock through or to TD Cowen as our sales agent or principal. Pursuant to this prospectus, we may offer and sell up to $500,000,000 of shares of our common stock. Sales of our common stock, if any, will be made in negotiated transactions, including block trades or block sales, or by any method permitted by law deemed to be an “at the market offering” as defined in Rule 415(a)(4)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compensation payable to TD Cowen as sales agent is a commission rate of up to 3.0% of the gross sales price of the shares sold through it pursuant to the sales agreement. We have also agreed to reimburse TD Cowen up to $75,000 of TD Cowen’s actual outside legal expenses incurred by TD Cowen in connection with the original execution of the Sales Agreement, in addition to amounts for certain ongoing disbursements of its legal counsel. We estimate that the total expenses of the offering payable by us, excluding commissions payable to TD Cowen under the Sales Agreement, will be approximately $380,000.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report at least quarterly the number of shares of common stock sold through TD Cowen under the Sales Agreement and the net proceeds to us in connection with the sales of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and trades under the symbol “ORKA.” The transfer agent of our common stock is Computershare Trust Company, N.A.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and/or its affiliates have provided, and may in the future provide, various investment banking and other financial services for us for which services they have received and, may in the future receive, customary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b_009"/>
      <w:bookmarkEnd w:id="10"/>
      <w:r>
        <w:rPr>
          <w:rFonts w:ascii="Times New Roman;Times;Serif" w:hAnsi="Times New Roman;Times;Serif"/>
          <w:b/>
          <w:i w:val="false"/>
          <w:caps/>
          <w:sz w:val="20"/>
        </w:rPr>
        <w:t>Legal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common stock being offered by this prospectus will be passed upon for us by Davis Polk &amp; Wardwell LLP, Redwood City, California. TD Securities (USA) LLC is being represented in connection with this offering by Cooley LLP, New York, New York.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b_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b_011"/>
      <w:bookmarkEnd w:id="12"/>
      <w:r>
        <w:rPr>
          <w:rFonts w:ascii="Times New Roman;Times;Serif" w:hAnsi="Times New Roman;Times;Serif"/>
          <w:b/>
          <w:i w:val="false"/>
          <w:caps/>
          <w:sz w:val="20"/>
        </w:rPr>
        <w:t>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www.orukatx.com. Information contained on, or accessible through, our website is not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we filed with the SEC under the Securities Act and does not contain all of the information set forth or incorporated by reference in the registration statement.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b_012"/>
      <w:bookmarkEnd w:id="13"/>
      <w:r>
        <w:rPr>
          <w:rFonts w:ascii="Times New Roman;Times;Serif" w:hAnsi="Times New Roman;Times;Serif"/>
          <w:b/>
          <w:i w:val="false"/>
          <w:caps/>
          <w:sz w:val="20"/>
        </w:rPr>
        <w:t>Incorporation of Certain Documents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contained directly in this prospectus, or any subsequently filed document deemed incorporated by reference. This prospectus supplement incorporates by reference the documents set forth below that we have previously filed with the SEC:</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Annual Report on </w:t>
            </w:r>
            <w:hyperlink r:id="rId3">
              <w:r>
                <w:rPr>
                  <w:rStyle w:val="InternetLink"/>
                </w:rPr>
                <w:t>Form 10-K</w:t>
              </w:r>
            </w:hyperlink>
            <w:r>
              <w:rPr/>
              <w:t xml:space="preserve"> for the year ended December 31, 2025, filed with the SEC on March 12,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Quarterly Reports on Form 10-Q for the quarters ended March 31, 2026 and June 30, 2026, filed with the SEC on </w:t>
            </w:r>
            <w:hyperlink r:id="rId4">
              <w:r>
                <w:rPr>
                  <w:rStyle w:val="InternetLink"/>
                </w:rPr>
                <w:t>May 13, 2026</w:t>
              </w:r>
            </w:hyperlink>
            <w:r>
              <w:rPr/>
              <w:t xml:space="preserve"> and </w:t>
            </w:r>
            <w:hyperlink r:id="rId5">
              <w:r>
                <w:rPr>
                  <w:rStyle w:val="InternetLink"/>
                </w:rPr>
                <w:t>August 10,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Definitive Proxy Statement on </w:t>
            </w:r>
            <w:hyperlink r:id="rId6">
              <w:r>
                <w:rPr>
                  <w:rStyle w:val="InternetLink"/>
                </w:rPr>
                <w:t>Schedule 14A</w:t>
              </w:r>
            </w:hyperlink>
            <w:r>
              <w:rPr/>
              <w:t xml:space="preserve"> filed with the SEC on April 17, 2026 (solely with respect to those portions incorporated by reference into our Annual Report on Form 10-K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Current Reports on Form 8-K, filed with the SEC on </w:t>
            </w:r>
            <w:hyperlink r:id="rId7">
              <w:r>
                <w:rPr>
                  <w:rStyle w:val="InternetLink"/>
                </w:rPr>
                <w:t>April 27, 2026</w:t>
              </w:r>
            </w:hyperlink>
            <w:r>
              <w:rPr/>
              <w:t xml:space="preserve">, </w:t>
            </w:r>
            <w:hyperlink r:id="rId8">
              <w:r>
                <w:rPr>
                  <w:rStyle w:val="InternetLink"/>
                </w:rPr>
                <w:t>April 30, 2026</w:t>
              </w:r>
            </w:hyperlink>
            <w:r>
              <w:rPr/>
              <w:t xml:space="preserve">, </w:t>
            </w:r>
            <w:hyperlink r:id="rId9">
              <w:r>
                <w:rPr>
                  <w:rStyle w:val="InternetLink"/>
                </w:rPr>
                <w:t>June 1, 2026</w:t>
              </w:r>
            </w:hyperlink>
            <w:r>
              <w:rPr/>
              <w:t xml:space="preserve">, </w:t>
            </w:r>
            <w:hyperlink r:id="rId10">
              <w:r>
                <w:rPr>
                  <w:rStyle w:val="InternetLink"/>
                </w:rPr>
                <w:t>June 4, 2026</w:t>
              </w:r>
            </w:hyperlink>
            <w:r>
              <w:rPr/>
              <w:t xml:space="preserve"> and </w:t>
            </w:r>
            <w:hyperlink r:id="rId11">
              <w:r>
                <w:rPr>
                  <w:rStyle w:val="InternetLink"/>
                </w:rPr>
                <w:t>August 24,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the description of our capital stock which is contained in </w:t>
            </w:r>
            <w:hyperlink r:id="rId12">
              <w:r>
                <w:rPr>
                  <w:rStyle w:val="InternetLink"/>
                </w:rPr>
                <w:t>Exhibit 4.1</w:t>
              </w:r>
            </w:hyperlink>
            <w:r>
              <w:rPr/>
              <w:t xml:space="preserve"> to our Annual Report on </w:t>
            </w:r>
            <w:hyperlink r:id="rId13">
              <w:r>
                <w:rPr>
                  <w:rStyle w:val="InternetLink"/>
                </w:rPr>
                <w:t>Form 10-K</w:t>
              </w:r>
            </w:hyperlink>
            <w:r>
              <w:rPr/>
              <w:t xml:space="preserve"> for the year ended December 31, 2025, filed with the SEC on March 12, 2026, including any amendments or reports filed for the purposes of updating such description.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All documents filed by us pursuant to Sections 13(a), 13(c), 14 or 15(d) of the Exchange Act on or after the date of this prospectus and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reports or documents incorporated by reference, including exhibits to these documents. You should direct any requests for documents 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Oak Grove Avenue, Suite 100</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Menlo Park, CA 94025</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outlined above are also available on our website at www.orukatx.com. Information contained on, or accessible through, our website is not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143125" cy="790575"/>
                    </a:xfrm>
                    <a:prstGeom prst="rect">
                      <a:avLst/>
                    </a:prstGeom>
                  </pic:spPr>
                </pic:pic>
              </a:graphicData>
            </a:graphic>
          </wp:inline>
        </w:drawing>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TD Cowen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907654/000121390026026929/ea0273300-10k_oruka.htm" TargetMode="External"/><Relationship Id="rId4" Type="http://schemas.openxmlformats.org/officeDocument/2006/relationships/hyperlink" Target="https://www.sec.gov/ix?doc=/Archives/edgar/data/907654/000121390026055769/ea0287752-10q_oruka.htm" TargetMode="External"/><Relationship Id="rId5" Type="http://schemas.openxmlformats.org/officeDocument/2006/relationships/hyperlink" Target="https://www.sec.gov/ix?doc=/Archives/edgar/data/907654/000121390026087231/ea0294557-10q_oruka.htm" TargetMode="External"/><Relationship Id="rId6" Type="http://schemas.openxmlformats.org/officeDocument/2006/relationships/hyperlink" Target="https://www.sec.gov/ix?doc=/Archives/edgar/data/907654/000121390026045159/ea0286400-01.htm" TargetMode="External"/><Relationship Id="rId7" Type="http://schemas.openxmlformats.org/officeDocument/2006/relationships/hyperlink" Target="https://www.sec.gov/ix?doc=/Archives/edgar/data/907654/000121390026047743/ea0287782-8k_oruka.htm" TargetMode="External"/><Relationship Id="rId8" Type="http://schemas.openxmlformats.org/officeDocument/2006/relationships/hyperlink" Target="https://www.sec.gov/ix?doc=/Archives/edgar/data/907654/000121390026050249/ea0288461-8k_oruka.htm" TargetMode="External"/><Relationship Id="rId9" Type="http://schemas.openxmlformats.org/officeDocument/2006/relationships/hyperlink" Target="https://www.sec.gov/ix?doc=/Archives/edgar/data/907654/000121390026063481/ea0292876-8k_oruka.htm" TargetMode="External"/><Relationship Id="rId10" Type="http://schemas.openxmlformats.org/officeDocument/2006/relationships/hyperlink" Target="https://www.sec.gov/ix?doc=/Archives/edgar/data/907654/000121390026065294/ea0293648-8k_oruka.htm" TargetMode="External"/><Relationship Id="rId11" Type="http://schemas.openxmlformats.org/officeDocument/2006/relationships/hyperlink" Target="https://www.sec.gov/ix?doc=/Archives/edgar/data/907654/000121390026093021/ea0302923-8k_oruka.htm" TargetMode="External"/><Relationship Id="rId12" Type="http://schemas.openxmlformats.org/officeDocument/2006/relationships/hyperlink" Target="https://www.sec.gov/Archives/edgar/data/907654/000121390025021165/ea023044501ex4-1_orukathe.htm" TargetMode="External"/><Relationship Id="rId13" Type="http://schemas.openxmlformats.org/officeDocument/2006/relationships/hyperlink" Target="https://www.sec.gov/ix?doc=/Archives/edgar/data/907654/000121390026026929/ea0273300-10k_oruka.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7792</Words>
  <Characters>40316</Characters>
  <CharactersWithSpaces>48197</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