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Goncalves Joana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ORUKA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OAK GROVE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Oruka Therapeutics, Inc.</w:t>
              </w:r>
            </w:hyperlink>
            <w:r>
              <w:rPr/>
              <w:t xml:space="preserve"> [ </w:t>
            </w:r>
            <w:r>
              <w:rPr>
                <w:rFonts w:ascii="Times;serif" w:hAnsi="Times;serif"/>
                <w:color w:val="0000FF"/>
                <w:sz w:val="24"/>
                <w:shd w:fill="FFFFFF" w:val="clear"/>
              </w:rPr>
              <w:t>ORKA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73.8894</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35,918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74.6924</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75.4834</w:t>
            </w:r>
            <w:r>
              <w:rPr>
                <w:rFonts w:ascii="Times;serif" w:hAnsi="Times;serif"/>
                <w:color w:val="008000"/>
                <w:position w:val="7"/>
                <w:sz w:val="16"/>
                <w:sz w:val="20"/>
                <w:shd w:fill="FFFFFF" w:val="clear"/>
              </w:rPr>
              <w:t>(4)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76.6652</w:t>
            </w:r>
            <w:r>
              <w:rPr>
                <w:rFonts w:ascii="Times;serif" w:hAnsi="Times;serif"/>
                <w:color w:val="008000"/>
                <w:position w:val="7"/>
                <w:sz w:val="16"/>
                <w:sz w:val="20"/>
                <w:shd w:fill="FFFFFF" w:val="clear"/>
              </w:rPr>
              <w:t>(5)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77.71</w:t>
            </w:r>
            <w:r>
              <w:rPr>
                <w:rFonts w:ascii="Times;serif" w:hAnsi="Times;serif"/>
                <w:color w:val="008000"/>
                <w:position w:val="7"/>
                <w:sz w:val="16"/>
                <w:sz w:val="20"/>
                <w:shd w:fill="FFFFFF" w:val="clear"/>
              </w:rPr>
              <w:t>(6)</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31,771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161,492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sales were effected pursuant to a Rule 10b5-1 trading plan entered into on September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$73.21 to $74.20,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(3), (4), (5) and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$74.22 to $75.18,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$75.22 to $75.86,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$76.27 to $77.23,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$77.68 to $77.74,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 vests as to 1/4 of the underlying shares on April 18, 2025 and as to 1/48 of the underlying shares monthly from April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warrant vests as to 1/4 of the underlying shares on April 18, 2025 and as to 1/48 of the underlying shares monthly from April 18,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Quinlan, as attorney-in-fact for Joana Goncalves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6991" TargetMode="External"/><Relationship Id="rId5" Type="http://schemas.openxmlformats.org/officeDocument/2006/relationships/hyperlink" Target="http://www.sec.gov/cgi-bin/browse-edgar?action=getcompany&amp;CIK=00009076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928</Words>
  <Characters>4865</Characters>
  <CharactersWithSpaces>5646</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