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caps w:val="false"/>
          <w:smallCaps w:val="false"/>
          <w:bdr w:val="single" w:sz="16" w:space="1" w:color="000000"/>
        </w:rPr>
      </w:pPr>
      <w:bookmarkStart w:id="0" w:name="ea0239898-10q_oruka.htm"/>
      <w:bookmarkStart w:id="1" w:name="ksea023989810q_oruka"/>
      <w:bookmarkEnd w:id="0"/>
      <w:bookmarkEnd w:id="1"/>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quarterly period ended March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 to 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000-22873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Oruka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210" w:type="dxa"/>
        <w:jc w:val="left"/>
        <w:tblInd w:w="0" w:type="dxa"/>
        <w:tblLayout w:type="fixed"/>
        <w:tblCellMar>
          <w:top w:w="0" w:type="dxa"/>
          <w:left w:w="0" w:type="dxa"/>
          <w:bottom w:w="28" w:type="dxa"/>
          <w:right w:w="0" w:type="dxa"/>
        </w:tblCellMar>
      </w:tblPr>
      <w:tblGrid>
        <w:gridCol w:w="2525"/>
        <w:gridCol w:w="90"/>
        <w:gridCol w:w="1595"/>
      </w:tblGrid>
      <w:tr>
        <w:trPr/>
        <w:tc>
          <w:tcPr>
            <w:tcW w:w="252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90" w:type="dxa"/>
            <w:tcBorders/>
            <w:tcMar>
              <w:bottom w:w="0" w:type="dxa"/>
            </w:tcMar>
            <w:vAlign w:val="center"/>
          </w:tcPr>
          <w:p>
            <w:pPr>
              <w:pStyle w:val="TableContents"/>
              <w:bidi w:val="0"/>
              <w:spacing w:before="0" w:after="283"/>
              <w:jc w:val="left"/>
              <w:rPr/>
            </w:pPr>
            <w:r>
              <w:rPr/>
              <w:t> </w:t>
            </w:r>
          </w:p>
        </w:tc>
        <w:tc>
          <w:tcPr>
            <w:tcW w:w="15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36-3855489</w:t>
            </w:r>
          </w:p>
        </w:tc>
      </w:tr>
      <w:tr>
        <w:trPr/>
        <w:tc>
          <w:tcPr>
            <w:tcW w:w="252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br/>
              <w:t>incorporation or organization)</w:t>
            </w:r>
          </w:p>
        </w:tc>
        <w:tc>
          <w:tcPr>
            <w:tcW w:w="9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jc w:val="center"/>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3245"/>
        <w:gridCol w:w="90"/>
        <w:gridCol w:w="980"/>
      </w:tblGrid>
      <w:tr>
        <w:trPr/>
        <w:tc>
          <w:tcPr>
            <w:tcW w:w="324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855 Oak Grove Avenue</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r>
      <w:tr>
        <w:trPr/>
        <w:tc>
          <w:tcPr>
            <w:tcW w:w="324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Suite 100</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r>
      <w:tr>
        <w:trPr/>
        <w:tc>
          <w:tcPr>
            <w:tcW w:w="324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Menlo Park, California</w:t>
            </w:r>
          </w:p>
        </w:tc>
        <w:tc>
          <w:tcPr>
            <w:tcW w:w="90" w:type="dxa"/>
            <w:tcBorders/>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94025</w:t>
            </w:r>
          </w:p>
        </w:tc>
      </w:tr>
      <w:tr>
        <w:trPr/>
        <w:tc>
          <w:tcPr>
            <w:tcW w:w="3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 606-7910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910" w:type="dxa"/>
        <w:jc w:val="left"/>
        <w:tblInd w:w="0" w:type="dxa"/>
        <w:tblLayout w:type="fixed"/>
        <w:tblCellMar>
          <w:top w:w="0" w:type="dxa"/>
          <w:left w:w="0" w:type="dxa"/>
          <w:bottom w:w="28" w:type="dxa"/>
          <w:right w:w="0" w:type="dxa"/>
        </w:tblCellMar>
      </w:tblPr>
      <w:tblGrid>
        <w:gridCol w:w="3515"/>
        <w:gridCol w:w="90"/>
        <w:gridCol w:w="1565"/>
        <w:gridCol w:w="90"/>
        <w:gridCol w:w="3650"/>
      </w:tblGrid>
      <w:tr>
        <w:trPr/>
        <w:tc>
          <w:tcPr>
            <w:tcW w:w="351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90" w:type="dxa"/>
            <w:tcBorders/>
            <w:tcMar>
              <w:bottom w:w="0" w:type="dxa"/>
            </w:tcMar>
            <w:vAlign w:val="center"/>
          </w:tcPr>
          <w:p>
            <w:pPr>
              <w:pStyle w:val="TableContents"/>
              <w:bidi w:val="0"/>
              <w:spacing w:before="0" w:after="283"/>
              <w:jc w:val="center"/>
              <w:rPr/>
            </w:pPr>
            <w:r>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90" w:type="dxa"/>
            <w:tcBorders/>
            <w:tcMar>
              <w:bottom w:w="0" w:type="dxa"/>
            </w:tcMar>
            <w:vAlign w:val="center"/>
          </w:tcPr>
          <w:p>
            <w:pPr>
              <w:pStyle w:val="TableContents"/>
              <w:bidi w:val="0"/>
              <w:spacing w:before="0" w:after="283"/>
              <w:jc w:val="center"/>
              <w:rPr/>
            </w:pPr>
            <w:r>
              <w:rPr/>
              <w:t> </w:t>
            </w:r>
          </w:p>
        </w:tc>
        <w:tc>
          <w:tcPr>
            <w:tcW w:w="365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5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 par value $0.001 per share</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5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ORKA</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36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2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2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1865"/>
        <w:gridCol w:w="260"/>
        <w:gridCol w:w="2255"/>
        <w:gridCol w:w="305"/>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6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305" w:type="dxa"/>
            <w:tcBorders/>
            <w:vAlign w:val="center"/>
          </w:tcPr>
          <w:p>
            <w:pPr>
              <w:pStyle w:val="TableContents"/>
              <w:bidi w:val="0"/>
              <w:spacing w:before="0" w:after="283"/>
              <w:jc w:val="left"/>
              <w:rPr/>
            </w:pPr>
            <w:r>
              <w:rPr/>
              <w:t>☐</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6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305" w:type="dxa"/>
            <w:tcBorders/>
            <w:vAlign w:val="center"/>
          </w:tcPr>
          <w:p>
            <w:pPr>
              <w:pStyle w:val="TableContents"/>
              <w:bidi w:val="0"/>
              <w:spacing w:before="0" w:after="283"/>
              <w:jc w:val="left"/>
              <w:rPr/>
            </w:pPr>
            <w:r>
              <w:rPr/>
              <w:t>☒</w:t>
            </w:r>
          </w:p>
        </w:tc>
      </w:tr>
      <w:tr>
        <w:trPr/>
        <w:tc>
          <w:tcPr>
            <w:tcW w:w="186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30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30, 2025, there were 37,440,510 shares of the registrant’s common stock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9645" w:type="dxa"/>
        <w:jc w:val="left"/>
        <w:tblInd w:w="0" w:type="dxa"/>
        <w:tblLayout w:type="fixed"/>
        <w:tblCellMar>
          <w:top w:w="0" w:type="dxa"/>
          <w:left w:w="0" w:type="dxa"/>
          <w:bottom w:w="0" w:type="dxa"/>
          <w:right w:w="0" w:type="dxa"/>
        </w:tblCellMar>
      </w:tblPr>
      <w:tblGrid>
        <w:gridCol w:w="755"/>
        <w:gridCol w:w="8375"/>
        <w:gridCol w:w="515"/>
      </w:tblGrid>
      <w:tr>
        <w:trPr/>
        <w:tc>
          <w:tcPr>
            <w:tcW w:w="75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left"/>
              <w:rPr/>
            </w:pPr>
            <w:r>
              <w:rPr/>
              <w:t> </w:t>
            </w:r>
          </w:p>
        </w:tc>
        <w:tc>
          <w:tcPr>
            <w:tcW w:w="51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755" w:type="dxa"/>
            <w:tcBorders/>
            <w:shd w:fill="CCEEFF" w:val="clear"/>
            <w:vAlign w:val="center"/>
          </w:tcPr>
          <w:p>
            <w:pPr>
              <w:pStyle w:val="TableContents"/>
              <w:bidi w:val="0"/>
              <w:spacing w:before="0" w:after="283"/>
              <w:jc w:val="left"/>
              <w:rPr/>
            </w:pPr>
            <w:r>
              <w:rPr/>
              <w:t> </w:t>
            </w:r>
          </w:p>
        </w:tc>
        <w:tc>
          <w:tcPr>
            <w:tcW w:w="8375" w:type="dxa"/>
            <w:tcBorders/>
            <w:shd w:fill="CCEEFF" w:val="clear"/>
            <w:vAlign w:val="center"/>
          </w:tcPr>
          <w:p>
            <w:pPr>
              <w:pStyle w:val="TableContents"/>
              <w:bidi w:val="0"/>
              <w:spacing w:before="0" w:after="283"/>
              <w:jc w:val="center"/>
              <w:rPr/>
            </w:pPr>
            <w:hyperlink w:anchor="a_001">
              <w:r>
                <w:rPr>
                  <w:rStyle w:val="InternetLink"/>
                  <w:rFonts w:ascii="Times New Roman;Times;Serif" w:hAnsi="Times New Roman;Times;Serif"/>
                  <w:sz w:val="20"/>
                </w:rPr>
                <w:t>PART I. Financial Information</w:t>
              </w:r>
            </w:hyperlink>
          </w:p>
        </w:tc>
        <w:tc>
          <w:tcPr>
            <w:tcW w:w="515" w:type="dxa"/>
            <w:tcBorders/>
            <w:shd w:fill="CCEEFF" w:val="clear"/>
            <w:vAlign w:val="center"/>
          </w:tcPr>
          <w:p>
            <w:pPr>
              <w:pStyle w:val="TableContents"/>
              <w:bidi w:val="0"/>
              <w:spacing w:before="0" w:after="283"/>
              <w:jc w:val="center"/>
              <w:rPr/>
            </w:pPr>
            <w:r>
              <w:rPr/>
              <w:t> </w:t>
            </w:r>
          </w:p>
        </w:tc>
      </w:tr>
      <w:tr>
        <w:trPr/>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w:t>
            </w:r>
          </w:p>
        </w:tc>
        <w:tc>
          <w:tcPr>
            <w:tcW w:w="8375" w:type="dxa"/>
            <w:tcBorders/>
            <w:vAlign w:val="center"/>
          </w:tcPr>
          <w:p>
            <w:pPr>
              <w:pStyle w:val="TableContents"/>
              <w:bidi w:val="0"/>
              <w:spacing w:before="0" w:after="283"/>
              <w:jc w:val="left"/>
              <w:rPr/>
            </w:pPr>
            <w:hyperlink w:anchor="a_002">
              <w:r>
                <w:rPr>
                  <w:rStyle w:val="InternetLink"/>
                  <w:rFonts w:ascii="Times New Roman;Times;Serif" w:hAnsi="Times New Roman;Times;Serif"/>
                  <w:sz w:val="20"/>
                </w:rPr>
                <w:t>Financial Statements (Unaudited)</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755" w:type="dxa"/>
            <w:tcBorders/>
            <w:shd w:fill="CCEEFF" w:val="clear"/>
            <w:vAlign w:val="center"/>
          </w:tcPr>
          <w:p>
            <w:pPr>
              <w:pStyle w:val="TableContents"/>
              <w:bidi w:val="0"/>
              <w:spacing w:before="0" w:after="283"/>
              <w:jc w:val="left"/>
              <w:rPr/>
            </w:pPr>
            <w:r>
              <w:rPr/>
              <w:t> </w:t>
            </w:r>
          </w:p>
        </w:tc>
        <w:tc>
          <w:tcPr>
            <w:tcW w:w="837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Condensed Consolidated Balance Sheets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75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left"/>
              <w:rPr/>
            </w:pPr>
            <w:hyperlink w:anchor="a_004">
              <w:r>
                <w:rPr>
                  <w:rStyle w:val="InternetLink"/>
                  <w:rFonts w:ascii="Times New Roman;Times;Serif" w:hAnsi="Times New Roman;Times;Serif"/>
                  <w:sz w:val="20"/>
                </w:rPr>
                <w:t>Condensed Consolidated Statements of Operations and Comprehensive Loss</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755" w:type="dxa"/>
            <w:tcBorders/>
            <w:shd w:fill="CCEEFF" w:val="clear"/>
            <w:vAlign w:val="center"/>
          </w:tcPr>
          <w:p>
            <w:pPr>
              <w:pStyle w:val="TableContents"/>
              <w:bidi w:val="0"/>
              <w:spacing w:before="0" w:after="283"/>
              <w:jc w:val="left"/>
              <w:rPr/>
            </w:pPr>
            <w:r>
              <w:rPr/>
              <w:t> </w:t>
            </w:r>
          </w:p>
        </w:tc>
        <w:tc>
          <w:tcPr>
            <w:tcW w:w="837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Condensed Consolidated Statements of Convertible Preferred Stock and Stockholders’ Equity (Deficit)</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r>
      <w:tr>
        <w:trPr/>
        <w:tc>
          <w:tcPr>
            <w:tcW w:w="75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left"/>
              <w:rPr/>
            </w:pPr>
            <w:hyperlink w:anchor="a_006">
              <w:r>
                <w:rPr>
                  <w:rStyle w:val="InternetLink"/>
                  <w:rFonts w:ascii="Times New Roman;Times;Serif" w:hAnsi="Times New Roman;Times;Serif"/>
                  <w:sz w:val="20"/>
                </w:rPr>
                <w:t>Condensed Consolidated Statements of Cash Flows</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755" w:type="dxa"/>
            <w:tcBorders/>
            <w:shd w:fill="CCEEFF" w:val="clear"/>
            <w:vAlign w:val="center"/>
          </w:tcPr>
          <w:p>
            <w:pPr>
              <w:pStyle w:val="TableContents"/>
              <w:bidi w:val="0"/>
              <w:spacing w:before="0" w:after="283"/>
              <w:jc w:val="left"/>
              <w:rPr/>
            </w:pPr>
            <w:r>
              <w:rPr/>
              <w:t> </w:t>
            </w:r>
          </w:p>
        </w:tc>
        <w:tc>
          <w:tcPr>
            <w:tcW w:w="837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Notes to Unaudited Condensed Consolidated Financial Statements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2.</w:t>
            </w:r>
          </w:p>
        </w:tc>
        <w:tc>
          <w:tcPr>
            <w:tcW w:w="8375" w:type="dxa"/>
            <w:tcBorders/>
            <w:vAlign w:val="center"/>
          </w:tcPr>
          <w:p>
            <w:pPr>
              <w:pStyle w:val="TableContents"/>
              <w:bidi w:val="0"/>
              <w:spacing w:before="0" w:after="283"/>
              <w:jc w:val="left"/>
              <w:rPr/>
            </w:pPr>
            <w:hyperlink w:anchor="a_008">
              <w:r>
                <w:rPr>
                  <w:rStyle w:val="InternetLink"/>
                  <w:rFonts w:ascii="Times New Roman;Times;Serif" w:hAnsi="Times New Roman;Times;Serif"/>
                  <w:sz w:val="20"/>
                </w:rPr>
                <w:t>Management’s Discussion and Analysis of Financial Condition and Results of Operations</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3.</w:t>
            </w:r>
          </w:p>
        </w:tc>
        <w:tc>
          <w:tcPr>
            <w:tcW w:w="837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Quantitative and Qualitative Disclosures About Market Risk</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4.</w:t>
            </w:r>
          </w:p>
        </w:tc>
        <w:tc>
          <w:tcPr>
            <w:tcW w:w="8375" w:type="dxa"/>
            <w:tcBorders/>
            <w:vAlign w:val="center"/>
          </w:tcPr>
          <w:p>
            <w:pPr>
              <w:pStyle w:val="TableContents"/>
              <w:bidi w:val="0"/>
              <w:spacing w:before="0" w:after="283"/>
              <w:jc w:val="left"/>
              <w:rPr/>
            </w:pPr>
            <w:hyperlink w:anchor="a_010">
              <w:r>
                <w:rPr>
                  <w:rStyle w:val="InternetLink"/>
                  <w:rFonts w:ascii="Times New Roman;Times;Serif" w:hAnsi="Times New Roman;Times;Serif"/>
                  <w:sz w:val="20"/>
                </w:rPr>
                <w:t>Controls and Procedures</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r>
        <w:trPr/>
        <w:tc>
          <w:tcPr>
            <w:tcW w:w="755" w:type="dxa"/>
            <w:tcBorders/>
            <w:shd w:fill="CCEEFF" w:val="clear"/>
            <w:vAlign w:val="center"/>
          </w:tcPr>
          <w:p>
            <w:pPr>
              <w:pStyle w:val="TableContents"/>
              <w:bidi w:val="0"/>
              <w:spacing w:before="0" w:after="283"/>
              <w:jc w:val="left"/>
              <w:rPr/>
            </w:pPr>
            <w:r>
              <w:rPr/>
              <w:t> </w:t>
            </w:r>
          </w:p>
        </w:tc>
        <w:tc>
          <w:tcPr>
            <w:tcW w:w="8375" w:type="dxa"/>
            <w:tcBorders/>
            <w:shd w:fill="CCEEFF" w:val="clear"/>
            <w:vAlign w:val="center"/>
          </w:tcPr>
          <w:p>
            <w:pPr>
              <w:pStyle w:val="TableContents"/>
              <w:bidi w:val="0"/>
              <w:spacing w:before="0" w:after="283"/>
              <w:jc w:val="center"/>
              <w:rPr/>
            </w:pPr>
            <w:hyperlink w:anchor="a_011">
              <w:r>
                <w:rPr>
                  <w:rStyle w:val="InternetLink"/>
                  <w:rFonts w:ascii="Times New Roman;Times;Serif" w:hAnsi="Times New Roman;Times;Serif"/>
                  <w:sz w:val="20"/>
                </w:rPr>
                <w:t>PART II. Other Information</w:t>
              </w:r>
            </w:hyperlink>
          </w:p>
        </w:tc>
        <w:tc>
          <w:tcPr>
            <w:tcW w:w="515" w:type="dxa"/>
            <w:tcBorders/>
            <w:shd w:fill="CCEEFF" w:val="clear"/>
            <w:vAlign w:val="center"/>
          </w:tcPr>
          <w:p>
            <w:pPr>
              <w:pStyle w:val="TableContents"/>
              <w:bidi w:val="0"/>
              <w:spacing w:before="0" w:after="283"/>
              <w:jc w:val="center"/>
              <w:rPr/>
            </w:pPr>
            <w:r>
              <w:rPr/>
              <w:t> </w:t>
            </w:r>
          </w:p>
        </w:tc>
      </w:tr>
      <w:tr>
        <w:trPr/>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w:t>
            </w:r>
          </w:p>
        </w:tc>
        <w:tc>
          <w:tcPr>
            <w:tcW w:w="8375" w:type="dxa"/>
            <w:tcBorders/>
            <w:vAlign w:val="center"/>
          </w:tcPr>
          <w:p>
            <w:pPr>
              <w:pStyle w:val="TableContents"/>
              <w:bidi w:val="0"/>
              <w:spacing w:before="0" w:after="283"/>
              <w:jc w:val="left"/>
              <w:rPr/>
            </w:pPr>
            <w:hyperlink w:anchor="a_012">
              <w:r>
                <w:rPr>
                  <w:rStyle w:val="InternetLink"/>
                  <w:rFonts w:ascii="Times New Roman;Times;Serif" w:hAnsi="Times New Roman;Times;Serif"/>
                  <w:sz w:val="20"/>
                </w:rPr>
                <w:t>Legal Proceedings</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r>
      <w:tr>
        <w:trPr/>
        <w:tc>
          <w:tcPr>
            <w:tcW w:w="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1A.</w:t>
            </w:r>
          </w:p>
        </w:tc>
        <w:tc>
          <w:tcPr>
            <w:tcW w:w="837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Risk Factors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r>
      <w:tr>
        <w:trPr/>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2.</w:t>
            </w:r>
          </w:p>
        </w:tc>
        <w:tc>
          <w:tcPr>
            <w:tcW w:w="8375" w:type="dxa"/>
            <w:tcBorders/>
            <w:vAlign w:val="center"/>
          </w:tcPr>
          <w:p>
            <w:pPr>
              <w:pStyle w:val="TableContents"/>
              <w:bidi w:val="0"/>
              <w:spacing w:before="0" w:after="283"/>
              <w:jc w:val="left"/>
              <w:rPr/>
            </w:pPr>
            <w:hyperlink w:anchor="a_014">
              <w:r>
                <w:rPr>
                  <w:rStyle w:val="InternetLink"/>
                  <w:rFonts w:ascii="Times New Roman;Times;Serif" w:hAnsi="Times New Roman;Times;Serif"/>
                  <w:sz w:val="20"/>
                </w:rPr>
                <w:t>Unregistered Sales of Equity Securities and Use of Proceeds</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w:t>
            </w:r>
          </w:p>
        </w:tc>
      </w:tr>
      <w:tr>
        <w:trPr/>
        <w:tc>
          <w:tcPr>
            <w:tcW w:w="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3.</w:t>
            </w:r>
          </w:p>
        </w:tc>
        <w:tc>
          <w:tcPr>
            <w:tcW w:w="837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Defaults Upon Senior Securities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w:t>
            </w:r>
          </w:p>
        </w:tc>
      </w:tr>
      <w:tr>
        <w:trPr/>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4.</w:t>
            </w:r>
          </w:p>
        </w:tc>
        <w:tc>
          <w:tcPr>
            <w:tcW w:w="8375" w:type="dxa"/>
            <w:tcBorders/>
            <w:vAlign w:val="center"/>
          </w:tcPr>
          <w:p>
            <w:pPr>
              <w:pStyle w:val="TableContents"/>
              <w:bidi w:val="0"/>
              <w:spacing w:before="0" w:after="283"/>
              <w:jc w:val="left"/>
              <w:rPr/>
            </w:pPr>
            <w:hyperlink w:anchor="a_016">
              <w:r>
                <w:rPr>
                  <w:rStyle w:val="InternetLink"/>
                  <w:rFonts w:ascii="Times New Roman;Times;Serif" w:hAnsi="Times New Roman;Times;Serif"/>
                  <w:sz w:val="20"/>
                </w:rPr>
                <w:t>Mine Safety Disclosures</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w:t>
            </w:r>
          </w:p>
        </w:tc>
      </w:tr>
      <w:tr>
        <w:trPr/>
        <w:tc>
          <w:tcPr>
            <w:tcW w:w="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5.</w:t>
            </w:r>
          </w:p>
        </w:tc>
        <w:tc>
          <w:tcPr>
            <w:tcW w:w="8375"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Other Information</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w:t>
            </w:r>
          </w:p>
        </w:tc>
      </w:tr>
      <w:tr>
        <w:trPr/>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6.</w:t>
            </w:r>
          </w:p>
        </w:tc>
        <w:tc>
          <w:tcPr>
            <w:tcW w:w="8375" w:type="dxa"/>
            <w:tcBorders/>
            <w:vAlign w:val="center"/>
          </w:tcPr>
          <w:p>
            <w:pPr>
              <w:pStyle w:val="TableContents"/>
              <w:bidi w:val="0"/>
              <w:spacing w:before="0" w:after="283"/>
              <w:jc w:val="left"/>
              <w:rPr/>
            </w:pPr>
            <w:hyperlink w:anchor="a_018">
              <w:r>
                <w:rPr>
                  <w:rStyle w:val="InternetLink"/>
                  <w:rFonts w:ascii="Times New Roman;Times;Serif" w:hAnsi="Times New Roman;Times;Serif"/>
                  <w:sz w:val="20"/>
                </w:rPr>
                <w:t>Exhibits</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w:t>
            </w:r>
          </w:p>
        </w:tc>
      </w:tr>
      <w:tr>
        <w:trPr/>
        <w:tc>
          <w:tcPr>
            <w:tcW w:w="9130" w:type="dxa"/>
            <w:gridSpan w:val="2"/>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sz w:val="20"/>
                </w:rPr>
                <w:t>Signatures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ORUKA THERAPEUTICS, INC.</w:t>
        <w:br/>
        <w:t>CONDENSED CONSOLIDATED BALANCE SHEETS</w:t>
        <w:br/>
        <w:t>(UNAUDITED)</w:t>
        <w:b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70"/>
        <w:gridCol w:w="90"/>
        <w:gridCol w:w="170"/>
        <w:gridCol w:w="911"/>
        <w:gridCol w:w="125"/>
        <w:gridCol w:w="90"/>
        <w:gridCol w:w="237"/>
        <w:gridCol w:w="1164"/>
        <w:gridCol w:w="148"/>
      </w:tblGrid>
      <w:tr>
        <w:trPr/>
        <w:tc>
          <w:tcPr>
            <w:tcW w:w="72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81" w:type="dxa"/>
            <w:gridSpan w:val="2"/>
            <w:tcBorders/>
            <w:vAlign w:val="center"/>
          </w:tcPr>
          <w:p>
            <w:pPr>
              <w:pStyle w:val="TableContents"/>
              <w:bidi w:val="0"/>
              <w:spacing w:before="0" w:after="283"/>
              <w:jc w:val="center"/>
              <w:rPr>
                <w:b/>
              </w:rPr>
            </w:pPr>
            <w:r>
              <w:rPr>
                <w:b/>
              </w:rPr>
              <w:t>March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1" w:type="dxa"/>
            <w:gridSpan w:val="2"/>
            <w:tcBorders/>
            <w:vAlign w:val="center"/>
          </w:tcPr>
          <w:p>
            <w:pPr>
              <w:pStyle w:val="TableContents"/>
              <w:bidi w:val="0"/>
              <w:spacing w:before="0" w:after="283"/>
              <w:jc w:val="center"/>
              <w:rPr>
                <w:b/>
              </w:rPr>
            </w:pPr>
            <w:r>
              <w:rPr>
                <w:b/>
              </w:rPr>
              <w:t>December 31,</w:t>
            </w:r>
          </w:p>
        </w:tc>
        <w:tc>
          <w:tcPr>
            <w:tcW w:w="148" w:type="dxa"/>
            <w:tcBorders/>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48" w:type="dxa"/>
            <w:tcBorders/>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1081"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1" w:type="dxa"/>
            <w:gridSpan w:val="2"/>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283"/>
              <w:jc w:val="left"/>
              <w:rPr/>
            </w:pPr>
            <w:r>
              <w:rPr/>
              <w:t>Current assets:</w:t>
            </w:r>
          </w:p>
        </w:tc>
        <w:tc>
          <w:tcPr>
            <w:tcW w:w="90" w:type="dxa"/>
            <w:tcBorders/>
            <w:vAlign w:val="center"/>
          </w:tcPr>
          <w:p>
            <w:pPr>
              <w:pStyle w:val="TableContents"/>
              <w:bidi w:val="0"/>
              <w:spacing w:before="0" w:after="283"/>
              <w:jc w:val="left"/>
              <w:rPr/>
            </w:pPr>
            <w:r>
              <w:rPr/>
              <w:t> </w:t>
            </w:r>
          </w:p>
        </w:tc>
        <w:tc>
          <w:tcPr>
            <w:tcW w:w="1081"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1" w:type="dxa"/>
            <w:gridSpan w:val="2"/>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ind w:left="0" w:right="0" w:hanging="180"/>
              <w:jc w:val="left"/>
              <w:rPr/>
            </w:pPr>
            <w:r>
              <w:rPr/>
              <w:t> </w:t>
            </w:r>
          </w:p>
        </w:tc>
      </w:tr>
      <w:tr>
        <w:trPr/>
        <w:tc>
          <w:tcPr>
            <w:tcW w:w="7270"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11" w:type="dxa"/>
            <w:tcBorders/>
            <w:shd w:fill="CCEEFF" w:val="clear"/>
            <w:vAlign w:val="center"/>
          </w:tcPr>
          <w:p>
            <w:pPr>
              <w:pStyle w:val="TableContents"/>
              <w:bidi w:val="0"/>
              <w:spacing w:before="0" w:after="283"/>
              <w:jc w:val="right"/>
              <w:rPr/>
            </w:pPr>
            <w:r>
              <w:rPr/>
              <w:t>83,572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1164" w:type="dxa"/>
            <w:tcBorders/>
            <w:shd w:fill="CCEEFF" w:val="clear"/>
            <w:vAlign w:val="center"/>
          </w:tcPr>
          <w:p>
            <w:pPr>
              <w:pStyle w:val="TableContents"/>
              <w:bidi w:val="0"/>
              <w:spacing w:before="0" w:after="283"/>
              <w:jc w:val="right"/>
              <w:rPr/>
            </w:pPr>
            <w:r>
              <w:rPr/>
              <w:t>61,575</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270" w:type="dxa"/>
            <w:tcBorders/>
            <w:vAlign w:val="center"/>
          </w:tcPr>
          <w:p>
            <w:pPr>
              <w:pStyle w:val="TableContents"/>
              <w:bidi w:val="0"/>
              <w:spacing w:before="0" w:after="283"/>
              <w:jc w:val="left"/>
              <w:rPr/>
            </w:pPr>
            <w:r>
              <w:rPr/>
              <w:t>Marketable securities, current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right"/>
              <w:rPr/>
            </w:pPr>
            <w:r>
              <w:rPr/>
              <w:t>265,522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314,073</w:t>
            </w:r>
          </w:p>
        </w:tc>
        <w:tc>
          <w:tcPr>
            <w:tcW w:w="148" w:type="dxa"/>
            <w:tcBorders/>
            <w:vAlign w:val="center"/>
          </w:tcPr>
          <w:p>
            <w:pPr>
              <w:pStyle w:val="TableContents"/>
              <w:bidi w:val="0"/>
              <w:spacing w:before="0" w:after="283"/>
              <w:ind w:left="0" w:right="0" w:hanging="180"/>
              <w:jc w:val="left"/>
              <w:rPr/>
            </w:pPr>
            <w:r>
              <w:rPr/>
              <w:t> </w:t>
            </w:r>
          </w:p>
        </w:tc>
      </w:tr>
      <w:tr>
        <w:trPr/>
        <w:tc>
          <w:tcPr>
            <w:tcW w:w="7270" w:type="dxa"/>
            <w:tcBorders/>
            <w:shd w:fill="CCEEFF" w:val="clear"/>
            <w:vAlign w:val="center"/>
          </w:tcPr>
          <w:p>
            <w:pPr>
              <w:pStyle w:val="TableContents"/>
              <w:bidi w:val="0"/>
              <w:spacing w:before="0" w:after="283"/>
              <w:jc w:val="left"/>
              <w:rPr/>
            </w:pPr>
            <w:r>
              <w:rPr/>
              <w:t>Prepaid expenses and other 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shd w:fill="CCEEFF" w:val="clear"/>
            <w:tcMar>
              <w:bottom w:w="28" w:type="dxa"/>
            </w:tcMar>
            <w:vAlign w:val="center"/>
          </w:tcPr>
          <w:p>
            <w:pPr>
              <w:pStyle w:val="TableContents"/>
              <w:bidi w:val="0"/>
              <w:spacing w:before="0" w:after="283"/>
              <w:jc w:val="right"/>
              <w:rPr/>
            </w:pPr>
            <w:r>
              <w:rPr/>
              <w:t>2,989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shd w:fill="CCEEFF" w:val="clear"/>
            <w:tcMar>
              <w:bottom w:w="28" w:type="dxa"/>
            </w:tcMar>
            <w:vAlign w:val="center"/>
          </w:tcPr>
          <w:p>
            <w:pPr>
              <w:pStyle w:val="TableContents"/>
              <w:bidi w:val="0"/>
              <w:spacing w:before="0" w:after="283"/>
              <w:jc w:val="right"/>
              <w:rPr/>
            </w:pPr>
            <w:r>
              <w:rPr/>
              <w:t>1,221</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270" w:type="dxa"/>
            <w:tcBorders/>
            <w:vAlign w:val="center"/>
          </w:tcPr>
          <w:p>
            <w:pPr>
              <w:pStyle w:val="TableContents"/>
              <w:bidi w:val="0"/>
              <w:spacing w:before="0" w:after="283"/>
              <w:jc w:val="left"/>
              <w:rPr/>
            </w:pPr>
            <w:r>
              <w:rPr/>
              <w:t>Total current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right"/>
              <w:rPr/>
            </w:pPr>
            <w:r>
              <w:rPr/>
              <w:t>352,083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376,869</w:t>
            </w:r>
          </w:p>
        </w:tc>
        <w:tc>
          <w:tcPr>
            <w:tcW w:w="148" w:type="dxa"/>
            <w:tcBorders/>
            <w:vAlign w:val="center"/>
          </w:tcPr>
          <w:p>
            <w:pPr>
              <w:pStyle w:val="TableContents"/>
              <w:bidi w:val="0"/>
              <w:spacing w:before="0" w:after="283"/>
              <w:ind w:left="0" w:right="0" w:hanging="180"/>
              <w:jc w:val="left"/>
              <w:rPr/>
            </w:pPr>
            <w:r>
              <w:rPr/>
              <w:t> </w:t>
            </w:r>
          </w:p>
        </w:tc>
      </w:tr>
      <w:tr>
        <w:trPr/>
        <w:tc>
          <w:tcPr>
            <w:tcW w:w="7270" w:type="dxa"/>
            <w:tcBorders/>
            <w:shd w:fill="CCEEFF" w:val="clear"/>
            <w:vAlign w:val="center"/>
          </w:tcPr>
          <w:p>
            <w:pPr>
              <w:pStyle w:val="TableContents"/>
              <w:bidi w:val="0"/>
              <w:spacing w:before="0" w:after="283"/>
              <w:jc w:val="left"/>
              <w:rPr/>
            </w:pPr>
            <w:r>
              <w:rPr/>
              <w:t>Marketable securities, long-term</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23,953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18,069</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270" w:type="dxa"/>
            <w:tcBorders/>
            <w:vAlign w:val="center"/>
          </w:tcPr>
          <w:p>
            <w:pPr>
              <w:pStyle w:val="TableContents"/>
              <w:bidi w:val="0"/>
              <w:spacing w:before="0" w:after="283"/>
              <w:jc w:val="left"/>
              <w:rPr/>
            </w:pPr>
            <w:r>
              <w:rPr/>
              <w:t>Property and equipment,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right"/>
              <w:rPr/>
            </w:pPr>
            <w:r>
              <w:rPr/>
              <w:t>159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162</w:t>
            </w:r>
          </w:p>
        </w:tc>
        <w:tc>
          <w:tcPr>
            <w:tcW w:w="148" w:type="dxa"/>
            <w:tcBorders/>
            <w:vAlign w:val="center"/>
          </w:tcPr>
          <w:p>
            <w:pPr>
              <w:pStyle w:val="TableContents"/>
              <w:bidi w:val="0"/>
              <w:spacing w:before="0" w:after="283"/>
              <w:ind w:left="0" w:right="0" w:hanging="180"/>
              <w:jc w:val="left"/>
              <w:rPr/>
            </w:pPr>
            <w:r>
              <w:rPr/>
              <w:t> </w:t>
            </w:r>
          </w:p>
        </w:tc>
      </w:tr>
      <w:tr>
        <w:trPr/>
        <w:tc>
          <w:tcPr>
            <w:tcW w:w="7270" w:type="dxa"/>
            <w:tcBorders/>
            <w:shd w:fill="CCEEFF" w:val="clear"/>
            <w:vAlign w:val="center"/>
          </w:tcPr>
          <w:p>
            <w:pPr>
              <w:pStyle w:val="TableContents"/>
              <w:bidi w:val="0"/>
              <w:spacing w:before="0" w:after="283"/>
              <w:jc w:val="left"/>
              <w:rPr/>
            </w:pPr>
            <w:r>
              <w:rPr/>
              <w:t>Operating lease right-of-use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814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876</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270" w:type="dxa"/>
            <w:tcBorders/>
            <w:vAlign w:val="center"/>
          </w:tcPr>
          <w:p>
            <w:pPr>
              <w:pStyle w:val="TableContents"/>
              <w:bidi w:val="0"/>
              <w:spacing w:before="0" w:after="283"/>
              <w:jc w:val="left"/>
              <w:rPr/>
            </w:pPr>
            <w:r>
              <w:rPr/>
              <w:t>Other non-current assets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tcMar>
              <w:bottom w:w="28" w:type="dxa"/>
            </w:tcMar>
            <w:vAlign w:val="center"/>
          </w:tcPr>
          <w:p>
            <w:pPr>
              <w:pStyle w:val="TableContents"/>
              <w:bidi w:val="0"/>
              <w:spacing w:before="0" w:after="283"/>
              <w:jc w:val="right"/>
              <w:rPr/>
            </w:pPr>
            <w:r>
              <w:rPr/>
              <w:t>103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tcMar>
              <w:bottom w:w="28" w:type="dxa"/>
            </w:tcMar>
            <w:vAlign w:val="center"/>
          </w:tcPr>
          <w:p>
            <w:pPr>
              <w:pStyle w:val="TableContents"/>
              <w:bidi w:val="0"/>
              <w:spacing w:before="0" w:after="283"/>
              <w:jc w:val="right"/>
              <w:rPr/>
            </w:pPr>
            <w:r>
              <w:rPr/>
              <w:t>43</w:t>
            </w:r>
          </w:p>
        </w:tc>
        <w:tc>
          <w:tcPr>
            <w:tcW w:w="148" w:type="dxa"/>
            <w:tcBorders/>
            <w:vAlign w:val="center"/>
          </w:tcPr>
          <w:p>
            <w:pPr>
              <w:pStyle w:val="TableContents"/>
              <w:bidi w:val="0"/>
              <w:spacing w:before="0" w:after="283"/>
              <w:ind w:left="0" w:right="0" w:hanging="180"/>
              <w:jc w:val="left"/>
              <w:rPr/>
            </w:pPr>
            <w:r>
              <w:rPr/>
              <w:t> </w:t>
            </w:r>
          </w:p>
        </w:tc>
      </w:tr>
      <w:tr>
        <w:trPr/>
        <w:tc>
          <w:tcPr>
            <w:tcW w:w="7270" w:type="dxa"/>
            <w:tcBorders/>
            <w:shd w:fill="CCEEFF" w:val="clear"/>
            <w:vAlign w:val="center"/>
          </w:tcPr>
          <w:p>
            <w:pPr>
              <w:pStyle w:val="TableContents"/>
              <w:bidi w:val="0"/>
              <w:spacing w:before="0" w:after="283"/>
              <w:jc w:val="left"/>
              <w:rPr/>
            </w:pPr>
            <w:r>
              <w:rPr/>
              <w:t>Total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11" w:type="dxa"/>
            <w:tcBorders>
              <w:bottom w:val="double" w:sz="10" w:space="0" w:color="000000"/>
            </w:tcBorders>
            <w:shd w:fill="CCEEFF" w:val="clear"/>
            <w:tcMar>
              <w:bottom w:w="28" w:type="dxa"/>
            </w:tcMar>
            <w:vAlign w:val="center"/>
          </w:tcPr>
          <w:p>
            <w:pPr>
              <w:pStyle w:val="TableContents"/>
              <w:bidi w:val="0"/>
              <w:spacing w:before="0" w:after="283"/>
              <w:jc w:val="right"/>
              <w:rPr/>
            </w:pPr>
            <w:r>
              <w:rPr/>
              <w:t>377,112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4" w:type="dxa"/>
            <w:tcBorders>
              <w:bottom w:val="double" w:sz="10" w:space="0" w:color="000000"/>
            </w:tcBorders>
            <w:shd w:fill="CCEEFF" w:val="clear"/>
            <w:tcMar>
              <w:bottom w:w="28" w:type="dxa"/>
            </w:tcMar>
            <w:vAlign w:val="center"/>
          </w:tcPr>
          <w:p>
            <w:pPr>
              <w:pStyle w:val="TableContents"/>
              <w:bidi w:val="0"/>
              <w:spacing w:before="0" w:after="283"/>
              <w:jc w:val="right"/>
              <w:rPr/>
            </w:pPr>
            <w:r>
              <w:rPr/>
              <w:t>396,019</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270" w:type="dxa"/>
            <w:tcBorders/>
            <w:vAlign w:val="center"/>
          </w:tcPr>
          <w:p>
            <w:pPr>
              <w:pStyle w:val="TableContents"/>
              <w:bidi w:val="0"/>
              <w:spacing w:before="0" w:after="283"/>
              <w:jc w:val="left"/>
              <w:rPr>
                <w:b/>
              </w:rPr>
            </w:pPr>
            <w:r>
              <w:rPr>
                <w:b/>
              </w:rPr>
              <w:t>Liabilities, Convertible Preferred Stock and Stockholders’ Equity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ind w:left="0" w:right="0" w:hanging="180"/>
              <w:jc w:val="left"/>
              <w:rPr/>
            </w:pPr>
            <w:r>
              <w:rPr/>
              <w:t> </w:t>
            </w:r>
          </w:p>
        </w:tc>
      </w:tr>
      <w:tr>
        <w:trPr/>
        <w:tc>
          <w:tcPr>
            <w:tcW w:w="7270" w:type="dxa"/>
            <w:tcBorders/>
            <w:shd w:fill="CCEEFF" w:val="clear"/>
            <w:vAlign w:val="center"/>
          </w:tcPr>
          <w:p>
            <w:pPr>
              <w:pStyle w:val="TableContents"/>
              <w:bidi w:val="0"/>
              <w:spacing w:before="0" w:after="283"/>
              <w:jc w:val="left"/>
              <w:rPr/>
            </w:pPr>
            <w:r>
              <w:rPr/>
              <w:t>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270" w:type="dxa"/>
            <w:tcBorders/>
            <w:vAlign w:val="center"/>
          </w:tcPr>
          <w:p>
            <w:pPr>
              <w:pStyle w:val="TableContents"/>
              <w:bidi w:val="0"/>
              <w:spacing w:before="0" w:after="283"/>
              <w:jc w:val="left"/>
              <w:rPr/>
            </w:pPr>
            <w:r>
              <w:rPr/>
              <w:t>Accounts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1" w:type="dxa"/>
            <w:tcBorders/>
            <w:vAlign w:val="center"/>
          </w:tcPr>
          <w:p>
            <w:pPr>
              <w:pStyle w:val="TableContents"/>
              <w:bidi w:val="0"/>
              <w:spacing w:before="0" w:after="283"/>
              <w:jc w:val="right"/>
              <w:rPr/>
            </w:pPr>
            <w:r>
              <w:rPr/>
              <w:t>3,545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w:t>
            </w:r>
          </w:p>
        </w:tc>
        <w:tc>
          <w:tcPr>
            <w:tcW w:w="1164" w:type="dxa"/>
            <w:tcBorders/>
            <w:vAlign w:val="center"/>
          </w:tcPr>
          <w:p>
            <w:pPr>
              <w:pStyle w:val="TableContents"/>
              <w:bidi w:val="0"/>
              <w:spacing w:before="0" w:after="283"/>
              <w:jc w:val="right"/>
              <w:rPr/>
            </w:pPr>
            <w:r>
              <w:rPr/>
              <w:t>3,462</w:t>
            </w:r>
          </w:p>
        </w:tc>
        <w:tc>
          <w:tcPr>
            <w:tcW w:w="148" w:type="dxa"/>
            <w:tcBorders/>
            <w:vAlign w:val="center"/>
          </w:tcPr>
          <w:p>
            <w:pPr>
              <w:pStyle w:val="TableContents"/>
              <w:bidi w:val="0"/>
              <w:spacing w:before="0" w:after="283"/>
              <w:ind w:left="0" w:right="0" w:hanging="180"/>
              <w:jc w:val="left"/>
              <w:rPr/>
            </w:pPr>
            <w:r>
              <w:rPr/>
              <w:t> </w:t>
            </w:r>
          </w:p>
        </w:tc>
      </w:tr>
      <w:tr>
        <w:trPr/>
        <w:tc>
          <w:tcPr>
            <w:tcW w:w="7270" w:type="dxa"/>
            <w:tcBorders/>
            <w:shd w:fill="CCEEFF" w:val="clear"/>
            <w:vAlign w:val="center"/>
          </w:tcPr>
          <w:p>
            <w:pPr>
              <w:pStyle w:val="TableContents"/>
              <w:bidi w:val="0"/>
              <w:spacing w:before="0" w:after="283"/>
              <w:jc w:val="left"/>
              <w:rPr/>
            </w:pPr>
            <w:r>
              <w:rPr/>
              <w:t>Accrued expenses and other 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5,663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3,346</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270" w:type="dxa"/>
            <w:tcBorders/>
            <w:vAlign w:val="center"/>
          </w:tcPr>
          <w:p>
            <w:pPr>
              <w:pStyle w:val="TableContents"/>
              <w:bidi w:val="0"/>
              <w:spacing w:before="0" w:after="283"/>
              <w:jc w:val="left"/>
              <w:rPr/>
            </w:pPr>
            <w:r>
              <w:rPr/>
              <w:t>Operating lease liability, current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right"/>
              <w:rPr/>
            </w:pPr>
            <w:r>
              <w:rPr/>
              <w:t>283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213</w:t>
            </w:r>
          </w:p>
        </w:tc>
        <w:tc>
          <w:tcPr>
            <w:tcW w:w="148" w:type="dxa"/>
            <w:tcBorders/>
            <w:vAlign w:val="center"/>
          </w:tcPr>
          <w:p>
            <w:pPr>
              <w:pStyle w:val="TableContents"/>
              <w:bidi w:val="0"/>
              <w:spacing w:before="0" w:after="283"/>
              <w:ind w:left="0" w:right="0" w:hanging="180"/>
              <w:jc w:val="left"/>
              <w:rPr/>
            </w:pPr>
            <w:r>
              <w:rPr/>
              <w:t> </w:t>
            </w:r>
          </w:p>
        </w:tc>
      </w:tr>
      <w:tr>
        <w:trPr/>
        <w:tc>
          <w:tcPr>
            <w:tcW w:w="7270" w:type="dxa"/>
            <w:tcBorders/>
            <w:shd w:fill="CCEEFF" w:val="clear"/>
            <w:vAlign w:val="center"/>
          </w:tcPr>
          <w:p>
            <w:pPr>
              <w:pStyle w:val="TableContents"/>
              <w:bidi w:val="0"/>
              <w:spacing w:before="0" w:after="283"/>
              <w:jc w:val="left"/>
              <w:rPr/>
            </w:pPr>
            <w:r>
              <w:rPr/>
              <w:t>Related party common stock warrant liability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1,415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0"/>
              <w:jc w:val="right"/>
              <w:rPr/>
            </w:pPr>
            <w:r>
              <w:rPr/>
              <w:t>—</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270" w:type="dxa"/>
            <w:tcBorders/>
            <w:vAlign w:val="center"/>
          </w:tcPr>
          <w:p>
            <w:pPr>
              <w:pStyle w:val="TableContents"/>
              <w:bidi w:val="0"/>
              <w:spacing w:before="0" w:after="283"/>
              <w:jc w:val="left"/>
              <w:rPr/>
            </w:pPr>
            <w:r>
              <w:rPr/>
              <w:t>Related party accounts payable and other current liabilities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tcMar>
              <w:bottom w:w="28" w:type="dxa"/>
            </w:tcMar>
            <w:vAlign w:val="center"/>
          </w:tcPr>
          <w:p>
            <w:pPr>
              <w:pStyle w:val="TableContents"/>
              <w:bidi w:val="0"/>
              <w:spacing w:before="0" w:after="283"/>
              <w:jc w:val="right"/>
              <w:rPr/>
            </w:pPr>
            <w:r>
              <w:rPr/>
              <w:t>817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tcMar>
              <w:bottom w:w="28" w:type="dxa"/>
            </w:tcMar>
            <w:vAlign w:val="center"/>
          </w:tcPr>
          <w:p>
            <w:pPr>
              <w:pStyle w:val="TableContents"/>
              <w:bidi w:val="0"/>
              <w:spacing w:before="0" w:after="283"/>
              <w:jc w:val="right"/>
              <w:rPr/>
            </w:pPr>
            <w:r>
              <w:rPr/>
              <w:t>6,022</w:t>
            </w:r>
          </w:p>
        </w:tc>
        <w:tc>
          <w:tcPr>
            <w:tcW w:w="148" w:type="dxa"/>
            <w:tcBorders/>
            <w:vAlign w:val="center"/>
          </w:tcPr>
          <w:p>
            <w:pPr>
              <w:pStyle w:val="TableContents"/>
              <w:bidi w:val="0"/>
              <w:spacing w:before="0" w:after="283"/>
              <w:ind w:left="0" w:right="0" w:hanging="180"/>
              <w:jc w:val="left"/>
              <w:rPr/>
            </w:pPr>
            <w:r>
              <w:rPr/>
              <w:t> </w:t>
            </w:r>
          </w:p>
        </w:tc>
      </w:tr>
      <w:tr>
        <w:trPr/>
        <w:tc>
          <w:tcPr>
            <w:tcW w:w="7270" w:type="dxa"/>
            <w:tcBorders/>
            <w:shd w:fill="CCEEFF" w:val="clear"/>
            <w:vAlign w:val="center"/>
          </w:tcPr>
          <w:p>
            <w:pPr>
              <w:pStyle w:val="TableContents"/>
              <w:bidi w:val="0"/>
              <w:spacing w:before="0" w:after="283"/>
              <w:jc w:val="left"/>
              <w:rPr/>
            </w:pPr>
            <w:r>
              <w:rPr/>
              <w:t>Total 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11,723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13,043</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270" w:type="dxa"/>
            <w:tcBorders/>
            <w:vAlign w:val="center"/>
          </w:tcPr>
          <w:p>
            <w:pPr>
              <w:pStyle w:val="TableContents"/>
              <w:bidi w:val="0"/>
              <w:spacing w:before="0" w:after="283"/>
              <w:jc w:val="left"/>
              <w:rPr/>
            </w:pPr>
            <w:r>
              <w:rPr/>
              <w:t>Operating lease liability, non-current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tcMar>
              <w:bottom w:w="28" w:type="dxa"/>
            </w:tcMar>
            <w:vAlign w:val="center"/>
          </w:tcPr>
          <w:p>
            <w:pPr>
              <w:pStyle w:val="TableContents"/>
              <w:bidi w:val="0"/>
              <w:spacing w:before="0" w:after="283"/>
              <w:jc w:val="right"/>
              <w:rPr/>
            </w:pPr>
            <w:r>
              <w:rPr/>
              <w:t>664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tcMar>
              <w:bottom w:w="28" w:type="dxa"/>
            </w:tcMar>
            <w:vAlign w:val="center"/>
          </w:tcPr>
          <w:p>
            <w:pPr>
              <w:pStyle w:val="TableContents"/>
              <w:bidi w:val="0"/>
              <w:spacing w:before="0" w:after="283"/>
              <w:jc w:val="right"/>
              <w:rPr/>
            </w:pPr>
            <w:r>
              <w:rPr/>
              <w:t>755</w:t>
            </w:r>
          </w:p>
        </w:tc>
        <w:tc>
          <w:tcPr>
            <w:tcW w:w="148" w:type="dxa"/>
            <w:tcBorders/>
            <w:vAlign w:val="center"/>
          </w:tcPr>
          <w:p>
            <w:pPr>
              <w:pStyle w:val="TableContents"/>
              <w:bidi w:val="0"/>
              <w:spacing w:before="0" w:after="283"/>
              <w:ind w:left="0" w:right="0" w:hanging="180"/>
              <w:jc w:val="left"/>
              <w:rPr/>
            </w:pPr>
            <w:r>
              <w:rPr/>
              <w:t> </w:t>
            </w:r>
          </w:p>
        </w:tc>
      </w:tr>
      <w:tr>
        <w:trPr/>
        <w:tc>
          <w:tcPr>
            <w:tcW w:w="7270" w:type="dxa"/>
            <w:tcBorders/>
            <w:shd w:fill="CCEEFF" w:val="clear"/>
            <w:vAlign w:val="center"/>
          </w:tcPr>
          <w:p>
            <w:pPr>
              <w:pStyle w:val="TableContents"/>
              <w:bidi w:val="0"/>
              <w:spacing w:before="0" w:after="283"/>
              <w:jc w:val="left"/>
              <w:rPr/>
            </w:pPr>
            <w:r>
              <w:rPr/>
              <w:t>Total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shd w:fill="CCEEFF" w:val="clear"/>
            <w:tcMar>
              <w:bottom w:w="28" w:type="dxa"/>
            </w:tcMar>
            <w:vAlign w:val="center"/>
          </w:tcPr>
          <w:p>
            <w:pPr>
              <w:pStyle w:val="TableContents"/>
              <w:bidi w:val="0"/>
              <w:spacing w:before="0" w:after="283"/>
              <w:jc w:val="right"/>
              <w:rPr/>
            </w:pPr>
            <w:r>
              <w:rPr/>
              <w:t>12,387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shd w:fill="CCEEFF" w:val="clear"/>
            <w:tcMar>
              <w:bottom w:w="28" w:type="dxa"/>
            </w:tcMar>
            <w:vAlign w:val="center"/>
          </w:tcPr>
          <w:p>
            <w:pPr>
              <w:pStyle w:val="TableContents"/>
              <w:bidi w:val="0"/>
              <w:spacing w:before="0" w:after="283"/>
              <w:jc w:val="right"/>
              <w:rPr/>
            </w:pPr>
            <w:r>
              <w:rPr/>
              <w:t>13,798</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270" w:type="dxa"/>
            <w:tcBorders/>
            <w:vAlign w:val="center"/>
          </w:tcPr>
          <w:p>
            <w:pPr>
              <w:pStyle w:val="TableContents"/>
              <w:bidi w:val="0"/>
              <w:spacing w:before="0" w:after="283"/>
              <w:jc w:val="left"/>
              <w:rPr/>
            </w:pPr>
            <w:r>
              <w:rPr/>
              <w:t>Commitment and contingencies (Note 11)</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0"/>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0"/>
              <w:jc w:val="right"/>
              <w:rPr/>
            </w:pPr>
            <w:r>
              <w:rPr/>
              <w:t> </w:t>
            </w:r>
          </w:p>
        </w:tc>
        <w:tc>
          <w:tcPr>
            <w:tcW w:w="148" w:type="dxa"/>
            <w:tcBorders/>
            <w:vAlign w:val="center"/>
          </w:tcPr>
          <w:p>
            <w:pPr>
              <w:pStyle w:val="TableContents"/>
              <w:bidi w:val="0"/>
              <w:spacing w:before="0" w:after="283"/>
              <w:ind w:left="0" w:right="0" w:hanging="180"/>
              <w:jc w:val="left"/>
              <w:rPr/>
            </w:pPr>
            <w:r>
              <w:rPr/>
              <w:t> </w:t>
            </w:r>
          </w:p>
        </w:tc>
      </w:tr>
      <w:tr>
        <w:trPr/>
        <w:tc>
          <w:tcPr>
            <w:tcW w:w="7270" w:type="dxa"/>
            <w:tcBorders/>
            <w:shd w:fill="CCEEFF" w:val="clear"/>
            <w:vAlign w:val="center"/>
          </w:tcPr>
          <w:p>
            <w:pPr>
              <w:pStyle w:val="TableContents"/>
              <w:bidi w:val="0"/>
              <w:spacing w:before="0" w:after="283"/>
              <w:jc w:val="left"/>
              <w:rPr/>
            </w:pPr>
            <w:r>
              <w:rPr/>
              <w:t>Stockholders’ equity: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270" w:type="dxa"/>
            <w:tcBorders/>
            <w:vAlign w:val="center"/>
          </w:tcPr>
          <w:p>
            <w:pPr>
              <w:pStyle w:val="TableContents"/>
              <w:bidi w:val="0"/>
              <w:spacing w:before="0" w:after="283"/>
              <w:jc w:val="left"/>
              <w:rPr/>
            </w:pPr>
            <w:r>
              <w:rPr/>
              <w:t>Series B non-voting convertible preferred stock, $0.001 par value; 251,504 shares authorized as of March 31, 2025 and December 31, 2024; 137,138 shares issued and outstanding as of March 31, 2025 and December 31, 2024</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right"/>
              <w:rPr/>
            </w:pPr>
            <w:r>
              <w:rPr/>
              <w:t>2,931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2,931</w:t>
            </w:r>
          </w:p>
        </w:tc>
        <w:tc>
          <w:tcPr>
            <w:tcW w:w="148" w:type="dxa"/>
            <w:tcBorders/>
            <w:vAlign w:val="center"/>
          </w:tcPr>
          <w:p>
            <w:pPr>
              <w:pStyle w:val="TableContents"/>
              <w:bidi w:val="0"/>
              <w:spacing w:before="0" w:after="283"/>
              <w:ind w:left="0" w:right="0" w:hanging="180"/>
              <w:jc w:val="left"/>
              <w:rPr/>
            </w:pPr>
            <w:r>
              <w:rPr/>
              <w:t> </w:t>
            </w:r>
          </w:p>
        </w:tc>
      </w:tr>
      <w:tr>
        <w:trPr/>
        <w:tc>
          <w:tcPr>
            <w:tcW w:w="7270" w:type="dxa"/>
            <w:tcBorders/>
            <w:shd w:fill="CCEEFF" w:val="clear"/>
            <w:vAlign w:val="center"/>
          </w:tcPr>
          <w:p>
            <w:pPr>
              <w:pStyle w:val="TableContents"/>
              <w:bidi w:val="0"/>
              <w:spacing w:before="0" w:after="283"/>
              <w:jc w:val="left"/>
              <w:rPr/>
            </w:pPr>
            <w:r>
              <w:rPr/>
              <w:t>Common stock, $0.001 par value; 545,000,000 shares authorized, 37,440,510 shares issued and outstanding as of March 31, 2025 and December 31, 2024</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37</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270" w:type="dxa"/>
            <w:tcBorders/>
            <w:vAlign w:val="center"/>
          </w:tcPr>
          <w:p>
            <w:pPr>
              <w:pStyle w:val="TableContents"/>
              <w:bidi w:val="0"/>
              <w:spacing w:before="0" w:after="283"/>
              <w:jc w:val="left"/>
              <w:rPr/>
            </w:pPr>
            <w:r>
              <w:rPr/>
              <w:t>Additional paid-in capital</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right"/>
              <w:rPr/>
            </w:pPr>
            <w:r>
              <w:rPr/>
              <w:t>466,486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463,018</w:t>
            </w:r>
          </w:p>
        </w:tc>
        <w:tc>
          <w:tcPr>
            <w:tcW w:w="148" w:type="dxa"/>
            <w:tcBorders/>
            <w:vAlign w:val="center"/>
          </w:tcPr>
          <w:p>
            <w:pPr>
              <w:pStyle w:val="TableContents"/>
              <w:bidi w:val="0"/>
              <w:spacing w:before="0" w:after="283"/>
              <w:ind w:left="0" w:right="0" w:hanging="180"/>
              <w:jc w:val="left"/>
              <w:rPr/>
            </w:pPr>
            <w:r>
              <w:rPr/>
              <w:t> </w:t>
            </w:r>
          </w:p>
        </w:tc>
      </w:tr>
      <w:tr>
        <w:trPr/>
        <w:tc>
          <w:tcPr>
            <w:tcW w:w="7270" w:type="dxa"/>
            <w:tcBorders/>
            <w:shd w:fill="CCEEFF" w:val="clear"/>
            <w:vAlign w:val="center"/>
          </w:tcPr>
          <w:p>
            <w:pPr>
              <w:pStyle w:val="TableContents"/>
              <w:bidi w:val="0"/>
              <w:spacing w:before="0" w:after="283"/>
              <w:jc w:val="left"/>
              <w:rPr/>
            </w:pPr>
            <w:r>
              <w:rPr/>
              <w:t>Accumulated other comprehensive loss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(41</w:t>
            </w:r>
          </w:p>
        </w:tc>
        <w:tc>
          <w:tcPr>
            <w:tcW w:w="148" w:type="dxa"/>
            <w:tcBorders/>
            <w:shd w:fill="CCEEFF" w:val="clear"/>
            <w:vAlign w:val="center"/>
          </w:tcPr>
          <w:p>
            <w:pPr>
              <w:pStyle w:val="TableContents"/>
              <w:bidi w:val="0"/>
              <w:spacing w:before="0" w:after="283"/>
              <w:ind w:left="0" w:right="0" w:hanging="180"/>
              <w:jc w:val="left"/>
              <w:rPr/>
            </w:pPr>
            <w:r>
              <w:rPr/>
              <w:t>)</w:t>
            </w:r>
          </w:p>
        </w:tc>
      </w:tr>
      <w:tr>
        <w:trPr/>
        <w:tc>
          <w:tcPr>
            <w:tcW w:w="7270" w:type="dxa"/>
            <w:tcBorders/>
            <w:vAlign w:val="center"/>
          </w:tcPr>
          <w:p>
            <w:pPr>
              <w:pStyle w:val="TableContents"/>
              <w:bidi w:val="0"/>
              <w:spacing w:before="0" w:after="283"/>
              <w:jc w:val="left"/>
              <w:rPr/>
            </w:pPr>
            <w:r>
              <w:rPr/>
              <w:t>Accumulated deficit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tcMar>
              <w:bottom w:w="28" w:type="dxa"/>
            </w:tcMar>
            <w:vAlign w:val="center"/>
          </w:tcPr>
          <w:p>
            <w:pPr>
              <w:pStyle w:val="TableContents"/>
              <w:bidi w:val="0"/>
              <w:spacing w:before="0" w:after="283"/>
              <w:jc w:val="right"/>
              <w:rPr/>
            </w:pPr>
            <w:r>
              <w:rPr/>
              <w:t>(104,723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3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tcMar>
              <w:bottom w:w="28" w:type="dxa"/>
            </w:tcMar>
            <w:vAlign w:val="center"/>
          </w:tcPr>
          <w:p>
            <w:pPr>
              <w:pStyle w:val="TableContents"/>
              <w:bidi w:val="0"/>
              <w:spacing w:before="0" w:after="283"/>
              <w:jc w:val="right"/>
              <w:rPr/>
            </w:pPr>
            <w:r>
              <w:rPr/>
              <w:t>(83,724</w:t>
            </w:r>
          </w:p>
        </w:tc>
        <w:tc>
          <w:tcPr>
            <w:tcW w:w="148" w:type="dxa"/>
            <w:tcBorders/>
            <w:vAlign w:val="center"/>
          </w:tcPr>
          <w:p>
            <w:pPr>
              <w:pStyle w:val="TableContents"/>
              <w:bidi w:val="0"/>
              <w:spacing w:before="0" w:after="283"/>
              <w:ind w:left="0" w:right="0" w:hanging="180"/>
              <w:jc w:val="left"/>
              <w:rPr/>
            </w:pPr>
            <w:r>
              <w:rPr/>
              <w:t>)</w:t>
            </w:r>
          </w:p>
        </w:tc>
      </w:tr>
      <w:tr>
        <w:trPr/>
        <w:tc>
          <w:tcPr>
            <w:tcW w:w="7270" w:type="dxa"/>
            <w:tcBorders/>
            <w:shd w:fill="CCEEFF" w:val="clear"/>
            <w:vAlign w:val="center"/>
          </w:tcPr>
          <w:p>
            <w:pPr>
              <w:pStyle w:val="TableContents"/>
              <w:bidi w:val="0"/>
              <w:spacing w:before="0" w:after="283"/>
              <w:jc w:val="left"/>
              <w:rPr/>
            </w:pPr>
            <w:r>
              <w:rPr/>
              <w:t>Total stockholders’ equity</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shd w:fill="CCEEFF" w:val="clear"/>
            <w:tcMar>
              <w:bottom w:w="28" w:type="dxa"/>
            </w:tcMar>
            <w:vAlign w:val="center"/>
          </w:tcPr>
          <w:p>
            <w:pPr>
              <w:pStyle w:val="TableContents"/>
              <w:bidi w:val="0"/>
              <w:spacing w:before="0" w:after="283"/>
              <w:jc w:val="right"/>
              <w:rPr/>
            </w:pPr>
            <w:r>
              <w:rPr/>
              <w:t>364,725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shd w:fill="CCEEFF" w:val="clear"/>
            <w:tcMar>
              <w:bottom w:w="28" w:type="dxa"/>
            </w:tcMar>
            <w:vAlign w:val="center"/>
          </w:tcPr>
          <w:p>
            <w:pPr>
              <w:pStyle w:val="TableContents"/>
              <w:bidi w:val="0"/>
              <w:spacing w:before="0" w:after="283"/>
              <w:jc w:val="right"/>
              <w:rPr/>
            </w:pPr>
            <w:r>
              <w:rPr/>
              <w:t>382,221</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270" w:type="dxa"/>
            <w:tcBorders/>
            <w:vAlign w:val="center"/>
          </w:tcPr>
          <w:p>
            <w:pPr>
              <w:pStyle w:val="TableContents"/>
              <w:bidi w:val="0"/>
              <w:spacing w:before="0" w:after="283"/>
              <w:jc w:val="left"/>
              <w:rPr/>
            </w:pPr>
            <w:r>
              <w:rPr/>
              <w:t>Total liabilities, convertible preferred stock and stockholders’ equity</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911" w:type="dxa"/>
            <w:tcBorders>
              <w:bottom w:val="double" w:sz="10" w:space="0" w:color="000000"/>
            </w:tcBorders>
            <w:tcMar>
              <w:bottom w:w="28" w:type="dxa"/>
            </w:tcMar>
            <w:vAlign w:val="center"/>
          </w:tcPr>
          <w:p>
            <w:pPr>
              <w:pStyle w:val="TableContents"/>
              <w:bidi w:val="0"/>
              <w:spacing w:before="0" w:after="283"/>
              <w:jc w:val="right"/>
              <w:rPr/>
            </w:pPr>
            <w:r>
              <w:rPr/>
              <w:t>377,112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bottom w:val="double" w:sz="10" w:space="0" w:color="000000"/>
            </w:tcBorders>
            <w:tcMar>
              <w:bottom w:w="28" w:type="dxa"/>
            </w:tcMar>
            <w:vAlign w:val="center"/>
          </w:tcPr>
          <w:p>
            <w:pPr>
              <w:pStyle w:val="TableContents"/>
              <w:bidi w:val="0"/>
              <w:spacing w:before="0" w:after="283"/>
              <w:jc w:val="left"/>
              <w:rPr/>
            </w:pPr>
            <w:r>
              <w:rPr/>
              <w:t>$</w:t>
            </w:r>
          </w:p>
        </w:tc>
        <w:tc>
          <w:tcPr>
            <w:tcW w:w="1164" w:type="dxa"/>
            <w:tcBorders>
              <w:bottom w:val="double" w:sz="10" w:space="0" w:color="000000"/>
            </w:tcBorders>
            <w:tcMar>
              <w:bottom w:w="28" w:type="dxa"/>
            </w:tcMar>
            <w:vAlign w:val="center"/>
          </w:tcPr>
          <w:p>
            <w:pPr>
              <w:pStyle w:val="TableContents"/>
              <w:bidi w:val="0"/>
              <w:spacing w:before="0" w:after="283"/>
              <w:jc w:val="right"/>
              <w:rPr/>
            </w:pPr>
            <w:r>
              <w:rPr/>
              <w:t>396,019</w:t>
            </w:r>
          </w:p>
        </w:tc>
        <w:tc>
          <w:tcPr>
            <w:tcW w:w="148"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ORUKA THERAPEUTICS, INC.</w:t>
        <w:br/>
        <w:t>CONDENSED CONSOLIDATED STATEMENTS OF OPERATIONS AND COMPREHENSIVE LOSS</w:t>
        <w:br/>
        <w:t>(UNAUDITED)</w:t>
        <w:b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34"/>
        <w:gridCol w:w="90"/>
        <w:gridCol w:w="184"/>
        <w:gridCol w:w="1227"/>
        <w:gridCol w:w="125"/>
        <w:gridCol w:w="90"/>
        <w:gridCol w:w="187"/>
        <w:gridCol w:w="1116"/>
        <w:gridCol w:w="152"/>
      </w:tblGrid>
      <w:tr>
        <w:trPr/>
        <w:tc>
          <w:tcPr>
            <w:tcW w:w="7034"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left"/>
              <w:rPr/>
            </w:pPr>
            <w:r>
              <w:rPr/>
              <w:t> </w:t>
            </w:r>
          </w:p>
        </w:tc>
        <w:tc>
          <w:tcPr>
            <w:tcW w:w="141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w:t>
              <w:br/>
              <w:t>Ended</w:t>
              <w:br/>
              <w:t xml:space="preserve">March 31, </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Period from </w:t>
              <w:br/>
              <w:t xml:space="preserve">February 6, </w:t>
              <w:br/>
              <w:t xml:space="preserve">2024 </w:t>
              <w:br/>
              <w:t xml:space="preserve">(Inception) to </w:t>
              <w:br/>
              <w:t xml:space="preserve">March 31, </w:t>
              <w:br/>
              <w:t>2024</w:t>
            </w:r>
          </w:p>
        </w:tc>
        <w:tc>
          <w:tcPr>
            <w:tcW w:w="152" w:type="dxa"/>
            <w:tcBorders/>
            <w:vAlign w:val="center"/>
          </w:tcPr>
          <w:p>
            <w:pPr>
              <w:pStyle w:val="TableContents"/>
              <w:bidi w:val="0"/>
              <w:spacing w:before="0" w:after="283"/>
              <w:ind w:left="0" w:right="0" w:hanging="180"/>
              <w:jc w:val="left"/>
              <w:rPr/>
            </w:pPr>
            <w:r>
              <w:rPr/>
              <w:t> </w:t>
            </w:r>
          </w:p>
        </w:tc>
      </w:tr>
      <w:tr>
        <w:trPr/>
        <w:tc>
          <w:tcPr>
            <w:tcW w:w="7034" w:type="dxa"/>
            <w:tcBorders/>
            <w:vAlign w:val="center"/>
          </w:tcPr>
          <w:p>
            <w:pPr>
              <w:pStyle w:val="TableContents"/>
              <w:bidi w:val="0"/>
              <w:spacing w:before="0" w:after="283"/>
              <w:jc w:val="left"/>
              <w:rPr/>
            </w:pPr>
            <w:r>
              <w:rPr/>
              <w:t>Operating expenses</w:t>
            </w:r>
          </w:p>
        </w:tc>
        <w:tc>
          <w:tcPr>
            <w:tcW w:w="90" w:type="dxa"/>
            <w:tcBorders/>
            <w:vAlign w:val="center"/>
          </w:tcPr>
          <w:p>
            <w:pPr>
              <w:pStyle w:val="TableContents"/>
              <w:bidi w:val="0"/>
              <w:spacing w:before="0" w:after="283"/>
              <w:jc w:val="left"/>
              <w:rPr/>
            </w:pPr>
            <w:r>
              <w:rPr/>
              <w:t> </w:t>
            </w:r>
          </w:p>
        </w:tc>
        <w:tc>
          <w:tcPr>
            <w:tcW w:w="1411"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3" w:type="dxa"/>
            <w:gridSpan w:val="2"/>
            <w:tcBorders/>
            <w:vAlign w:val="center"/>
          </w:tcPr>
          <w:p>
            <w:pPr>
              <w:pStyle w:val="TableContents"/>
              <w:bidi w:val="0"/>
              <w:spacing w:before="0" w:after="283"/>
              <w:jc w:val="right"/>
              <w:rPr/>
            </w:pPr>
            <w:r>
              <w:rPr/>
              <w:t> </w:t>
            </w:r>
          </w:p>
        </w:tc>
        <w:tc>
          <w:tcPr>
            <w:tcW w:w="152" w:type="dxa"/>
            <w:tcBorders/>
            <w:vAlign w:val="center"/>
          </w:tcPr>
          <w:p>
            <w:pPr>
              <w:pStyle w:val="TableContents"/>
              <w:bidi w:val="0"/>
              <w:spacing w:before="0" w:after="283"/>
              <w:ind w:left="0" w:right="0" w:hanging="180"/>
              <w:jc w:val="left"/>
              <w:rPr/>
            </w:pPr>
            <w:r>
              <w:rPr/>
              <w:t> </w:t>
            </w:r>
          </w:p>
        </w:tc>
      </w:tr>
      <w:tr>
        <w:trPr/>
        <w:tc>
          <w:tcPr>
            <w:tcW w:w="70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Research and development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227" w:type="dxa"/>
            <w:tcBorders/>
            <w:shd w:fill="CCEEFF" w:val="clear"/>
            <w:vAlign w:val="center"/>
          </w:tcPr>
          <w:p>
            <w:pPr>
              <w:pStyle w:val="TableContents"/>
              <w:bidi w:val="0"/>
              <w:spacing w:before="0" w:after="283"/>
              <w:jc w:val="right"/>
              <w:rPr/>
            </w:pPr>
            <w:r>
              <w:rPr/>
              <w:t>19,925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116" w:type="dxa"/>
            <w:tcBorders/>
            <w:shd w:fill="CCEEFF" w:val="clear"/>
            <w:vAlign w:val="center"/>
          </w:tcPr>
          <w:p>
            <w:pPr>
              <w:pStyle w:val="TableContents"/>
              <w:bidi w:val="0"/>
              <w:spacing w:before="0" w:after="283"/>
              <w:jc w:val="right"/>
              <w:rPr/>
            </w:pPr>
            <w:r>
              <w:rPr/>
              <w:t>5,193</w:t>
            </w:r>
          </w:p>
        </w:tc>
        <w:tc>
          <w:tcPr>
            <w:tcW w:w="152" w:type="dxa"/>
            <w:tcBorders/>
            <w:shd w:fill="CCEEFF" w:val="clear"/>
            <w:vAlign w:val="center"/>
          </w:tcPr>
          <w:p>
            <w:pPr>
              <w:pStyle w:val="TableContents"/>
              <w:bidi w:val="0"/>
              <w:spacing w:before="0" w:after="283"/>
              <w:ind w:left="0" w:right="0" w:hanging="180"/>
              <w:jc w:val="left"/>
              <w:rPr/>
            </w:pPr>
            <w:r>
              <w:rPr/>
              <w:t> </w:t>
            </w:r>
          </w:p>
        </w:tc>
      </w:tr>
      <w:tr>
        <w:trPr/>
        <w:tc>
          <w:tcPr>
            <w:tcW w:w="70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General and administrative </w:t>
            </w:r>
            <w:r>
              <w:rPr>
                <w:rFonts w:ascii="Times New Roman;Times;Serif" w:hAnsi="Times New Roman;Times;Serif"/>
                <w:position w:val="7"/>
                <w:sz w:val="16"/>
                <w:sz w:val="20"/>
              </w:rPr>
              <w:t>(2)</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tcMar>
              <w:bottom w:w="28" w:type="dxa"/>
            </w:tcMar>
            <w:vAlign w:val="center"/>
          </w:tcPr>
          <w:p>
            <w:pPr>
              <w:pStyle w:val="TableContents"/>
              <w:bidi w:val="0"/>
              <w:spacing w:before="0" w:after="283"/>
              <w:jc w:val="right"/>
              <w:rPr/>
            </w:pPr>
            <w:r>
              <w:rPr/>
              <w:t>5,161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6" w:type="dxa"/>
            <w:tcBorders>
              <w:bottom w:val="single" w:sz="12" w:space="0" w:color="000000"/>
            </w:tcBorders>
            <w:tcMar>
              <w:bottom w:w="28" w:type="dxa"/>
            </w:tcMar>
            <w:vAlign w:val="center"/>
          </w:tcPr>
          <w:p>
            <w:pPr>
              <w:pStyle w:val="TableContents"/>
              <w:bidi w:val="0"/>
              <w:spacing w:before="0" w:after="283"/>
              <w:jc w:val="right"/>
              <w:rPr/>
            </w:pPr>
            <w:r>
              <w:rPr/>
              <w:t>1,670</w:t>
            </w:r>
          </w:p>
        </w:tc>
        <w:tc>
          <w:tcPr>
            <w:tcW w:w="152" w:type="dxa"/>
            <w:tcBorders/>
            <w:vAlign w:val="center"/>
          </w:tcPr>
          <w:p>
            <w:pPr>
              <w:pStyle w:val="TableContents"/>
              <w:bidi w:val="0"/>
              <w:spacing w:before="0" w:after="283"/>
              <w:ind w:left="0" w:right="0" w:hanging="180"/>
              <w:jc w:val="left"/>
              <w:rPr/>
            </w:pPr>
            <w:r>
              <w:rPr/>
              <w:t> </w:t>
            </w:r>
          </w:p>
        </w:tc>
      </w:tr>
      <w:tr>
        <w:trPr/>
        <w:tc>
          <w:tcPr>
            <w:tcW w:w="7034" w:type="dxa"/>
            <w:tcBorders/>
            <w:shd w:fill="CCEEFF" w:val="clear"/>
            <w:vAlign w:val="center"/>
          </w:tcPr>
          <w:p>
            <w:pPr>
              <w:pStyle w:val="TableContents"/>
              <w:bidi w:val="0"/>
              <w:spacing w:before="0" w:after="283"/>
              <w:jc w:val="left"/>
              <w:rPr/>
            </w:pPr>
            <w:r>
              <w:rPr/>
              <w:t>Total operating expenses</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shd w:fill="CCEEFF" w:val="clear"/>
            <w:tcMar>
              <w:bottom w:w="28" w:type="dxa"/>
            </w:tcMar>
            <w:vAlign w:val="center"/>
          </w:tcPr>
          <w:p>
            <w:pPr>
              <w:pStyle w:val="TableContents"/>
              <w:bidi w:val="0"/>
              <w:spacing w:before="0" w:after="283"/>
              <w:jc w:val="right"/>
              <w:rPr/>
            </w:pPr>
            <w:r>
              <w:rPr/>
              <w:t>25,086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6" w:type="dxa"/>
            <w:tcBorders>
              <w:bottom w:val="single" w:sz="12" w:space="0" w:color="000000"/>
            </w:tcBorders>
            <w:shd w:fill="CCEEFF" w:val="clear"/>
            <w:tcMar>
              <w:bottom w:w="28" w:type="dxa"/>
            </w:tcMar>
            <w:vAlign w:val="center"/>
          </w:tcPr>
          <w:p>
            <w:pPr>
              <w:pStyle w:val="TableContents"/>
              <w:bidi w:val="0"/>
              <w:spacing w:before="0" w:after="283"/>
              <w:jc w:val="right"/>
              <w:rPr/>
            </w:pPr>
            <w:r>
              <w:rPr/>
              <w:t>6,863</w:t>
            </w:r>
          </w:p>
        </w:tc>
        <w:tc>
          <w:tcPr>
            <w:tcW w:w="152" w:type="dxa"/>
            <w:tcBorders/>
            <w:shd w:fill="CCEEFF" w:val="clear"/>
            <w:vAlign w:val="center"/>
          </w:tcPr>
          <w:p>
            <w:pPr>
              <w:pStyle w:val="TableContents"/>
              <w:bidi w:val="0"/>
              <w:spacing w:before="0" w:after="283"/>
              <w:ind w:left="0" w:right="0" w:hanging="180"/>
              <w:jc w:val="left"/>
              <w:rPr/>
            </w:pPr>
            <w:r>
              <w:rPr/>
              <w:t> </w:t>
            </w:r>
          </w:p>
        </w:tc>
      </w:tr>
      <w:tr>
        <w:trPr/>
        <w:tc>
          <w:tcPr>
            <w:tcW w:w="7034" w:type="dxa"/>
            <w:tcBorders/>
            <w:vAlign w:val="center"/>
          </w:tcPr>
          <w:p>
            <w:pPr>
              <w:pStyle w:val="TableContents"/>
              <w:bidi w:val="0"/>
              <w:spacing w:before="0" w:after="283"/>
              <w:jc w:val="left"/>
              <w:rPr/>
            </w:pPr>
            <w:r>
              <w:rPr/>
              <w:t>Loss from operations</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(25,086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(6,863</w:t>
            </w:r>
          </w:p>
        </w:tc>
        <w:tc>
          <w:tcPr>
            <w:tcW w:w="152" w:type="dxa"/>
            <w:tcBorders/>
            <w:vAlign w:val="center"/>
          </w:tcPr>
          <w:p>
            <w:pPr>
              <w:pStyle w:val="TableContents"/>
              <w:bidi w:val="0"/>
              <w:spacing w:before="0" w:after="283"/>
              <w:ind w:left="0" w:right="0" w:hanging="180"/>
              <w:jc w:val="left"/>
              <w:rPr/>
            </w:pPr>
            <w:r>
              <w:rPr/>
              <w:t>)</w:t>
            </w:r>
          </w:p>
        </w:tc>
      </w:tr>
      <w:tr>
        <w:trPr/>
        <w:tc>
          <w:tcPr>
            <w:tcW w:w="7034" w:type="dxa"/>
            <w:tcBorders/>
            <w:shd w:fill="CCEEFF" w:val="clear"/>
            <w:vAlign w:val="center"/>
          </w:tcPr>
          <w:p>
            <w:pPr>
              <w:pStyle w:val="TableContents"/>
              <w:bidi w:val="0"/>
              <w:spacing w:before="0" w:after="283"/>
              <w:jc w:val="left"/>
              <w:rPr/>
            </w:pPr>
            <w:r>
              <w:rPr/>
              <w:t>Other income (expense)</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 </w:t>
            </w:r>
          </w:p>
        </w:tc>
        <w:tc>
          <w:tcPr>
            <w:tcW w:w="152" w:type="dxa"/>
            <w:tcBorders/>
            <w:shd w:fill="CCEEFF" w:val="clear"/>
            <w:vAlign w:val="center"/>
          </w:tcPr>
          <w:p>
            <w:pPr>
              <w:pStyle w:val="TableContents"/>
              <w:bidi w:val="0"/>
              <w:spacing w:before="0" w:after="283"/>
              <w:ind w:left="0" w:right="0" w:hanging="180"/>
              <w:jc w:val="left"/>
              <w:rPr/>
            </w:pPr>
            <w:r>
              <w:rPr/>
              <w:t> </w:t>
            </w:r>
          </w:p>
        </w:tc>
      </w:tr>
      <w:tr>
        <w:trPr/>
        <w:tc>
          <w:tcPr>
            <w:tcW w:w="7034" w:type="dxa"/>
            <w:tcBorders/>
            <w:vAlign w:val="center"/>
          </w:tcPr>
          <w:p>
            <w:pPr>
              <w:pStyle w:val="TableContents"/>
              <w:bidi w:val="0"/>
              <w:spacing w:before="0" w:after="283"/>
              <w:jc w:val="left"/>
              <w:rPr/>
            </w:pPr>
            <w:r>
              <w:rPr/>
              <w:t>Interest income</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4,092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0"/>
              <w:jc w:val="right"/>
              <w:rPr/>
            </w:pPr>
            <w:r>
              <w:rPr/>
              <w:t>—</w:t>
            </w:r>
          </w:p>
        </w:tc>
        <w:tc>
          <w:tcPr>
            <w:tcW w:w="152" w:type="dxa"/>
            <w:tcBorders/>
            <w:vAlign w:val="center"/>
          </w:tcPr>
          <w:p>
            <w:pPr>
              <w:pStyle w:val="TableContents"/>
              <w:bidi w:val="0"/>
              <w:spacing w:before="0" w:after="283"/>
              <w:ind w:left="0" w:right="0" w:hanging="180"/>
              <w:jc w:val="left"/>
              <w:rPr/>
            </w:pPr>
            <w:r>
              <w:rPr/>
              <w:t> </w:t>
            </w:r>
          </w:p>
        </w:tc>
      </w:tr>
      <w:tr>
        <w:trPr/>
        <w:tc>
          <w:tcPr>
            <w:tcW w:w="70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Interest expense </w:t>
            </w:r>
            <w:r>
              <w:rPr>
                <w:rFonts w:ascii="Times New Roman;Times;Serif" w:hAnsi="Times New Roman;Times;Serif"/>
                <w:position w:val="7"/>
                <w:sz w:val="16"/>
                <w:sz w:val="20"/>
              </w:rPr>
              <w:t>(3)</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(214</w:t>
            </w:r>
          </w:p>
        </w:tc>
        <w:tc>
          <w:tcPr>
            <w:tcW w:w="152" w:type="dxa"/>
            <w:tcBorders/>
            <w:shd w:fill="CCEEFF" w:val="clear"/>
            <w:vAlign w:val="center"/>
          </w:tcPr>
          <w:p>
            <w:pPr>
              <w:pStyle w:val="TableContents"/>
              <w:bidi w:val="0"/>
              <w:spacing w:before="0" w:after="283"/>
              <w:ind w:left="0" w:right="0" w:hanging="180"/>
              <w:jc w:val="left"/>
              <w:rPr/>
            </w:pPr>
            <w:r>
              <w:rPr/>
              <w:t>)</w:t>
            </w:r>
          </w:p>
        </w:tc>
      </w:tr>
      <w:tr>
        <w:trPr/>
        <w:tc>
          <w:tcPr>
            <w:tcW w:w="7034" w:type="dxa"/>
            <w:tcBorders/>
            <w:vAlign w:val="center"/>
          </w:tcPr>
          <w:p>
            <w:pPr>
              <w:pStyle w:val="TableContents"/>
              <w:bidi w:val="0"/>
              <w:spacing w:before="0" w:after="283"/>
              <w:jc w:val="left"/>
              <w:rPr/>
            </w:pPr>
            <w:r>
              <w:rPr/>
              <w:t>Other expense, net</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tcMar>
              <w:bottom w:w="28" w:type="dxa"/>
            </w:tcMar>
            <w:vAlign w:val="center"/>
          </w:tcPr>
          <w:p>
            <w:pPr>
              <w:pStyle w:val="TableContents"/>
              <w:bidi w:val="0"/>
              <w:spacing w:before="0" w:after="283"/>
              <w:jc w:val="right"/>
              <w:rPr/>
            </w:pPr>
            <w:r>
              <w:rPr/>
              <w:t>(5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6" w:type="dxa"/>
            <w:tcBorders>
              <w:bottom w:val="single" w:sz="12" w:space="0" w:color="000000"/>
            </w:tcBorders>
            <w:tcMar>
              <w:bottom w:w="28" w:type="dxa"/>
            </w:tcMar>
            <w:vAlign w:val="center"/>
          </w:tcPr>
          <w:p>
            <w:pPr>
              <w:pStyle w:val="TableContents"/>
              <w:bidi w:val="0"/>
              <w:spacing w:before="0" w:after="0"/>
              <w:jc w:val="right"/>
              <w:rPr/>
            </w:pPr>
            <w:r>
              <w:rPr/>
              <w:t>—</w:t>
            </w:r>
          </w:p>
        </w:tc>
        <w:tc>
          <w:tcPr>
            <w:tcW w:w="152" w:type="dxa"/>
            <w:tcBorders/>
            <w:vAlign w:val="center"/>
          </w:tcPr>
          <w:p>
            <w:pPr>
              <w:pStyle w:val="TableContents"/>
              <w:bidi w:val="0"/>
              <w:spacing w:before="0" w:after="283"/>
              <w:ind w:left="0" w:right="0" w:hanging="180"/>
              <w:jc w:val="left"/>
              <w:rPr/>
            </w:pPr>
            <w:r>
              <w:rPr/>
              <w:t> </w:t>
            </w:r>
          </w:p>
        </w:tc>
      </w:tr>
      <w:tr>
        <w:trPr/>
        <w:tc>
          <w:tcPr>
            <w:tcW w:w="7034" w:type="dxa"/>
            <w:tcBorders/>
            <w:shd w:fill="CCEEFF" w:val="clear"/>
            <w:vAlign w:val="center"/>
          </w:tcPr>
          <w:p>
            <w:pPr>
              <w:pStyle w:val="TableContents"/>
              <w:bidi w:val="0"/>
              <w:spacing w:before="0" w:after="283"/>
              <w:jc w:val="left"/>
              <w:rPr/>
            </w:pPr>
            <w:r>
              <w:rPr/>
              <w:t>Total other income (expense), net</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shd w:fill="CCEEFF" w:val="clear"/>
            <w:tcMar>
              <w:bottom w:w="28" w:type="dxa"/>
            </w:tcMar>
            <w:vAlign w:val="center"/>
          </w:tcPr>
          <w:p>
            <w:pPr>
              <w:pStyle w:val="TableContents"/>
              <w:bidi w:val="0"/>
              <w:spacing w:before="0" w:after="283"/>
              <w:jc w:val="right"/>
              <w:rPr/>
            </w:pPr>
            <w:r>
              <w:rPr/>
              <w:t>4,087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6" w:type="dxa"/>
            <w:tcBorders>
              <w:bottom w:val="single" w:sz="12" w:space="0" w:color="000000"/>
            </w:tcBorders>
            <w:shd w:fill="CCEEFF" w:val="clear"/>
            <w:tcMar>
              <w:bottom w:w="28" w:type="dxa"/>
            </w:tcMar>
            <w:vAlign w:val="center"/>
          </w:tcPr>
          <w:p>
            <w:pPr>
              <w:pStyle w:val="TableContents"/>
              <w:bidi w:val="0"/>
              <w:spacing w:before="0" w:after="283"/>
              <w:jc w:val="right"/>
              <w:rPr/>
            </w:pPr>
            <w:r>
              <w:rPr/>
              <w:t>(214</w:t>
            </w:r>
          </w:p>
        </w:tc>
        <w:tc>
          <w:tcPr>
            <w:tcW w:w="152" w:type="dxa"/>
            <w:tcBorders/>
            <w:shd w:fill="CCEEFF" w:val="clear"/>
            <w:vAlign w:val="center"/>
          </w:tcPr>
          <w:p>
            <w:pPr>
              <w:pStyle w:val="TableContents"/>
              <w:bidi w:val="0"/>
              <w:spacing w:before="0" w:after="283"/>
              <w:ind w:left="0" w:right="0" w:hanging="180"/>
              <w:jc w:val="left"/>
              <w:rPr/>
            </w:pPr>
            <w:r>
              <w:rPr/>
              <w:t>)</w:t>
            </w:r>
          </w:p>
        </w:tc>
      </w:tr>
      <w:tr>
        <w:trPr/>
        <w:tc>
          <w:tcPr>
            <w:tcW w:w="7034"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(20,999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(7,077</w:t>
            </w:r>
          </w:p>
        </w:tc>
        <w:tc>
          <w:tcPr>
            <w:tcW w:w="152" w:type="dxa"/>
            <w:tcBorders/>
            <w:vAlign w:val="center"/>
          </w:tcPr>
          <w:p>
            <w:pPr>
              <w:pStyle w:val="TableContents"/>
              <w:bidi w:val="0"/>
              <w:spacing w:before="0" w:after="283"/>
              <w:ind w:left="0" w:right="0" w:hanging="180"/>
              <w:jc w:val="left"/>
              <w:rPr/>
            </w:pPr>
            <w:r>
              <w:rPr/>
              <w:t>)</w:t>
            </w:r>
          </w:p>
        </w:tc>
      </w:tr>
      <w:tr>
        <w:trPr/>
        <w:tc>
          <w:tcPr>
            <w:tcW w:w="7034" w:type="dxa"/>
            <w:tcBorders/>
            <w:shd w:fill="CCEEFF" w:val="clear"/>
            <w:vAlign w:val="center"/>
          </w:tcPr>
          <w:p>
            <w:pPr>
              <w:pStyle w:val="TableContents"/>
              <w:bidi w:val="0"/>
              <w:spacing w:before="0" w:after="283"/>
              <w:jc w:val="left"/>
              <w:rPr/>
            </w:pPr>
            <w:r>
              <w:rPr/>
              <w:t>Net change in unrealized gains (losses) on marketable securities</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shd w:fill="CCEEFF" w:val="clear"/>
            <w:tcMar>
              <w:bottom w:w="28" w:type="dxa"/>
            </w:tcMar>
            <w:vAlign w:val="center"/>
          </w:tcPr>
          <w:p>
            <w:pPr>
              <w:pStyle w:val="TableContents"/>
              <w:bidi w:val="0"/>
              <w:spacing w:before="0" w:after="283"/>
              <w:jc w:val="right"/>
              <w:rPr/>
            </w:pPr>
            <w:r>
              <w:rPr/>
              <w:t>35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6"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52" w:type="dxa"/>
            <w:tcBorders/>
            <w:shd w:fill="CCEEFF" w:val="clear"/>
            <w:vAlign w:val="center"/>
          </w:tcPr>
          <w:p>
            <w:pPr>
              <w:pStyle w:val="TableContents"/>
              <w:bidi w:val="0"/>
              <w:spacing w:before="0" w:after="283"/>
              <w:ind w:left="0" w:right="0" w:hanging="180"/>
              <w:jc w:val="left"/>
              <w:rPr/>
            </w:pPr>
            <w:r>
              <w:rPr/>
              <w:t> </w:t>
            </w:r>
          </w:p>
        </w:tc>
      </w:tr>
      <w:tr>
        <w:trPr/>
        <w:tc>
          <w:tcPr>
            <w:tcW w:w="7034" w:type="dxa"/>
            <w:tcBorders/>
            <w:vAlign w:val="center"/>
          </w:tcPr>
          <w:p>
            <w:pPr>
              <w:pStyle w:val="TableContents"/>
              <w:bidi w:val="0"/>
              <w:spacing w:before="0" w:after="283"/>
              <w:jc w:val="left"/>
              <w:rPr/>
            </w:pPr>
            <w:r>
              <w:rPr/>
              <w:t>Comprehensive loss</w:t>
            </w:r>
          </w:p>
        </w:tc>
        <w:tc>
          <w:tcPr>
            <w:tcW w:w="90" w:type="dxa"/>
            <w:tcBorders/>
            <w:vAlign w:val="center"/>
          </w:tcPr>
          <w:p>
            <w:pPr>
              <w:pStyle w:val="TableContents"/>
              <w:bidi w:val="0"/>
              <w:spacing w:before="0" w:after="283"/>
              <w:jc w:val="left"/>
              <w:rPr/>
            </w:pPr>
            <w:r>
              <w:rPr/>
              <w:t> </w:t>
            </w:r>
          </w:p>
        </w:tc>
        <w:tc>
          <w:tcPr>
            <w:tcW w:w="184" w:type="dxa"/>
            <w:tcBorders>
              <w:bottom w:val="double" w:sz="10" w:space="0" w:color="000000"/>
            </w:tcBorders>
            <w:tcMar>
              <w:bottom w:w="28" w:type="dxa"/>
            </w:tcMar>
            <w:vAlign w:val="center"/>
          </w:tcPr>
          <w:p>
            <w:pPr>
              <w:pStyle w:val="TableContents"/>
              <w:bidi w:val="0"/>
              <w:spacing w:before="0" w:after="283"/>
              <w:jc w:val="left"/>
              <w:rPr/>
            </w:pPr>
            <w:r>
              <w:rPr/>
              <w:t>$</w:t>
            </w:r>
          </w:p>
        </w:tc>
        <w:tc>
          <w:tcPr>
            <w:tcW w:w="1227" w:type="dxa"/>
            <w:tcBorders>
              <w:bottom w:val="double" w:sz="10" w:space="0" w:color="000000"/>
            </w:tcBorders>
            <w:tcMar>
              <w:bottom w:w="28" w:type="dxa"/>
            </w:tcMar>
            <w:vAlign w:val="center"/>
          </w:tcPr>
          <w:p>
            <w:pPr>
              <w:pStyle w:val="TableContents"/>
              <w:bidi w:val="0"/>
              <w:spacing w:before="0" w:after="283"/>
              <w:jc w:val="right"/>
              <w:rPr/>
            </w:pPr>
            <w:r>
              <w:rPr/>
              <w:t>(20,964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7" w:type="dxa"/>
            <w:tcBorders>
              <w:bottom w:val="double" w:sz="10" w:space="0" w:color="000000"/>
            </w:tcBorders>
            <w:tcMar>
              <w:bottom w:w="28" w:type="dxa"/>
            </w:tcMar>
            <w:vAlign w:val="center"/>
          </w:tcPr>
          <w:p>
            <w:pPr>
              <w:pStyle w:val="TableContents"/>
              <w:bidi w:val="0"/>
              <w:spacing w:before="0" w:after="283"/>
              <w:jc w:val="left"/>
              <w:rPr/>
            </w:pPr>
            <w:r>
              <w:rPr/>
              <w:t>$</w:t>
            </w:r>
          </w:p>
        </w:tc>
        <w:tc>
          <w:tcPr>
            <w:tcW w:w="1116" w:type="dxa"/>
            <w:tcBorders>
              <w:bottom w:val="double" w:sz="10" w:space="0" w:color="000000"/>
            </w:tcBorders>
            <w:tcMar>
              <w:bottom w:w="28" w:type="dxa"/>
            </w:tcMar>
            <w:vAlign w:val="center"/>
          </w:tcPr>
          <w:p>
            <w:pPr>
              <w:pStyle w:val="TableContents"/>
              <w:bidi w:val="0"/>
              <w:spacing w:before="0" w:after="283"/>
              <w:jc w:val="right"/>
              <w:rPr/>
            </w:pPr>
            <w:r>
              <w:rPr/>
              <w:t>(7,077</w:t>
            </w:r>
          </w:p>
        </w:tc>
        <w:tc>
          <w:tcPr>
            <w:tcW w:w="152" w:type="dxa"/>
            <w:tcBorders/>
            <w:vAlign w:val="center"/>
          </w:tcPr>
          <w:p>
            <w:pPr>
              <w:pStyle w:val="TableContents"/>
              <w:bidi w:val="0"/>
              <w:spacing w:before="0" w:after="283"/>
              <w:ind w:left="0" w:right="0" w:hanging="180"/>
              <w:jc w:val="left"/>
              <w:rPr/>
            </w:pPr>
            <w:r>
              <w:rPr/>
              <w:t>)</w:t>
            </w:r>
          </w:p>
        </w:tc>
      </w:tr>
      <w:tr>
        <w:trPr/>
        <w:tc>
          <w:tcPr>
            <w:tcW w:w="703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 </w:t>
            </w:r>
          </w:p>
        </w:tc>
        <w:tc>
          <w:tcPr>
            <w:tcW w:w="152" w:type="dxa"/>
            <w:tcBorders/>
            <w:shd w:fill="CCEEFF" w:val="clear"/>
            <w:vAlign w:val="center"/>
          </w:tcPr>
          <w:p>
            <w:pPr>
              <w:pStyle w:val="TableContents"/>
              <w:bidi w:val="0"/>
              <w:spacing w:before="0" w:after="283"/>
              <w:ind w:left="0" w:right="0" w:hanging="180"/>
              <w:jc w:val="left"/>
              <w:rPr/>
            </w:pPr>
            <w:r>
              <w:rPr/>
              <w:t> </w:t>
            </w:r>
          </w:p>
        </w:tc>
      </w:tr>
      <w:tr>
        <w:trPr/>
        <w:tc>
          <w:tcPr>
            <w:tcW w:w="7034" w:type="dxa"/>
            <w:tcBorders/>
            <w:vAlign w:val="center"/>
          </w:tcPr>
          <w:p>
            <w:pPr>
              <w:pStyle w:val="TableContents"/>
              <w:bidi w:val="0"/>
              <w:spacing w:before="0" w:after="283"/>
              <w:jc w:val="left"/>
              <w:rPr/>
            </w:pPr>
            <w:r>
              <w:rPr/>
              <w:t>Net loss per share attributable to common stockholders, basic and diluted</w:t>
            </w:r>
          </w:p>
        </w:tc>
        <w:tc>
          <w:tcPr>
            <w:tcW w:w="90" w:type="dxa"/>
            <w:tcBorders/>
            <w:vAlign w:val="center"/>
          </w:tcPr>
          <w:p>
            <w:pPr>
              <w:pStyle w:val="TableContents"/>
              <w:bidi w:val="0"/>
              <w:spacing w:before="0" w:after="283"/>
              <w:jc w:val="left"/>
              <w:rPr/>
            </w:pPr>
            <w:r>
              <w:rPr/>
              <w:t> </w:t>
            </w:r>
          </w:p>
        </w:tc>
        <w:tc>
          <w:tcPr>
            <w:tcW w:w="184" w:type="dxa"/>
            <w:tcBorders>
              <w:bottom w:val="double" w:sz="10" w:space="0" w:color="000000"/>
            </w:tcBorders>
            <w:tcMar>
              <w:bottom w:w="28" w:type="dxa"/>
            </w:tcMar>
            <w:vAlign w:val="center"/>
          </w:tcPr>
          <w:p>
            <w:pPr>
              <w:pStyle w:val="TableContents"/>
              <w:bidi w:val="0"/>
              <w:spacing w:before="0" w:after="283"/>
              <w:jc w:val="left"/>
              <w:rPr/>
            </w:pPr>
            <w:r>
              <w:rPr/>
              <w:t>$</w:t>
            </w:r>
          </w:p>
        </w:tc>
        <w:tc>
          <w:tcPr>
            <w:tcW w:w="1227" w:type="dxa"/>
            <w:tcBorders>
              <w:bottom w:val="double" w:sz="10" w:space="0" w:color="000000"/>
            </w:tcBorders>
            <w:tcMar>
              <w:bottom w:w="28" w:type="dxa"/>
            </w:tcMar>
            <w:vAlign w:val="center"/>
          </w:tcPr>
          <w:p>
            <w:pPr>
              <w:pStyle w:val="TableContents"/>
              <w:bidi w:val="0"/>
              <w:spacing w:before="0" w:after="283"/>
              <w:jc w:val="right"/>
              <w:rPr/>
            </w:pPr>
            <w:r>
              <w:rPr/>
              <w:t>(0.40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7" w:type="dxa"/>
            <w:tcBorders>
              <w:bottom w:val="double" w:sz="10" w:space="0" w:color="000000"/>
            </w:tcBorders>
            <w:tcMar>
              <w:bottom w:w="28" w:type="dxa"/>
            </w:tcMar>
            <w:vAlign w:val="center"/>
          </w:tcPr>
          <w:p>
            <w:pPr>
              <w:pStyle w:val="TableContents"/>
              <w:bidi w:val="0"/>
              <w:spacing w:before="0" w:after="283"/>
              <w:jc w:val="left"/>
              <w:rPr/>
            </w:pPr>
            <w:r>
              <w:rPr/>
              <w:t>$</w:t>
            </w:r>
          </w:p>
        </w:tc>
        <w:tc>
          <w:tcPr>
            <w:tcW w:w="1116" w:type="dxa"/>
            <w:tcBorders>
              <w:bottom w:val="double" w:sz="10" w:space="0" w:color="000000"/>
            </w:tcBorders>
            <w:tcMar>
              <w:bottom w:w="28" w:type="dxa"/>
            </w:tcMar>
            <w:vAlign w:val="center"/>
          </w:tcPr>
          <w:p>
            <w:pPr>
              <w:pStyle w:val="TableContents"/>
              <w:bidi w:val="0"/>
              <w:spacing w:before="0" w:after="283"/>
              <w:jc w:val="right"/>
              <w:rPr/>
            </w:pPr>
            <w:r>
              <w:rPr/>
              <w:t>(2.21</w:t>
            </w:r>
          </w:p>
        </w:tc>
        <w:tc>
          <w:tcPr>
            <w:tcW w:w="152" w:type="dxa"/>
            <w:tcBorders/>
            <w:vAlign w:val="center"/>
          </w:tcPr>
          <w:p>
            <w:pPr>
              <w:pStyle w:val="TableContents"/>
              <w:bidi w:val="0"/>
              <w:spacing w:before="0" w:after="283"/>
              <w:ind w:left="0" w:right="0" w:hanging="180"/>
              <w:jc w:val="left"/>
              <w:rPr/>
            </w:pPr>
            <w:r>
              <w:rPr/>
              <w:t>)</w:t>
            </w:r>
          </w:p>
        </w:tc>
      </w:tr>
      <w:tr>
        <w:trPr/>
        <w:tc>
          <w:tcPr>
            <w:tcW w:w="7034" w:type="dxa"/>
            <w:tcBorders/>
            <w:shd w:fill="CCEEFF" w:val="clear"/>
            <w:vAlign w:val="center"/>
          </w:tcPr>
          <w:p>
            <w:pPr>
              <w:pStyle w:val="TableContents"/>
              <w:bidi w:val="0"/>
              <w:spacing w:before="0" w:after="283"/>
              <w:jc w:val="left"/>
              <w:rPr/>
            </w:pPr>
            <w:r>
              <w:rPr/>
              <w:t>Net loss per share attributable to Series B non-voting convertible preferred stockholders, basic and diluted</w:t>
            </w:r>
          </w:p>
        </w:tc>
        <w:tc>
          <w:tcPr>
            <w:tcW w:w="90"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7" w:type="dxa"/>
            <w:tcBorders>
              <w:bottom w:val="double" w:sz="10" w:space="0" w:color="000000"/>
            </w:tcBorders>
            <w:shd w:fill="CCEEFF" w:val="clear"/>
            <w:tcMar>
              <w:bottom w:w="28" w:type="dxa"/>
            </w:tcMar>
            <w:vAlign w:val="center"/>
          </w:tcPr>
          <w:p>
            <w:pPr>
              <w:pStyle w:val="TableContents"/>
              <w:bidi w:val="0"/>
              <w:spacing w:before="0" w:after="283"/>
              <w:jc w:val="right"/>
              <w:rPr/>
            </w:pPr>
            <w:r>
              <w:rPr/>
              <w:t>(32.95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16"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52" w:type="dxa"/>
            <w:tcBorders/>
            <w:shd w:fill="CCEEFF" w:val="clear"/>
            <w:vAlign w:val="center"/>
          </w:tcPr>
          <w:p>
            <w:pPr>
              <w:pStyle w:val="TableContents"/>
              <w:bidi w:val="0"/>
              <w:spacing w:before="0" w:after="283"/>
              <w:ind w:left="0" w:right="0" w:hanging="180"/>
              <w:jc w:val="left"/>
              <w:rPr/>
            </w:pPr>
            <w:r>
              <w:rPr/>
              <w:t> </w:t>
            </w:r>
          </w:p>
        </w:tc>
      </w:tr>
      <w:tr>
        <w:trPr/>
        <w:tc>
          <w:tcPr>
            <w:tcW w:w="703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 </w:t>
            </w:r>
          </w:p>
        </w:tc>
        <w:tc>
          <w:tcPr>
            <w:tcW w:w="152" w:type="dxa"/>
            <w:tcBorders/>
            <w:vAlign w:val="center"/>
          </w:tcPr>
          <w:p>
            <w:pPr>
              <w:pStyle w:val="TableContents"/>
              <w:bidi w:val="0"/>
              <w:spacing w:before="0" w:after="283"/>
              <w:ind w:left="0" w:right="0" w:hanging="180"/>
              <w:jc w:val="left"/>
              <w:rPr/>
            </w:pPr>
            <w:r>
              <w:rPr/>
              <w:t> </w:t>
            </w:r>
          </w:p>
        </w:tc>
      </w:tr>
      <w:tr>
        <w:trPr/>
        <w:tc>
          <w:tcPr>
            <w:tcW w:w="7034" w:type="dxa"/>
            <w:tcBorders/>
            <w:shd w:fill="CCEEFF" w:val="clear"/>
            <w:vAlign w:val="center"/>
          </w:tcPr>
          <w:p>
            <w:pPr>
              <w:pStyle w:val="TableContents"/>
              <w:bidi w:val="0"/>
              <w:spacing w:before="0" w:after="283"/>
              <w:jc w:val="left"/>
              <w:rPr/>
            </w:pPr>
            <w:r>
              <w:rPr/>
              <w:t>Weighted-average shares used in computing net loss per share attributable to common stockholders, basic and diluted</w:t>
            </w:r>
          </w:p>
        </w:tc>
        <w:tc>
          <w:tcPr>
            <w:tcW w:w="90"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double" w:sz="10" w:space="0" w:color="000000"/>
            </w:tcBorders>
            <w:shd w:fill="CCEEFF" w:val="clear"/>
            <w:tcMar>
              <w:bottom w:w="28" w:type="dxa"/>
            </w:tcMar>
            <w:vAlign w:val="center"/>
          </w:tcPr>
          <w:p>
            <w:pPr>
              <w:pStyle w:val="TableContents"/>
              <w:bidi w:val="0"/>
              <w:spacing w:before="0" w:after="283"/>
              <w:jc w:val="right"/>
              <w:rPr/>
            </w:pPr>
            <w:r>
              <w:rPr/>
              <w:t>41,679,560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16" w:type="dxa"/>
            <w:tcBorders>
              <w:bottom w:val="double" w:sz="10" w:space="0" w:color="000000"/>
            </w:tcBorders>
            <w:shd w:fill="CCEEFF" w:val="clear"/>
            <w:tcMar>
              <w:bottom w:w="28" w:type="dxa"/>
            </w:tcMar>
            <w:vAlign w:val="center"/>
          </w:tcPr>
          <w:p>
            <w:pPr>
              <w:pStyle w:val="TableContents"/>
              <w:bidi w:val="0"/>
              <w:spacing w:before="0" w:after="283"/>
              <w:jc w:val="right"/>
              <w:rPr/>
            </w:pPr>
            <w:r>
              <w:rPr/>
              <w:t>3,197,977</w:t>
            </w:r>
          </w:p>
        </w:tc>
        <w:tc>
          <w:tcPr>
            <w:tcW w:w="152" w:type="dxa"/>
            <w:tcBorders/>
            <w:shd w:fill="CCEEFF" w:val="clear"/>
            <w:vAlign w:val="center"/>
          </w:tcPr>
          <w:p>
            <w:pPr>
              <w:pStyle w:val="TableContents"/>
              <w:bidi w:val="0"/>
              <w:spacing w:before="0" w:after="283"/>
              <w:ind w:left="0" w:right="0" w:hanging="180"/>
              <w:jc w:val="left"/>
              <w:rPr/>
            </w:pPr>
            <w:r>
              <w:rPr/>
              <w:t> </w:t>
            </w:r>
          </w:p>
        </w:tc>
      </w:tr>
      <w:tr>
        <w:trPr/>
        <w:tc>
          <w:tcPr>
            <w:tcW w:w="7034" w:type="dxa"/>
            <w:tcBorders/>
            <w:vAlign w:val="center"/>
          </w:tcPr>
          <w:p>
            <w:pPr>
              <w:pStyle w:val="TableContents"/>
              <w:bidi w:val="0"/>
              <w:spacing w:before="0" w:after="283"/>
              <w:jc w:val="left"/>
              <w:rPr/>
            </w:pPr>
            <w:r>
              <w:rPr/>
              <w:t>Weighted-average shares used in computing net loss per share attributable to Series B non-voting convertible preferred stockholders, basic and diluted</w:t>
            </w:r>
          </w:p>
        </w:tc>
        <w:tc>
          <w:tcPr>
            <w:tcW w:w="90" w:type="dxa"/>
            <w:tcBorders/>
            <w:vAlign w:val="center"/>
          </w:tcPr>
          <w:p>
            <w:pPr>
              <w:pStyle w:val="TableContents"/>
              <w:bidi w:val="0"/>
              <w:spacing w:before="0" w:after="283"/>
              <w:jc w:val="left"/>
              <w:rPr/>
            </w:pPr>
            <w:r>
              <w:rPr/>
              <w:t> </w:t>
            </w:r>
          </w:p>
        </w:tc>
        <w:tc>
          <w:tcPr>
            <w:tcW w:w="184" w:type="dxa"/>
            <w:tcBorders>
              <w:bottom w:val="double" w:sz="10" w:space="0" w:color="000000"/>
            </w:tcBorders>
            <w:tcMar>
              <w:bottom w:w="28" w:type="dxa"/>
            </w:tcMar>
            <w:vAlign w:val="center"/>
          </w:tcPr>
          <w:p>
            <w:pPr>
              <w:pStyle w:val="TableContents"/>
              <w:bidi w:val="0"/>
              <w:spacing w:before="0" w:after="283"/>
              <w:jc w:val="left"/>
              <w:rPr/>
            </w:pPr>
            <w:r>
              <w:rPr/>
              <w:t> </w:t>
            </w:r>
          </w:p>
        </w:tc>
        <w:tc>
          <w:tcPr>
            <w:tcW w:w="1227" w:type="dxa"/>
            <w:tcBorders>
              <w:bottom w:val="double" w:sz="10" w:space="0" w:color="000000"/>
            </w:tcBorders>
            <w:tcMar>
              <w:bottom w:w="28" w:type="dxa"/>
            </w:tcMar>
            <w:vAlign w:val="center"/>
          </w:tcPr>
          <w:p>
            <w:pPr>
              <w:pStyle w:val="TableContents"/>
              <w:bidi w:val="0"/>
              <w:spacing w:before="0" w:after="283"/>
              <w:jc w:val="right"/>
              <w:rPr/>
            </w:pPr>
            <w:r>
              <w:rPr/>
              <w:t>137,138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7" w:type="dxa"/>
            <w:tcBorders>
              <w:bottom w:val="double" w:sz="10" w:space="0" w:color="000000"/>
            </w:tcBorders>
            <w:tcMar>
              <w:bottom w:w="28" w:type="dxa"/>
            </w:tcMar>
            <w:vAlign w:val="center"/>
          </w:tcPr>
          <w:p>
            <w:pPr>
              <w:pStyle w:val="TableContents"/>
              <w:bidi w:val="0"/>
              <w:spacing w:before="0" w:after="283"/>
              <w:jc w:val="left"/>
              <w:rPr/>
            </w:pPr>
            <w:r>
              <w:rPr/>
              <w:t> </w:t>
            </w:r>
          </w:p>
        </w:tc>
        <w:tc>
          <w:tcPr>
            <w:tcW w:w="1116" w:type="dxa"/>
            <w:tcBorders>
              <w:bottom w:val="double" w:sz="10" w:space="0" w:color="000000"/>
            </w:tcBorders>
            <w:tcMar>
              <w:bottom w:w="28" w:type="dxa"/>
            </w:tcMar>
            <w:vAlign w:val="center"/>
          </w:tcPr>
          <w:p>
            <w:pPr>
              <w:pStyle w:val="TableContents"/>
              <w:bidi w:val="0"/>
              <w:spacing w:before="0" w:after="0"/>
              <w:jc w:val="right"/>
              <w:rPr/>
            </w:pPr>
            <w:r>
              <w:rPr/>
              <w:t>—</w:t>
            </w:r>
          </w:p>
        </w:tc>
        <w:tc>
          <w:tcPr>
            <w:tcW w:w="152" w:type="dxa"/>
            <w:tcBorders/>
            <w:vAlign w:val="center"/>
          </w:tcPr>
          <w:p>
            <w:pPr>
              <w:pStyle w:val="TableContents"/>
              <w:bidi w:val="0"/>
              <w:spacing w:before="0" w:after="283"/>
              <w:jc w:val="left"/>
              <w:rPr/>
            </w:pPr>
            <w:r>
              <w:rPr/>
              <w:t> </w:t>
            </w:r>
          </w:p>
        </w:tc>
      </w:tr>
    </w:tbl>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amounts of $2,122 for the three months ended March 31, 2025 and $5,051 for the period from February 6, 2024 (inception) to March 31,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amounts of $110 for the three months ended March 31, 2025 and $848 for the period from February 6, 2024 (inception) to March 31,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amounts of nil for the three months ended March 31, 2025 and $214 for the period from February 6, 2024 (inception) to March 31, 2024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ORUKA THERAPEUTICS, INC.</w:t>
        <w:br/>
        <w:t>CONDENSED CONSOLIDATED STATEMENTS OF CONVERTIBLE PREFERRED STOCK AND STOCKHOLDERS’ EQUITY (DEFICIT)</w:t>
        <w:br/>
        <w:t>(UNAUDITED)</w:t>
        <w:br/>
        <w:t>(In thousands, except share data)</w:t>
      </w:r>
    </w:p>
    <w:p>
      <w:pPr>
        <w:pStyle w:val="TextBody"/>
        <w:bidi w:val="0"/>
        <w:spacing w:before="0" w:after="0"/>
        <w:ind w:left="0" w:right="0" w:hanging="0"/>
        <w:jc w:val="left"/>
        <w:rPr>
          <w:caps w:val="false"/>
          <w:smallCaps w:val="false"/>
        </w:rPr>
      </w:pPr>
      <w:r>
        <w:rPr>
          <w:caps w:val="false"/>
          <w:smallCaps w:val="false"/>
        </w:rPr>
        <w:t> </w:t>
      </w:r>
    </w:p>
    <w:tbl>
      <w:tblPr>
        <w:tblW w:w="12255" w:type="dxa"/>
        <w:jc w:val="left"/>
        <w:tblInd w:w="0" w:type="dxa"/>
        <w:tblLayout w:type="fixed"/>
        <w:tblCellMar>
          <w:top w:w="0" w:type="dxa"/>
          <w:left w:w="0" w:type="dxa"/>
          <w:bottom w:w="0" w:type="dxa"/>
          <w:right w:w="0" w:type="dxa"/>
        </w:tblCellMar>
      </w:tblPr>
      <w:tblGrid>
        <w:gridCol w:w="1370"/>
        <w:gridCol w:w="90"/>
        <w:gridCol w:w="90"/>
        <w:gridCol w:w="830"/>
        <w:gridCol w:w="90"/>
        <w:gridCol w:w="90"/>
        <w:gridCol w:w="199"/>
        <w:gridCol w:w="691"/>
        <w:gridCol w:w="90"/>
        <w:gridCol w:w="90"/>
        <w:gridCol w:w="90"/>
        <w:gridCol w:w="1130"/>
        <w:gridCol w:w="90"/>
        <w:gridCol w:w="90"/>
        <w:gridCol w:w="328"/>
        <w:gridCol w:w="562"/>
        <w:gridCol w:w="90"/>
        <w:gridCol w:w="90"/>
        <w:gridCol w:w="170"/>
        <w:gridCol w:w="830"/>
        <w:gridCol w:w="90"/>
        <w:gridCol w:w="90"/>
        <w:gridCol w:w="521"/>
        <w:gridCol w:w="1119"/>
        <w:gridCol w:w="125"/>
        <w:gridCol w:w="90"/>
        <w:gridCol w:w="221"/>
        <w:gridCol w:w="1179"/>
        <w:gridCol w:w="125"/>
        <w:gridCol w:w="90"/>
        <w:gridCol w:w="232"/>
        <w:gridCol w:w="1138"/>
        <w:gridCol w:w="135"/>
      </w:tblGrid>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Series B</w:t>
              <w:br/>
              <w:t>Non-Voting</w:t>
              <w:br/>
              <w:t>Convertible</w:t>
              <w:br/>
              <w:t>Preferred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Paid-In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b/>
              </w:rPr>
            </w:pPr>
            <w:r>
              <w:rPr>
                <w:b/>
              </w:rPr>
              <w:t>Accumulated Other Comprehensive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b/>
              </w:rPr>
            </w:pPr>
            <w:r>
              <w:rPr>
                <w:b/>
              </w:rPr>
              <w:t>Accumulated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Total</w:t>
              <w:br/>
              <w:t>Stockholders’</w:t>
            </w:r>
          </w:p>
        </w:tc>
        <w:tc>
          <w:tcPr>
            <w:tcW w:w="13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Gain (Loss)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b/>
              </w:rPr>
            </w:pPr>
            <w:r>
              <w:rPr>
                <w:b/>
              </w:rPr>
              <w:t>Balances as of December 31,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137,138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691" w:type="dxa"/>
            <w:tcBorders/>
            <w:shd w:fill="CCEEFF" w:val="clear"/>
            <w:vAlign w:val="center"/>
          </w:tcPr>
          <w:p>
            <w:pPr>
              <w:pStyle w:val="TableContents"/>
              <w:bidi w:val="0"/>
              <w:spacing w:before="0" w:after="283"/>
              <w:jc w:val="right"/>
              <w:rPr/>
            </w:pPr>
            <w:r>
              <w:rPr/>
              <w:t>2,931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37,440,510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562" w:type="dxa"/>
            <w:tcBorders/>
            <w:shd w:fill="CCEEFF" w:val="clear"/>
            <w:vAlign w:val="center"/>
          </w:tcPr>
          <w:p>
            <w:pPr>
              <w:pStyle w:val="TableContents"/>
              <w:bidi w:val="0"/>
              <w:spacing w:before="0" w:after="283"/>
              <w:jc w:val="right"/>
              <w:rPr/>
            </w:pPr>
            <w:r>
              <w:rPr/>
              <w:t>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463,018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left"/>
              <w:rPr/>
            </w:pPr>
            <w:r>
              <w:rPr/>
              <w:t>$</w:t>
            </w:r>
          </w:p>
        </w:tc>
        <w:tc>
          <w:tcPr>
            <w:tcW w:w="1119" w:type="dxa"/>
            <w:tcBorders/>
            <w:shd w:fill="CCEEFF" w:val="clear"/>
            <w:vAlign w:val="center"/>
          </w:tcPr>
          <w:p>
            <w:pPr>
              <w:pStyle w:val="TableContents"/>
              <w:bidi w:val="0"/>
              <w:spacing w:before="0" w:after="283"/>
              <w:jc w:val="right"/>
              <w:rPr/>
            </w:pPr>
            <w:r>
              <w:rPr/>
              <w:t>(41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79" w:type="dxa"/>
            <w:tcBorders/>
            <w:shd w:fill="CCEEFF" w:val="clear"/>
            <w:vAlign w:val="center"/>
          </w:tcPr>
          <w:p>
            <w:pPr>
              <w:pStyle w:val="TableContents"/>
              <w:bidi w:val="0"/>
              <w:spacing w:before="0" w:after="283"/>
              <w:jc w:val="right"/>
              <w:rPr/>
            </w:pPr>
            <w:r>
              <w:rPr/>
              <w:t>(83,724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138" w:type="dxa"/>
            <w:tcBorders/>
            <w:shd w:fill="CCEEFF" w:val="clear"/>
            <w:vAlign w:val="center"/>
          </w:tcPr>
          <w:p>
            <w:pPr>
              <w:pStyle w:val="TableContents"/>
              <w:bidi w:val="0"/>
              <w:spacing w:before="0" w:after="283"/>
              <w:jc w:val="right"/>
              <w:rPr/>
            </w:pPr>
            <w:r>
              <w:rPr/>
              <w:t>382,221</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Stock-based compensation expense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3,468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left"/>
              <w:rPr/>
            </w:pPr>
            <w:r>
              <w:rPr/>
              <w:t> </w:t>
            </w:r>
          </w:p>
        </w:tc>
        <w:tc>
          <w:tcPr>
            <w:tcW w:w="111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3,468</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Net change in unrealized gains (losses) on marketable securities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right"/>
              <w:rPr/>
            </w:pPr>
            <w:r>
              <w:rPr/>
              <w:t>35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35</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bottom w:val="single" w:sz="12" w:space="0" w:color="000000"/>
            </w:tcBorders>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bottom w:val="single" w:sz="12" w:space="0" w:color="000000"/>
            </w:tcBorders>
            <w:tcMar>
              <w:bottom w:w="28" w:type="dxa"/>
            </w:tcMar>
            <w:vAlign w:val="center"/>
          </w:tcPr>
          <w:p>
            <w:pPr>
              <w:pStyle w:val="TableContents"/>
              <w:bidi w:val="0"/>
              <w:spacing w:before="0" w:after="283"/>
              <w:jc w:val="left"/>
              <w:rPr/>
            </w:pPr>
            <w:r>
              <w:rPr/>
              <w:t> </w:t>
            </w:r>
          </w:p>
        </w:tc>
        <w:tc>
          <w:tcPr>
            <w:tcW w:w="562"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2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9"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9" w:type="dxa"/>
            <w:tcBorders>
              <w:bottom w:val="single" w:sz="12" w:space="0" w:color="000000"/>
            </w:tcBorders>
            <w:tcMar>
              <w:bottom w:w="28" w:type="dxa"/>
            </w:tcMar>
            <w:vAlign w:val="center"/>
          </w:tcPr>
          <w:p>
            <w:pPr>
              <w:pStyle w:val="TableContents"/>
              <w:bidi w:val="0"/>
              <w:spacing w:before="0" w:after="283"/>
              <w:jc w:val="right"/>
              <w:rPr/>
            </w:pPr>
            <w:r>
              <w:rPr/>
              <w:t>(20,999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3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8" w:type="dxa"/>
            <w:tcBorders>
              <w:bottom w:val="single" w:sz="12" w:space="0" w:color="000000"/>
            </w:tcBorders>
            <w:tcMar>
              <w:bottom w:w="28" w:type="dxa"/>
            </w:tcMar>
            <w:vAlign w:val="center"/>
          </w:tcPr>
          <w:p>
            <w:pPr>
              <w:pStyle w:val="TableContents"/>
              <w:bidi w:val="0"/>
              <w:spacing w:before="0" w:after="283"/>
              <w:jc w:val="right"/>
              <w:rPr/>
            </w:pPr>
            <w:r>
              <w:rPr/>
              <w:t>(20,999</w:t>
            </w:r>
          </w:p>
        </w:tc>
        <w:tc>
          <w:tcPr>
            <w:tcW w:w="135" w:type="dxa"/>
            <w:tcBorders/>
            <w:vAlign w:val="center"/>
          </w:tcPr>
          <w:p>
            <w:pPr>
              <w:pStyle w:val="TableContents"/>
              <w:bidi w:val="0"/>
              <w:spacing w:before="0" w:after="283"/>
              <w:ind w:left="0" w:right="0" w:hanging="180"/>
              <w:jc w:val="left"/>
              <w:rPr/>
            </w:pPr>
            <w:r>
              <w:rPr/>
              <w:t>)</w:t>
            </w:r>
          </w:p>
        </w:tc>
      </w:tr>
      <w:tr>
        <w:trPr/>
        <w:tc>
          <w:tcPr>
            <w:tcW w:w="1370" w:type="dxa"/>
            <w:tcBorders/>
            <w:shd w:fill="CCEEFF" w:val="clear"/>
            <w:vAlign w:val="center"/>
          </w:tcPr>
          <w:p>
            <w:pPr>
              <w:pStyle w:val="TableContents"/>
              <w:bidi w:val="0"/>
              <w:spacing w:before="0" w:after="283"/>
              <w:jc w:val="left"/>
              <w:rPr>
                <w:b/>
              </w:rPr>
            </w:pPr>
            <w:r>
              <w:rPr>
                <w:b/>
              </w:rPr>
              <w:t>Balances as of March 31,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137,138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91" w:type="dxa"/>
            <w:tcBorders>
              <w:bottom w:val="double" w:sz="10" w:space="0" w:color="000000"/>
            </w:tcBorders>
            <w:shd w:fill="CCEEFF" w:val="clear"/>
            <w:tcMar>
              <w:bottom w:w="28" w:type="dxa"/>
            </w:tcMar>
            <w:vAlign w:val="center"/>
          </w:tcPr>
          <w:p>
            <w:pPr>
              <w:pStyle w:val="TableContents"/>
              <w:bidi w:val="0"/>
              <w:spacing w:before="0" w:after="283"/>
              <w:jc w:val="right"/>
              <w:rPr/>
            </w:pPr>
            <w:r>
              <w:rPr/>
              <w:t>2,931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37,440,510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62" w:type="dxa"/>
            <w:tcBorders>
              <w:bottom w:val="double" w:sz="10" w:space="0" w:color="000000"/>
            </w:tcBorders>
            <w:shd w:fill="CCEEFF" w:val="clear"/>
            <w:tcMar>
              <w:bottom w:w="28" w:type="dxa"/>
            </w:tcMar>
            <w:vAlign w:val="center"/>
          </w:tcPr>
          <w:p>
            <w:pPr>
              <w:pStyle w:val="TableContents"/>
              <w:bidi w:val="0"/>
              <w:spacing w:before="0" w:after="283"/>
              <w:jc w:val="right"/>
              <w:rPr/>
            </w:pPr>
            <w:r>
              <w:rPr/>
              <w:t>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466,486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2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19" w:type="dxa"/>
            <w:tcBorders>
              <w:bottom w:val="double" w:sz="10" w:space="0" w:color="000000"/>
            </w:tcBorders>
            <w:shd w:fill="CCEEFF" w:val="clear"/>
            <w:tcMar>
              <w:bottom w:w="28" w:type="dxa"/>
            </w:tcMar>
            <w:vAlign w:val="center"/>
          </w:tcPr>
          <w:p>
            <w:pPr>
              <w:pStyle w:val="TableContents"/>
              <w:bidi w:val="0"/>
              <w:spacing w:before="0" w:after="283"/>
              <w:jc w:val="right"/>
              <w:rPr/>
            </w:pPr>
            <w:r>
              <w:rPr/>
              <w:t>(6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9" w:type="dxa"/>
            <w:tcBorders>
              <w:bottom w:val="double" w:sz="10" w:space="0" w:color="000000"/>
            </w:tcBorders>
            <w:shd w:fill="CCEEFF" w:val="clear"/>
            <w:tcMar>
              <w:bottom w:w="28" w:type="dxa"/>
            </w:tcMar>
            <w:vAlign w:val="center"/>
          </w:tcPr>
          <w:p>
            <w:pPr>
              <w:pStyle w:val="TableContents"/>
              <w:bidi w:val="0"/>
              <w:spacing w:before="0" w:after="283"/>
              <w:jc w:val="right"/>
              <w:rPr/>
            </w:pPr>
            <w:r>
              <w:rPr/>
              <w:t>(104,723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3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8" w:type="dxa"/>
            <w:tcBorders>
              <w:bottom w:val="double" w:sz="10" w:space="0" w:color="000000"/>
            </w:tcBorders>
            <w:shd w:fill="CCEEFF" w:val="clear"/>
            <w:tcMar>
              <w:bottom w:w="28" w:type="dxa"/>
            </w:tcMar>
            <w:vAlign w:val="center"/>
          </w:tcPr>
          <w:p>
            <w:pPr>
              <w:pStyle w:val="TableContents"/>
              <w:bidi w:val="0"/>
              <w:spacing w:before="0" w:after="283"/>
              <w:jc w:val="right"/>
              <w:rPr/>
            </w:pPr>
            <w:r>
              <w:rPr/>
              <w:t>364,725</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13985" w:type="dxa"/>
        <w:jc w:val="left"/>
        <w:tblInd w:w="0" w:type="dxa"/>
        <w:tblLayout w:type="fixed"/>
        <w:tblCellMar>
          <w:top w:w="0" w:type="dxa"/>
          <w:left w:w="0" w:type="dxa"/>
          <w:bottom w:w="0" w:type="dxa"/>
          <w:right w:w="0" w:type="dxa"/>
        </w:tblCellMar>
      </w:tblPr>
      <w:tblGrid>
        <w:gridCol w:w="1370"/>
        <w:gridCol w:w="90"/>
        <w:gridCol w:w="90"/>
        <w:gridCol w:w="1130"/>
        <w:gridCol w:w="90"/>
        <w:gridCol w:w="90"/>
        <w:gridCol w:w="230"/>
        <w:gridCol w:w="660"/>
        <w:gridCol w:w="90"/>
        <w:gridCol w:w="90"/>
        <w:gridCol w:w="257"/>
        <w:gridCol w:w="483"/>
        <w:gridCol w:w="110"/>
        <w:gridCol w:w="110"/>
        <w:gridCol w:w="487"/>
        <w:gridCol w:w="403"/>
        <w:gridCol w:w="90"/>
        <w:gridCol w:w="90"/>
        <w:gridCol w:w="90"/>
        <w:gridCol w:w="1010"/>
        <w:gridCol w:w="90"/>
        <w:gridCol w:w="90"/>
        <w:gridCol w:w="328"/>
        <w:gridCol w:w="562"/>
        <w:gridCol w:w="90"/>
        <w:gridCol w:w="90"/>
        <w:gridCol w:w="351"/>
        <w:gridCol w:w="599"/>
        <w:gridCol w:w="125"/>
        <w:gridCol w:w="90"/>
        <w:gridCol w:w="606"/>
        <w:gridCol w:w="1034"/>
        <w:gridCol w:w="90"/>
        <w:gridCol w:w="90"/>
        <w:gridCol w:w="236"/>
        <w:gridCol w:w="924"/>
        <w:gridCol w:w="125"/>
        <w:gridCol w:w="90"/>
        <w:gridCol w:w="233"/>
        <w:gridCol w:w="912"/>
        <w:gridCol w:w="170"/>
      </w:tblGrid>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Series A</w:t>
              <w:br/>
              <w:t>Convertible Preferred Stock</w:t>
            </w:r>
          </w:p>
        </w:tc>
        <w:tc>
          <w:tcPr>
            <w:tcW w:w="90" w:type="dxa"/>
            <w:tcBorders/>
            <w:vAlign w:val="center"/>
          </w:tcPr>
          <w:p>
            <w:pPr>
              <w:pStyle w:val="TableContents"/>
              <w:bidi w:val="0"/>
              <w:spacing w:before="0" w:after="283"/>
              <w:jc w:val="left"/>
              <w:rPr/>
            </w:pPr>
            <w:r>
              <w:rPr/>
              <w:t> </w:t>
            </w:r>
          </w:p>
        </w:tc>
        <w:tc>
          <w:tcPr>
            <w:tcW w:w="90" w:type="dxa"/>
            <w:tcBorders>
              <w:left w:val="single" w:sz="12" w:space="0" w:color="000000"/>
            </w:tcBorders>
            <w:tcMar>
              <w:left w:w="28" w:type="dxa"/>
            </w:tcMar>
            <w:vAlign w:val="center"/>
          </w:tcPr>
          <w:p>
            <w:pPr>
              <w:pStyle w:val="TableContents"/>
              <w:bidi w:val="0"/>
              <w:spacing w:before="0" w:after="283"/>
              <w:jc w:val="left"/>
              <w:rPr/>
            </w:pPr>
            <w:r>
              <w:rPr/>
              <w:t> </w:t>
            </w:r>
          </w:p>
        </w:tc>
        <w:tc>
          <w:tcPr>
            <w:tcW w:w="185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Series B Non-Voting</w:t>
              <w:br/>
              <w:t>Convertible Preferred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Paid-In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b/>
              </w:rPr>
            </w:pPr>
            <w:r>
              <w:rPr>
                <w:b/>
              </w:rPr>
              <w:t>Accumulated Other Comprehensive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Total</w:t>
              <w:br/>
              <w:t>Stockholders</w:t>
            </w:r>
            <w:r>
              <w:rPr>
                <w:rFonts w:ascii="Times New Roman;Times;Serif" w:hAnsi="Times New Roman;Times;Serif"/>
                <w:b w:val="false"/>
                <w:i w:val="false"/>
                <w:caps w:val="false"/>
                <w:smallCaps w:val="false"/>
                <w:sz w:val="20"/>
              </w:rPr>
              <w:t>’</w:t>
            </w:r>
          </w:p>
        </w:tc>
        <w:tc>
          <w:tcPr>
            <w:tcW w:w="170"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left w:val="single" w:sz="12" w:space="0" w:color="000000"/>
            </w:tcBorders>
            <w:tcMar>
              <w:left w:w="28" w:type="dxa"/>
            </w:tcMar>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Gain (Loss)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70"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b/>
              </w:rPr>
            </w:pPr>
            <w:r>
              <w:rPr>
                <w:b/>
              </w:rPr>
              <w:t>Balances as of February 6, 2024 (Inception)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66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87" w:type="dxa"/>
            <w:tcBorders/>
            <w:shd w:fill="CCEEFF" w:val="clear"/>
            <w:vAlign w:val="center"/>
          </w:tcPr>
          <w:p>
            <w:pPr>
              <w:pStyle w:val="TableContents"/>
              <w:bidi w:val="0"/>
              <w:spacing w:before="0" w:after="283"/>
              <w:jc w:val="left"/>
              <w:rPr/>
            </w:pPr>
            <w:r>
              <w:rPr/>
              <w:t>$</w:t>
            </w:r>
          </w:p>
        </w:tc>
        <w:tc>
          <w:tcPr>
            <w:tcW w:w="403"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3,197,975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562" w:type="dxa"/>
            <w:tcBorders/>
            <w:shd w:fill="CCEEFF" w:val="clear"/>
            <w:vAlign w:val="center"/>
          </w:tcPr>
          <w:p>
            <w:pPr>
              <w:pStyle w:val="TableContents"/>
              <w:bidi w:val="0"/>
              <w:spacing w:before="0" w:after="283"/>
              <w:jc w:val="right"/>
              <w:rPr/>
            </w:pPr>
            <w:r>
              <w:rPr/>
              <w:t>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w:t>
            </w:r>
          </w:p>
        </w:tc>
        <w:tc>
          <w:tcPr>
            <w:tcW w:w="599" w:type="dxa"/>
            <w:tcBorders/>
            <w:shd w:fill="CCEEFF" w:val="clear"/>
            <w:vAlign w:val="center"/>
          </w:tcPr>
          <w:p>
            <w:pPr>
              <w:pStyle w:val="TableContents"/>
              <w:bidi w:val="0"/>
              <w:spacing w:before="0" w:after="283"/>
              <w:jc w:val="right"/>
              <w:rPr/>
            </w:pPr>
            <w:r>
              <w:rPr/>
              <w:t>(2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left"/>
              <w:rPr/>
            </w:pPr>
            <w:r>
              <w:rPr/>
              <w:t>$</w:t>
            </w:r>
          </w:p>
        </w:tc>
        <w:tc>
          <w:tcPr>
            <w:tcW w:w="1034"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w:t>
            </w:r>
          </w:p>
        </w:tc>
        <w:tc>
          <w:tcPr>
            <w:tcW w:w="92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912" w:type="dxa"/>
            <w:tcBorders/>
            <w:shd w:fill="CCEEFF" w:val="clear"/>
            <w:vAlign w:val="center"/>
          </w:tcPr>
          <w:p>
            <w:pPr>
              <w:pStyle w:val="TableContents"/>
              <w:bidi w:val="0"/>
              <w:spacing w:before="0" w:after="283"/>
              <w:jc w:val="right"/>
              <w:rPr/>
            </w:pPr>
            <w:r>
              <w:rPr/>
              <w:t>1</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Issuance of 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left w:val="single" w:sz="12" w:space="0" w:color="000000"/>
            </w:tcBorders>
            <w:tcMar>
              <w:left w:w="28" w:type="dxa"/>
            </w:tcMar>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487"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2,207,553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right"/>
              <w:rPr/>
            </w:pPr>
            <w:r>
              <w:rPr/>
              <w:t>(2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606"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Issuance of Series A convertible preferred stock, net of issuance costs of $69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20,000,000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pPr>
            <w:r>
              <w:rPr/>
              <w:t>2,931</w:t>
            </w:r>
          </w:p>
        </w:tc>
        <w:tc>
          <w:tcPr>
            <w:tcW w:w="90" w:type="dxa"/>
            <w:tcBorders/>
            <w:shd w:fill="CCEEFF" w:val="clear"/>
            <w:vAlign w:val="center"/>
          </w:tcPr>
          <w:p>
            <w:pPr>
              <w:pStyle w:val="TableContents"/>
              <w:bidi w:val="0"/>
              <w:spacing w:before="0" w:after="283"/>
              <w:jc w:val="left"/>
              <w:rPr/>
            </w:pPr>
            <w:r>
              <w:rPr/>
              <w:t> </w:t>
            </w:r>
          </w:p>
        </w:tc>
        <w:tc>
          <w:tcPr>
            <w:tcW w:w="9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87"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Stock-based compensation expense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left w:val="single" w:sz="12" w:space="0" w:color="000000"/>
            </w:tcBorders>
            <w:tcMar>
              <w:left w:w="28" w:type="dxa"/>
            </w:tcMar>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487"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right"/>
              <w:rPr/>
            </w:pPr>
            <w:r>
              <w:rPr/>
              <w:t>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06"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17</w:t>
            </w:r>
          </w:p>
        </w:tc>
        <w:tc>
          <w:tcPr>
            <w:tcW w:w="170"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2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03"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4" w:type="dxa"/>
            <w:tcBorders>
              <w:bottom w:val="single" w:sz="12" w:space="0" w:color="000000"/>
            </w:tcBorders>
            <w:shd w:fill="CCEEFF" w:val="clear"/>
            <w:tcMar>
              <w:bottom w:w="28" w:type="dxa"/>
            </w:tcMar>
            <w:vAlign w:val="center"/>
          </w:tcPr>
          <w:p>
            <w:pPr>
              <w:pStyle w:val="TableContents"/>
              <w:bidi w:val="0"/>
              <w:spacing w:before="0" w:after="283"/>
              <w:jc w:val="right"/>
              <w:rPr/>
            </w:pPr>
            <w:r>
              <w:rPr/>
              <w:t>(7,077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2" w:type="dxa"/>
            <w:tcBorders>
              <w:bottom w:val="single" w:sz="12" w:space="0" w:color="000000"/>
            </w:tcBorders>
            <w:shd w:fill="CCEEFF" w:val="clear"/>
            <w:tcMar>
              <w:bottom w:w="28" w:type="dxa"/>
            </w:tcMar>
            <w:vAlign w:val="center"/>
          </w:tcPr>
          <w:p>
            <w:pPr>
              <w:pStyle w:val="TableContents"/>
              <w:bidi w:val="0"/>
              <w:spacing w:before="0" w:after="283"/>
              <w:jc w:val="right"/>
              <w:rPr/>
            </w:pPr>
            <w:r>
              <w:rPr/>
              <w:t>(7,077</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1370" w:type="dxa"/>
            <w:tcBorders/>
            <w:vAlign w:val="center"/>
          </w:tcPr>
          <w:p>
            <w:pPr>
              <w:pStyle w:val="TableContents"/>
              <w:bidi w:val="0"/>
              <w:spacing w:before="0" w:after="283"/>
              <w:jc w:val="left"/>
              <w:rPr>
                <w:b/>
              </w:rPr>
            </w:pPr>
            <w:r>
              <w:rPr>
                <w:b/>
              </w:rPr>
              <w:t>Balances as of March 31, 2024</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20,000,000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bottom w:val="double" w:sz="10" w:space="0" w:color="000000"/>
            </w:tcBorders>
            <w:tcMar>
              <w:bottom w:w="28" w:type="dxa"/>
            </w:tcMar>
            <w:vAlign w:val="center"/>
          </w:tcPr>
          <w:p>
            <w:pPr>
              <w:pStyle w:val="TableContents"/>
              <w:bidi w:val="0"/>
              <w:spacing w:before="0" w:after="283"/>
              <w:jc w:val="left"/>
              <w:rPr/>
            </w:pPr>
            <w:r>
              <w:rPr/>
              <w:t>$</w:t>
            </w:r>
          </w:p>
        </w:tc>
        <w:tc>
          <w:tcPr>
            <w:tcW w:w="660" w:type="dxa"/>
            <w:tcBorders>
              <w:bottom w:val="double" w:sz="10" w:space="0" w:color="000000"/>
            </w:tcBorders>
            <w:tcMar>
              <w:bottom w:w="28" w:type="dxa"/>
            </w:tcMar>
            <w:vAlign w:val="center"/>
          </w:tcPr>
          <w:p>
            <w:pPr>
              <w:pStyle w:val="TableContents"/>
              <w:bidi w:val="0"/>
              <w:spacing w:before="0" w:after="283"/>
              <w:jc w:val="right"/>
              <w:rPr/>
            </w:pPr>
            <w:r>
              <w:rPr/>
              <w:t>2,931</w:t>
            </w:r>
          </w:p>
        </w:tc>
        <w:tc>
          <w:tcPr>
            <w:tcW w:w="90" w:type="dxa"/>
            <w:tcBorders/>
            <w:vAlign w:val="center"/>
          </w:tcPr>
          <w:p>
            <w:pPr>
              <w:pStyle w:val="TableContents"/>
              <w:bidi w:val="0"/>
              <w:spacing w:before="0" w:after="283"/>
              <w:jc w:val="left"/>
              <w:rPr/>
            </w:pPr>
            <w:r>
              <w:rPr/>
              <w:t> </w:t>
            </w:r>
          </w:p>
        </w:tc>
        <w:tc>
          <w:tcPr>
            <w:tcW w:w="90" w:type="dxa"/>
            <w:tcBorders>
              <w:left w:val="single" w:sz="12" w:space="0" w:color="000000"/>
            </w:tcBorders>
            <w:tcMar>
              <w:left w:w="28" w:type="dxa"/>
            </w:tcMar>
            <w:vAlign w:val="center"/>
          </w:tcPr>
          <w:p>
            <w:pPr>
              <w:pStyle w:val="TableContents"/>
              <w:bidi w:val="0"/>
              <w:spacing w:before="0" w:after="283"/>
              <w:jc w:val="left"/>
              <w:rPr/>
            </w:pPr>
            <w:r>
              <w:rPr/>
              <w:t> </w:t>
            </w:r>
          </w:p>
        </w:tc>
        <w:tc>
          <w:tcPr>
            <w:tcW w:w="257" w:type="dxa"/>
            <w:tcBorders>
              <w:bottom w:val="double" w:sz="10" w:space="0" w:color="000000"/>
            </w:tcBorders>
            <w:tcMar>
              <w:bottom w:w="28" w:type="dxa"/>
            </w:tcMar>
            <w:vAlign w:val="center"/>
          </w:tcPr>
          <w:p>
            <w:pPr>
              <w:pStyle w:val="TableContents"/>
              <w:bidi w:val="0"/>
              <w:spacing w:before="0" w:after="283"/>
              <w:jc w:val="left"/>
              <w:rPr/>
            </w:pPr>
            <w:r>
              <w:rPr/>
              <w:t> </w:t>
            </w:r>
          </w:p>
        </w:tc>
        <w:tc>
          <w:tcPr>
            <w:tcW w:w="483" w:type="dxa"/>
            <w:tcBorders>
              <w:bottom w:val="double" w:sz="10" w:space="0" w:color="000000"/>
            </w:tcBorders>
            <w:tcMar>
              <w:bottom w:w="28" w:type="dxa"/>
            </w:tcMar>
            <w:vAlign w:val="center"/>
          </w:tcPr>
          <w:p>
            <w:pPr>
              <w:pStyle w:val="TableContents"/>
              <w:bidi w:val="0"/>
              <w:spacing w:before="0" w:after="0"/>
              <w:jc w:val="right"/>
              <w:rPr/>
            </w:pPr>
            <w:r>
              <w:rPr/>
              <w:t>—</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487" w:type="dxa"/>
            <w:tcBorders>
              <w:bottom w:val="double" w:sz="10" w:space="0" w:color="000000"/>
            </w:tcBorders>
            <w:tcMar>
              <w:bottom w:w="28" w:type="dxa"/>
            </w:tcMar>
            <w:vAlign w:val="center"/>
          </w:tcPr>
          <w:p>
            <w:pPr>
              <w:pStyle w:val="TableContents"/>
              <w:bidi w:val="0"/>
              <w:spacing w:before="0" w:after="283"/>
              <w:jc w:val="left"/>
              <w:rPr/>
            </w:pPr>
            <w:r>
              <w:rPr/>
              <w:t>$</w:t>
            </w:r>
          </w:p>
        </w:tc>
        <w:tc>
          <w:tcPr>
            <w:tcW w:w="403" w:type="dxa"/>
            <w:tcBorders>
              <w:bottom w:val="double" w:sz="10"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tcMar>
              <w:bottom w:w="28" w:type="dxa"/>
            </w:tcMar>
            <w:vAlign w:val="center"/>
          </w:tcPr>
          <w:p>
            <w:pPr>
              <w:pStyle w:val="TableContents"/>
              <w:bidi w:val="0"/>
              <w:spacing w:before="0" w:after="283"/>
              <w:jc w:val="right"/>
              <w:rPr/>
            </w:pPr>
            <w:r>
              <w:rPr/>
              <w:t>5,405,528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bottom w:val="double" w:sz="10" w:space="0" w:color="000000"/>
            </w:tcBorders>
            <w:tcMar>
              <w:bottom w:w="28" w:type="dxa"/>
            </w:tcMar>
            <w:vAlign w:val="center"/>
          </w:tcPr>
          <w:p>
            <w:pPr>
              <w:pStyle w:val="TableContents"/>
              <w:bidi w:val="0"/>
              <w:spacing w:before="0" w:after="283"/>
              <w:jc w:val="left"/>
              <w:rPr/>
            </w:pPr>
            <w:r>
              <w:rPr/>
              <w:t>$</w:t>
            </w:r>
          </w:p>
        </w:tc>
        <w:tc>
          <w:tcPr>
            <w:tcW w:w="562" w:type="dxa"/>
            <w:tcBorders>
              <w:bottom w:val="double" w:sz="10" w:space="0" w:color="000000"/>
            </w:tcBorders>
            <w:tcMar>
              <w:bottom w:w="28" w:type="dxa"/>
            </w:tcMar>
            <w:vAlign w:val="center"/>
          </w:tcPr>
          <w:p>
            <w:pPr>
              <w:pStyle w:val="TableContents"/>
              <w:bidi w:val="0"/>
              <w:spacing w:before="0" w:after="283"/>
              <w:jc w:val="right"/>
              <w:rPr/>
            </w:pPr>
            <w:r>
              <w:rPr/>
              <w:t>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1" w:type="dxa"/>
            <w:tcBorders>
              <w:bottom w:val="double" w:sz="10" w:space="0" w:color="000000"/>
            </w:tcBorders>
            <w:tcMar>
              <w:bottom w:w="28" w:type="dxa"/>
            </w:tcMar>
            <w:vAlign w:val="center"/>
          </w:tcPr>
          <w:p>
            <w:pPr>
              <w:pStyle w:val="TableContents"/>
              <w:bidi w:val="0"/>
              <w:spacing w:before="0" w:after="283"/>
              <w:jc w:val="left"/>
              <w:rPr/>
            </w:pPr>
            <w:r>
              <w:rPr/>
              <w:t>$</w:t>
            </w:r>
          </w:p>
        </w:tc>
        <w:tc>
          <w:tcPr>
            <w:tcW w:w="599" w:type="dxa"/>
            <w:tcBorders>
              <w:bottom w:val="double" w:sz="10" w:space="0" w:color="000000"/>
            </w:tcBorders>
            <w:tcMar>
              <w:bottom w:w="28" w:type="dxa"/>
            </w:tcMar>
            <w:vAlign w:val="center"/>
          </w:tcPr>
          <w:p>
            <w:pPr>
              <w:pStyle w:val="TableContents"/>
              <w:bidi w:val="0"/>
              <w:spacing w:before="0" w:after="283"/>
              <w:jc w:val="right"/>
              <w:rPr/>
            </w:pPr>
            <w:r>
              <w:rPr/>
              <w:t>13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06" w:type="dxa"/>
            <w:tcBorders>
              <w:bottom w:val="double" w:sz="10" w:space="0" w:color="000000"/>
            </w:tcBorders>
            <w:tcMar>
              <w:bottom w:w="28" w:type="dxa"/>
            </w:tcMar>
            <w:vAlign w:val="center"/>
          </w:tcPr>
          <w:p>
            <w:pPr>
              <w:pStyle w:val="TableContents"/>
              <w:bidi w:val="0"/>
              <w:spacing w:before="0" w:after="283"/>
              <w:jc w:val="left"/>
              <w:rPr/>
            </w:pPr>
            <w:r>
              <w:rPr/>
              <w:t>$</w:t>
            </w:r>
          </w:p>
        </w:tc>
        <w:tc>
          <w:tcPr>
            <w:tcW w:w="1034" w:type="dxa"/>
            <w:tcBorders>
              <w:bottom w:val="double" w:sz="10"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 w:type="dxa"/>
            <w:tcBorders>
              <w:bottom w:val="double" w:sz="10" w:space="0" w:color="000000"/>
            </w:tcBorders>
            <w:tcMar>
              <w:bottom w:w="28" w:type="dxa"/>
            </w:tcMar>
            <w:vAlign w:val="center"/>
          </w:tcPr>
          <w:p>
            <w:pPr>
              <w:pStyle w:val="TableContents"/>
              <w:bidi w:val="0"/>
              <w:spacing w:before="0" w:after="283"/>
              <w:jc w:val="left"/>
              <w:rPr/>
            </w:pPr>
            <w:r>
              <w:rPr/>
              <w:t>$</w:t>
            </w:r>
          </w:p>
        </w:tc>
        <w:tc>
          <w:tcPr>
            <w:tcW w:w="924" w:type="dxa"/>
            <w:tcBorders>
              <w:bottom w:val="double" w:sz="10" w:space="0" w:color="000000"/>
            </w:tcBorders>
            <w:tcMar>
              <w:bottom w:w="28" w:type="dxa"/>
            </w:tcMar>
            <w:vAlign w:val="center"/>
          </w:tcPr>
          <w:p>
            <w:pPr>
              <w:pStyle w:val="TableContents"/>
              <w:bidi w:val="0"/>
              <w:spacing w:before="0" w:after="283"/>
              <w:jc w:val="right"/>
              <w:rPr/>
            </w:pPr>
            <w:r>
              <w:rPr/>
              <w:t>(7,077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33" w:type="dxa"/>
            <w:tcBorders>
              <w:bottom w:val="double" w:sz="10" w:space="0" w:color="000000"/>
            </w:tcBorders>
            <w:tcMar>
              <w:bottom w:w="28" w:type="dxa"/>
            </w:tcMar>
            <w:vAlign w:val="center"/>
          </w:tcPr>
          <w:p>
            <w:pPr>
              <w:pStyle w:val="TableContents"/>
              <w:bidi w:val="0"/>
              <w:spacing w:before="0" w:after="283"/>
              <w:jc w:val="left"/>
              <w:rPr/>
            </w:pPr>
            <w:r>
              <w:rPr/>
              <w:t>$</w:t>
            </w:r>
          </w:p>
        </w:tc>
        <w:tc>
          <w:tcPr>
            <w:tcW w:w="912" w:type="dxa"/>
            <w:tcBorders>
              <w:bottom w:val="double" w:sz="10" w:space="0" w:color="000000"/>
            </w:tcBorders>
            <w:tcMar>
              <w:bottom w:w="28" w:type="dxa"/>
            </w:tcMar>
            <w:vAlign w:val="center"/>
          </w:tcPr>
          <w:p>
            <w:pPr>
              <w:pStyle w:val="TableContents"/>
              <w:bidi w:val="0"/>
              <w:spacing w:before="0" w:after="283"/>
              <w:jc w:val="right"/>
              <w:rPr/>
            </w:pPr>
            <w:r>
              <w:rPr/>
              <w:t>(7,059</w:t>
            </w:r>
          </w:p>
        </w:tc>
        <w:tc>
          <w:tcPr>
            <w:tcW w:w="17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ORUKA THERAPEUTICS, INC.</w:t>
        <w:br/>
        <w:t>CONDENSED CONSOLIDATED STATEMENTS OF CASH FLOWS</w:t>
        <w:br/>
        <w:t>(UNAUDITED)</w:t>
        <w:br/>
        <w:t>(In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62"/>
        <w:gridCol w:w="90"/>
        <w:gridCol w:w="246"/>
        <w:gridCol w:w="1139"/>
        <w:gridCol w:w="125"/>
        <w:gridCol w:w="90"/>
        <w:gridCol w:w="266"/>
        <w:gridCol w:w="1115"/>
        <w:gridCol w:w="172"/>
      </w:tblGrid>
      <w:tr>
        <w:trPr/>
        <w:tc>
          <w:tcPr>
            <w:tcW w:w="696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w:t>
              <w:br/>
              <w:t>Ended</w:t>
              <w:br/>
              <w:t xml:space="preserve">March 31, </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Period from </w:t>
              <w:br/>
              <w:t xml:space="preserve">February 6, </w:t>
              <w:br/>
              <w:t xml:space="preserve">2024 </w:t>
              <w:br/>
              <w:t xml:space="preserve">(Inception) to </w:t>
              <w:br/>
              <w:t xml:space="preserve">March 31, </w:t>
              <w:br/>
              <w:t>2024</w:t>
            </w:r>
          </w:p>
        </w:tc>
        <w:tc>
          <w:tcPr>
            <w:tcW w:w="172" w:type="dxa"/>
            <w:tcBorders/>
            <w:vAlign w:val="center"/>
          </w:tcPr>
          <w:p>
            <w:pPr>
              <w:pStyle w:val="TableContents"/>
              <w:bidi w:val="0"/>
              <w:spacing w:before="0" w:after="283"/>
              <w:jc w:val="left"/>
              <w:rPr/>
            </w:pPr>
            <w:r>
              <w:rPr/>
              <w:t> </w:t>
            </w:r>
          </w:p>
        </w:tc>
      </w:tr>
      <w:tr>
        <w:trPr/>
        <w:tc>
          <w:tcPr>
            <w:tcW w:w="6962" w:type="dxa"/>
            <w:tcBorders/>
            <w:vAlign w:val="center"/>
          </w:tcPr>
          <w:p>
            <w:pPr>
              <w:pStyle w:val="TableContents"/>
              <w:bidi w:val="0"/>
              <w:spacing w:before="0" w:after="283"/>
              <w:jc w:val="left"/>
              <w:rPr>
                <w:b/>
              </w:rPr>
            </w:pPr>
            <w:r>
              <w:rPr>
                <w:b/>
              </w:rPr>
              <w:t>Cash flows from operating activities:</w:t>
            </w:r>
          </w:p>
        </w:tc>
        <w:tc>
          <w:tcPr>
            <w:tcW w:w="9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1" w:type="dxa"/>
            <w:gridSpan w:val="2"/>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r>
      <w:tr>
        <w:trPr/>
        <w:tc>
          <w:tcPr>
            <w:tcW w:w="6962"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1139" w:type="dxa"/>
            <w:tcBorders/>
            <w:shd w:fill="CCEEFF" w:val="clear"/>
            <w:vAlign w:val="center"/>
          </w:tcPr>
          <w:p>
            <w:pPr>
              <w:pStyle w:val="TableContents"/>
              <w:bidi w:val="0"/>
              <w:spacing w:before="0" w:after="283"/>
              <w:jc w:val="right"/>
              <w:rPr/>
            </w:pPr>
            <w:r>
              <w:rPr/>
              <w:t>(20,999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283"/>
              <w:jc w:val="right"/>
              <w:rPr/>
            </w:pPr>
            <w:r>
              <w:rPr/>
              <w:t>(7,077</w:t>
            </w:r>
          </w:p>
        </w:tc>
        <w:tc>
          <w:tcPr>
            <w:tcW w:w="172" w:type="dxa"/>
            <w:tcBorders/>
            <w:shd w:fill="CCEEFF" w:val="clear"/>
            <w:vAlign w:val="center"/>
          </w:tcPr>
          <w:p>
            <w:pPr>
              <w:pStyle w:val="TableContents"/>
              <w:bidi w:val="0"/>
              <w:spacing w:before="0" w:after="283"/>
              <w:jc w:val="left"/>
              <w:rPr/>
            </w:pPr>
            <w:r>
              <w:rPr/>
              <w:t>)</w:t>
            </w:r>
          </w:p>
        </w:tc>
      </w:tr>
      <w:tr>
        <w:trPr/>
        <w:tc>
          <w:tcPr>
            <w:tcW w:w="6962" w:type="dxa"/>
            <w:tcBorders/>
            <w:vAlign w:val="center"/>
          </w:tcPr>
          <w:p>
            <w:pPr>
              <w:pStyle w:val="TableContents"/>
              <w:bidi w:val="0"/>
              <w:spacing w:before="0" w:after="283"/>
              <w:jc w:val="left"/>
              <w:rPr/>
            </w:pPr>
            <w:r>
              <w:rPr/>
              <w:t>Adjustments to reconcile net loss to net cash used in operating activities:</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3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6962" w:type="dxa"/>
            <w:tcBorders/>
            <w:shd w:fill="CCEEFF" w:val="clear"/>
            <w:vAlign w:val="center"/>
          </w:tcPr>
          <w:p>
            <w:pPr>
              <w:pStyle w:val="TableContents"/>
              <w:bidi w:val="0"/>
              <w:spacing w:before="0" w:after="283"/>
              <w:jc w:val="left"/>
              <w:rPr/>
            </w:pPr>
            <w:r>
              <w:rPr/>
              <w:t>Stock-based compensation expense</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4,883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85</w:t>
            </w:r>
          </w:p>
        </w:tc>
        <w:tc>
          <w:tcPr>
            <w:tcW w:w="172" w:type="dxa"/>
            <w:tcBorders/>
            <w:shd w:fill="CCEEFF" w:val="clear"/>
            <w:vAlign w:val="center"/>
          </w:tcPr>
          <w:p>
            <w:pPr>
              <w:pStyle w:val="TableContents"/>
              <w:bidi w:val="0"/>
              <w:spacing w:before="0" w:after="283"/>
              <w:jc w:val="left"/>
              <w:rPr/>
            </w:pPr>
            <w:r>
              <w:rPr/>
              <w:t> </w:t>
            </w:r>
          </w:p>
        </w:tc>
      </w:tr>
      <w:tr>
        <w:trPr/>
        <w:tc>
          <w:tcPr>
            <w:tcW w:w="6962" w:type="dxa"/>
            <w:tcBorders/>
            <w:vAlign w:val="center"/>
          </w:tcPr>
          <w:p>
            <w:pPr>
              <w:pStyle w:val="TableContents"/>
              <w:bidi w:val="0"/>
              <w:spacing w:before="0" w:after="283"/>
              <w:jc w:val="left"/>
              <w:rPr/>
            </w:pPr>
            <w:r>
              <w:rPr/>
              <w:t>Net accretion of premiums and discounts on marketable securities</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39" w:type="dxa"/>
            <w:tcBorders/>
            <w:vAlign w:val="center"/>
          </w:tcPr>
          <w:p>
            <w:pPr>
              <w:pStyle w:val="TableContents"/>
              <w:bidi w:val="0"/>
              <w:spacing w:before="0" w:after="283"/>
              <w:jc w:val="right"/>
              <w:rPr/>
            </w:pPr>
            <w:r>
              <w:rPr/>
              <w:t>(1,797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0"/>
              <w:jc w:val="right"/>
              <w:rPr/>
            </w:pPr>
            <w:r>
              <w:rPr/>
              <w:t>—</w:t>
            </w:r>
          </w:p>
        </w:tc>
        <w:tc>
          <w:tcPr>
            <w:tcW w:w="172" w:type="dxa"/>
            <w:tcBorders/>
            <w:vAlign w:val="center"/>
          </w:tcPr>
          <w:p>
            <w:pPr>
              <w:pStyle w:val="TableContents"/>
              <w:bidi w:val="0"/>
              <w:spacing w:before="0" w:after="283"/>
              <w:jc w:val="left"/>
              <w:rPr/>
            </w:pPr>
            <w:r>
              <w:rPr/>
              <w:t> </w:t>
            </w:r>
          </w:p>
        </w:tc>
      </w:tr>
      <w:tr>
        <w:trPr/>
        <w:tc>
          <w:tcPr>
            <w:tcW w:w="6962" w:type="dxa"/>
            <w:tcBorders/>
            <w:shd w:fill="CCEEFF" w:val="clear"/>
            <w:vAlign w:val="center"/>
          </w:tcPr>
          <w:p>
            <w:pPr>
              <w:pStyle w:val="TableContents"/>
              <w:bidi w:val="0"/>
              <w:spacing w:before="0" w:after="283"/>
              <w:jc w:val="left"/>
              <w:rPr/>
            </w:pPr>
            <w:r>
              <w:rPr/>
              <w:t>Non-cash interest expense</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1</w:t>
            </w:r>
          </w:p>
        </w:tc>
        <w:tc>
          <w:tcPr>
            <w:tcW w:w="172" w:type="dxa"/>
            <w:tcBorders/>
            <w:shd w:fill="CCEEFF" w:val="clear"/>
            <w:vAlign w:val="center"/>
          </w:tcPr>
          <w:p>
            <w:pPr>
              <w:pStyle w:val="TableContents"/>
              <w:bidi w:val="0"/>
              <w:spacing w:before="0" w:after="283"/>
              <w:jc w:val="left"/>
              <w:rPr/>
            </w:pPr>
            <w:r>
              <w:rPr/>
              <w:t> </w:t>
            </w:r>
          </w:p>
        </w:tc>
      </w:tr>
      <w:tr>
        <w:trPr/>
        <w:tc>
          <w:tcPr>
            <w:tcW w:w="6962" w:type="dxa"/>
            <w:tcBorders/>
            <w:vAlign w:val="center"/>
          </w:tcPr>
          <w:p>
            <w:pPr>
              <w:pStyle w:val="TableContents"/>
              <w:bidi w:val="0"/>
              <w:spacing w:before="0" w:after="283"/>
              <w:jc w:val="left"/>
              <w:rPr/>
            </w:pPr>
            <w:r>
              <w:rPr/>
              <w:t>Non-cash lease expense</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39" w:type="dxa"/>
            <w:tcBorders/>
            <w:vAlign w:val="center"/>
          </w:tcPr>
          <w:p>
            <w:pPr>
              <w:pStyle w:val="TableContents"/>
              <w:bidi w:val="0"/>
              <w:spacing w:before="0" w:after="283"/>
              <w:jc w:val="right"/>
              <w:rPr/>
            </w:pPr>
            <w:r>
              <w:rPr/>
              <w:t>62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0"/>
              <w:jc w:val="right"/>
              <w:rPr/>
            </w:pPr>
            <w:r>
              <w:rPr/>
              <w:t>—</w:t>
            </w:r>
          </w:p>
        </w:tc>
        <w:tc>
          <w:tcPr>
            <w:tcW w:w="172" w:type="dxa"/>
            <w:tcBorders/>
            <w:vAlign w:val="center"/>
          </w:tcPr>
          <w:p>
            <w:pPr>
              <w:pStyle w:val="TableContents"/>
              <w:bidi w:val="0"/>
              <w:spacing w:before="0" w:after="283"/>
              <w:jc w:val="left"/>
              <w:rPr/>
            </w:pPr>
            <w:r>
              <w:rPr/>
              <w:t> </w:t>
            </w:r>
          </w:p>
        </w:tc>
      </w:tr>
      <w:tr>
        <w:trPr/>
        <w:tc>
          <w:tcPr>
            <w:tcW w:w="6962" w:type="dxa"/>
            <w:tcBorders/>
            <w:shd w:fill="CCEEFF" w:val="clear"/>
            <w:vAlign w:val="center"/>
          </w:tcPr>
          <w:p>
            <w:pPr>
              <w:pStyle w:val="TableContents"/>
              <w:bidi w:val="0"/>
              <w:spacing w:before="0" w:after="283"/>
              <w:jc w:val="left"/>
              <w:rPr/>
            </w:pPr>
            <w:r>
              <w:rPr/>
              <w:t>Depreciation expense</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0"/>
              <w:jc w:val="right"/>
              <w:rPr/>
            </w:pPr>
            <w:r>
              <w:rPr/>
              <w:t>—</w:t>
            </w:r>
          </w:p>
        </w:tc>
        <w:tc>
          <w:tcPr>
            <w:tcW w:w="172" w:type="dxa"/>
            <w:tcBorders/>
            <w:shd w:fill="CCEEFF" w:val="clear"/>
            <w:vAlign w:val="center"/>
          </w:tcPr>
          <w:p>
            <w:pPr>
              <w:pStyle w:val="TableContents"/>
              <w:bidi w:val="0"/>
              <w:spacing w:before="0" w:after="283"/>
              <w:jc w:val="left"/>
              <w:rPr/>
            </w:pPr>
            <w:r>
              <w:rPr/>
              <w:t> </w:t>
            </w:r>
          </w:p>
        </w:tc>
      </w:tr>
      <w:tr>
        <w:trPr/>
        <w:tc>
          <w:tcPr>
            <w:tcW w:w="6962" w:type="dxa"/>
            <w:tcBorders/>
            <w:vAlign w:val="center"/>
          </w:tcPr>
          <w:p>
            <w:pPr>
              <w:pStyle w:val="TableContents"/>
              <w:bidi w:val="0"/>
              <w:spacing w:before="0" w:after="283"/>
              <w:jc w:val="left"/>
              <w:rPr/>
            </w:pPr>
            <w:r>
              <w:rPr/>
              <w:t>Changes in operating assets and liabilities:</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3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6962" w:type="dxa"/>
            <w:tcBorders/>
            <w:shd w:fill="CCEEFF" w:val="clear"/>
            <w:vAlign w:val="center"/>
          </w:tcPr>
          <w:p>
            <w:pPr>
              <w:pStyle w:val="TableContents"/>
              <w:bidi w:val="0"/>
              <w:spacing w:before="0" w:after="283"/>
              <w:jc w:val="left"/>
              <w:rPr/>
            </w:pPr>
            <w:r>
              <w:rPr/>
              <w:t>Subscription receivable</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1</w:t>
            </w:r>
          </w:p>
        </w:tc>
        <w:tc>
          <w:tcPr>
            <w:tcW w:w="172" w:type="dxa"/>
            <w:tcBorders/>
            <w:shd w:fill="CCEEFF" w:val="clear"/>
            <w:vAlign w:val="center"/>
          </w:tcPr>
          <w:p>
            <w:pPr>
              <w:pStyle w:val="TableContents"/>
              <w:bidi w:val="0"/>
              <w:spacing w:before="0" w:after="283"/>
              <w:jc w:val="left"/>
              <w:rPr/>
            </w:pPr>
            <w:r>
              <w:rPr/>
              <w:t> </w:t>
            </w:r>
          </w:p>
        </w:tc>
      </w:tr>
      <w:tr>
        <w:trPr/>
        <w:tc>
          <w:tcPr>
            <w:tcW w:w="6962" w:type="dxa"/>
            <w:tcBorders/>
            <w:vAlign w:val="center"/>
          </w:tcPr>
          <w:p>
            <w:pPr>
              <w:pStyle w:val="TableContents"/>
              <w:bidi w:val="0"/>
              <w:spacing w:before="0" w:after="283"/>
              <w:jc w:val="left"/>
              <w:rPr/>
            </w:pPr>
            <w:r>
              <w:rPr/>
              <w:t>Prepaid expenses and other current assets</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39" w:type="dxa"/>
            <w:tcBorders/>
            <w:vAlign w:val="center"/>
          </w:tcPr>
          <w:p>
            <w:pPr>
              <w:pStyle w:val="TableContents"/>
              <w:bidi w:val="0"/>
              <w:spacing w:before="0" w:after="283"/>
              <w:jc w:val="right"/>
              <w:rPr/>
            </w:pPr>
            <w:r>
              <w:rPr/>
              <w:t>(148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0"/>
              <w:jc w:val="right"/>
              <w:rPr/>
            </w:pPr>
            <w:r>
              <w:rPr/>
              <w:t>—</w:t>
            </w:r>
          </w:p>
        </w:tc>
        <w:tc>
          <w:tcPr>
            <w:tcW w:w="172" w:type="dxa"/>
            <w:tcBorders/>
            <w:vAlign w:val="center"/>
          </w:tcPr>
          <w:p>
            <w:pPr>
              <w:pStyle w:val="TableContents"/>
              <w:bidi w:val="0"/>
              <w:spacing w:before="0" w:after="283"/>
              <w:jc w:val="left"/>
              <w:rPr/>
            </w:pPr>
            <w:r>
              <w:rPr/>
              <w:t> </w:t>
            </w:r>
          </w:p>
        </w:tc>
      </w:tr>
      <w:tr>
        <w:trPr/>
        <w:tc>
          <w:tcPr>
            <w:tcW w:w="6962" w:type="dxa"/>
            <w:tcBorders/>
            <w:shd w:fill="CCEEFF" w:val="clear"/>
            <w:vAlign w:val="center"/>
          </w:tcPr>
          <w:p>
            <w:pPr>
              <w:pStyle w:val="TableContents"/>
              <w:bidi w:val="0"/>
              <w:spacing w:before="0" w:after="283"/>
              <w:jc w:val="left"/>
              <w:rPr/>
            </w:pPr>
            <w:r>
              <w:rPr/>
              <w:t>Other non-current assets</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(60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0"/>
              <w:jc w:val="right"/>
              <w:rPr/>
            </w:pPr>
            <w:r>
              <w:rPr/>
              <w:t>—</w:t>
            </w:r>
          </w:p>
        </w:tc>
        <w:tc>
          <w:tcPr>
            <w:tcW w:w="172" w:type="dxa"/>
            <w:tcBorders/>
            <w:shd w:fill="CCEEFF" w:val="clear"/>
            <w:vAlign w:val="center"/>
          </w:tcPr>
          <w:p>
            <w:pPr>
              <w:pStyle w:val="TableContents"/>
              <w:bidi w:val="0"/>
              <w:spacing w:before="0" w:after="283"/>
              <w:jc w:val="left"/>
              <w:rPr/>
            </w:pPr>
            <w:r>
              <w:rPr/>
              <w:t> </w:t>
            </w:r>
          </w:p>
        </w:tc>
      </w:tr>
      <w:tr>
        <w:trPr/>
        <w:tc>
          <w:tcPr>
            <w:tcW w:w="6962" w:type="dxa"/>
            <w:tcBorders/>
            <w:vAlign w:val="center"/>
          </w:tcPr>
          <w:p>
            <w:pPr>
              <w:pStyle w:val="TableContents"/>
              <w:bidi w:val="0"/>
              <w:spacing w:before="0" w:after="283"/>
              <w:jc w:val="left"/>
              <w:rPr/>
            </w:pPr>
            <w:r>
              <w:rPr/>
              <w:t>Accounts payable</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39" w:type="dxa"/>
            <w:tcBorders/>
            <w:vAlign w:val="center"/>
          </w:tcPr>
          <w:p>
            <w:pPr>
              <w:pStyle w:val="TableContents"/>
              <w:bidi w:val="0"/>
              <w:spacing w:before="0" w:after="283"/>
              <w:jc w:val="right"/>
              <w:rPr/>
            </w:pPr>
            <w:r>
              <w:rPr/>
              <w:t>83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4</w:t>
            </w:r>
          </w:p>
        </w:tc>
        <w:tc>
          <w:tcPr>
            <w:tcW w:w="172" w:type="dxa"/>
            <w:tcBorders/>
            <w:vAlign w:val="center"/>
          </w:tcPr>
          <w:p>
            <w:pPr>
              <w:pStyle w:val="TableContents"/>
              <w:bidi w:val="0"/>
              <w:spacing w:before="0" w:after="283"/>
              <w:jc w:val="left"/>
              <w:rPr/>
            </w:pPr>
            <w:r>
              <w:rPr/>
              <w:t> </w:t>
            </w:r>
          </w:p>
        </w:tc>
      </w:tr>
      <w:tr>
        <w:trPr/>
        <w:tc>
          <w:tcPr>
            <w:tcW w:w="6962" w:type="dxa"/>
            <w:tcBorders/>
            <w:shd w:fill="CCEEFF" w:val="clear"/>
            <w:vAlign w:val="center"/>
          </w:tcPr>
          <w:p>
            <w:pPr>
              <w:pStyle w:val="TableContents"/>
              <w:bidi w:val="0"/>
              <w:spacing w:before="0" w:after="283"/>
              <w:jc w:val="left"/>
              <w:rPr/>
            </w:pPr>
            <w:r>
              <w:rPr/>
              <w:t>Accrued expenses and other current liabilities</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2,317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773</w:t>
            </w:r>
          </w:p>
        </w:tc>
        <w:tc>
          <w:tcPr>
            <w:tcW w:w="172" w:type="dxa"/>
            <w:tcBorders/>
            <w:shd w:fill="CCEEFF" w:val="clear"/>
            <w:vAlign w:val="center"/>
          </w:tcPr>
          <w:p>
            <w:pPr>
              <w:pStyle w:val="TableContents"/>
              <w:bidi w:val="0"/>
              <w:spacing w:before="0" w:after="283"/>
              <w:jc w:val="left"/>
              <w:rPr/>
            </w:pPr>
            <w:r>
              <w:rPr/>
              <w:t> </w:t>
            </w:r>
          </w:p>
        </w:tc>
      </w:tr>
      <w:tr>
        <w:trPr/>
        <w:tc>
          <w:tcPr>
            <w:tcW w:w="6962" w:type="dxa"/>
            <w:tcBorders/>
            <w:vAlign w:val="center"/>
          </w:tcPr>
          <w:p>
            <w:pPr>
              <w:pStyle w:val="TableContents"/>
              <w:bidi w:val="0"/>
              <w:spacing w:before="0" w:after="283"/>
              <w:jc w:val="left"/>
              <w:rPr/>
            </w:pPr>
            <w:r>
              <w:rPr/>
              <w:t>Operating lease liability</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39" w:type="dxa"/>
            <w:tcBorders/>
            <w:vAlign w:val="center"/>
          </w:tcPr>
          <w:p>
            <w:pPr>
              <w:pStyle w:val="TableContents"/>
              <w:bidi w:val="0"/>
              <w:spacing w:before="0" w:after="283"/>
              <w:jc w:val="right"/>
              <w:rPr/>
            </w:pPr>
            <w:r>
              <w:rPr/>
              <w:t>(21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0"/>
              <w:jc w:val="right"/>
              <w:rPr/>
            </w:pPr>
            <w:r>
              <w:rPr/>
              <w:t>—</w:t>
            </w:r>
          </w:p>
        </w:tc>
        <w:tc>
          <w:tcPr>
            <w:tcW w:w="172" w:type="dxa"/>
            <w:tcBorders/>
            <w:vAlign w:val="center"/>
          </w:tcPr>
          <w:p>
            <w:pPr>
              <w:pStyle w:val="TableContents"/>
              <w:bidi w:val="0"/>
              <w:spacing w:before="0" w:after="283"/>
              <w:jc w:val="left"/>
              <w:rPr/>
            </w:pPr>
            <w:r>
              <w:rPr/>
              <w:t> </w:t>
            </w:r>
          </w:p>
        </w:tc>
      </w:tr>
      <w:tr>
        <w:trPr/>
        <w:tc>
          <w:tcPr>
            <w:tcW w:w="6962" w:type="dxa"/>
            <w:tcBorders/>
            <w:shd w:fill="CCEEFF" w:val="clear"/>
            <w:vAlign w:val="center"/>
          </w:tcPr>
          <w:p>
            <w:pPr>
              <w:pStyle w:val="TableContents"/>
              <w:bidi w:val="0"/>
              <w:spacing w:before="0" w:after="283"/>
              <w:jc w:val="left"/>
              <w:rPr/>
            </w:pPr>
            <w:r>
              <w:rPr/>
              <w:t>Related party accounts payable and other current liabilities</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(5,205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5,831</w:t>
            </w:r>
          </w:p>
        </w:tc>
        <w:tc>
          <w:tcPr>
            <w:tcW w:w="172" w:type="dxa"/>
            <w:tcBorders/>
            <w:shd w:fill="CCEEFF" w:val="clear"/>
            <w:vAlign w:val="center"/>
          </w:tcPr>
          <w:p>
            <w:pPr>
              <w:pStyle w:val="TableContents"/>
              <w:bidi w:val="0"/>
              <w:spacing w:before="0" w:after="283"/>
              <w:jc w:val="left"/>
              <w:rPr/>
            </w:pPr>
            <w:r>
              <w:rPr/>
              <w:t> </w:t>
            </w:r>
          </w:p>
        </w:tc>
      </w:tr>
      <w:tr>
        <w:trPr/>
        <w:tc>
          <w:tcPr>
            <w:tcW w:w="6962" w:type="dxa"/>
            <w:tcBorders/>
            <w:vAlign w:val="center"/>
          </w:tcPr>
          <w:p>
            <w:pPr>
              <w:pStyle w:val="TableContents"/>
              <w:bidi w:val="0"/>
              <w:spacing w:before="0" w:after="283"/>
              <w:jc w:val="left"/>
              <w:rPr/>
            </w:pPr>
            <w:r>
              <w:rPr/>
              <w:t>Accrued interest payable, related party</w:t>
            </w:r>
          </w:p>
        </w:tc>
        <w:tc>
          <w:tcPr>
            <w:tcW w:w="90" w:type="dxa"/>
            <w:tcBorders/>
            <w:vAlign w:val="center"/>
          </w:tcPr>
          <w:p>
            <w:pPr>
              <w:pStyle w:val="TableContents"/>
              <w:bidi w:val="0"/>
              <w:spacing w:before="0" w:after="283"/>
              <w:jc w:val="left"/>
              <w:rPr/>
            </w:pPr>
            <w:r>
              <w:rPr/>
              <w:t> </w:t>
            </w:r>
          </w:p>
        </w:tc>
        <w:tc>
          <w:tcPr>
            <w:tcW w:w="24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tcMar>
              <w:bottom w:w="28" w:type="dxa"/>
            </w:tcMar>
            <w:vAlign w:val="center"/>
          </w:tcPr>
          <w:p>
            <w:pPr>
              <w:pStyle w:val="TableContents"/>
              <w:bidi w:val="0"/>
              <w:spacing w:before="0" w:after="283"/>
              <w:jc w:val="right"/>
              <w:rPr/>
            </w:pPr>
            <w:r>
              <w:rPr/>
              <w:t>214</w:t>
            </w:r>
          </w:p>
        </w:tc>
        <w:tc>
          <w:tcPr>
            <w:tcW w:w="172" w:type="dxa"/>
            <w:tcBorders/>
            <w:vAlign w:val="center"/>
          </w:tcPr>
          <w:p>
            <w:pPr>
              <w:pStyle w:val="TableContents"/>
              <w:bidi w:val="0"/>
              <w:spacing w:before="0" w:after="283"/>
              <w:jc w:val="left"/>
              <w:rPr/>
            </w:pPr>
            <w:r>
              <w:rPr/>
              <w:t> </w:t>
            </w:r>
          </w:p>
        </w:tc>
      </w:tr>
      <w:tr>
        <w:trPr/>
        <w:tc>
          <w:tcPr>
            <w:tcW w:w="6962" w:type="dxa"/>
            <w:tcBorders/>
            <w:shd w:fill="CCEEFF" w:val="clear"/>
            <w:vAlign w:val="center"/>
          </w:tcPr>
          <w:p>
            <w:pPr>
              <w:pStyle w:val="TableContents"/>
              <w:bidi w:val="0"/>
              <w:spacing w:before="0" w:after="283"/>
              <w:jc w:val="left"/>
              <w:rPr/>
            </w:pPr>
            <w:r>
              <w:rPr/>
              <w:t>Net cash used in operating activities</w:t>
            </w:r>
          </w:p>
        </w:tc>
        <w:tc>
          <w:tcPr>
            <w:tcW w:w="9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shd w:fill="CCEEFF" w:val="clear"/>
            <w:tcMar>
              <w:bottom w:w="28" w:type="dxa"/>
            </w:tcMar>
            <w:vAlign w:val="center"/>
          </w:tcPr>
          <w:p>
            <w:pPr>
              <w:pStyle w:val="TableContents"/>
              <w:bidi w:val="0"/>
              <w:spacing w:before="0" w:after="283"/>
              <w:jc w:val="right"/>
              <w:rPr/>
            </w:pPr>
            <w:r>
              <w:rPr/>
              <w:t>(20,869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pPr>
            <w:r>
              <w:rPr/>
              <w:t>(168</w:t>
            </w:r>
          </w:p>
        </w:tc>
        <w:tc>
          <w:tcPr>
            <w:tcW w:w="172" w:type="dxa"/>
            <w:tcBorders/>
            <w:shd w:fill="CCEEFF" w:val="clear"/>
            <w:vAlign w:val="center"/>
          </w:tcPr>
          <w:p>
            <w:pPr>
              <w:pStyle w:val="TableContents"/>
              <w:bidi w:val="0"/>
              <w:spacing w:before="0" w:after="283"/>
              <w:jc w:val="left"/>
              <w:rPr/>
            </w:pPr>
            <w:r>
              <w:rPr/>
              <w:t>)</w:t>
            </w:r>
          </w:p>
        </w:tc>
      </w:tr>
      <w:tr>
        <w:trPr/>
        <w:tc>
          <w:tcPr>
            <w:tcW w:w="6962" w:type="dxa"/>
            <w:tcBorders/>
            <w:vAlign w:val="center"/>
          </w:tcPr>
          <w:p>
            <w:pPr>
              <w:pStyle w:val="TableContents"/>
              <w:bidi w:val="0"/>
              <w:spacing w:before="0" w:after="283"/>
              <w:jc w:val="left"/>
              <w:rPr>
                <w:b/>
              </w:rPr>
            </w:pPr>
            <w:r>
              <w:rPr>
                <w:b/>
              </w:rPr>
              <w:t>Cash flows from investing activities:</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3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6962" w:type="dxa"/>
            <w:tcBorders/>
            <w:shd w:fill="CCEEFF" w:val="clear"/>
            <w:vAlign w:val="center"/>
          </w:tcPr>
          <w:p>
            <w:pPr>
              <w:pStyle w:val="TableContents"/>
              <w:bidi w:val="0"/>
              <w:spacing w:before="0" w:after="283"/>
              <w:jc w:val="left"/>
              <w:rPr/>
            </w:pPr>
            <w:r>
              <w:rPr/>
              <w:t>Purchases of property and equipment</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(13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0"/>
              <w:jc w:val="right"/>
              <w:rPr/>
            </w:pPr>
            <w:r>
              <w:rPr/>
              <w:t>—</w:t>
            </w:r>
          </w:p>
        </w:tc>
        <w:tc>
          <w:tcPr>
            <w:tcW w:w="172" w:type="dxa"/>
            <w:tcBorders/>
            <w:shd w:fill="CCEEFF" w:val="clear"/>
            <w:vAlign w:val="center"/>
          </w:tcPr>
          <w:p>
            <w:pPr>
              <w:pStyle w:val="TableContents"/>
              <w:bidi w:val="0"/>
              <w:spacing w:before="0" w:after="283"/>
              <w:jc w:val="left"/>
              <w:rPr/>
            </w:pPr>
            <w:r>
              <w:rPr/>
              <w:t> </w:t>
            </w:r>
          </w:p>
        </w:tc>
      </w:tr>
      <w:tr>
        <w:trPr/>
        <w:tc>
          <w:tcPr>
            <w:tcW w:w="6962" w:type="dxa"/>
            <w:tcBorders/>
            <w:vAlign w:val="center"/>
          </w:tcPr>
          <w:p>
            <w:pPr>
              <w:pStyle w:val="TableContents"/>
              <w:bidi w:val="0"/>
              <w:spacing w:before="0" w:after="283"/>
              <w:jc w:val="left"/>
              <w:rPr/>
            </w:pPr>
            <w:r>
              <w:rPr/>
              <w:t>Purchases of marketable securities</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39" w:type="dxa"/>
            <w:tcBorders/>
            <w:vAlign w:val="center"/>
          </w:tcPr>
          <w:p>
            <w:pPr>
              <w:pStyle w:val="TableContents"/>
              <w:bidi w:val="0"/>
              <w:spacing w:before="0" w:after="283"/>
              <w:jc w:val="right"/>
              <w:rPr/>
            </w:pPr>
            <w:r>
              <w:rPr/>
              <w:t>(44,290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0"/>
              <w:jc w:val="right"/>
              <w:rPr/>
            </w:pPr>
            <w:r>
              <w:rPr/>
              <w:t>—</w:t>
            </w:r>
          </w:p>
        </w:tc>
        <w:tc>
          <w:tcPr>
            <w:tcW w:w="172" w:type="dxa"/>
            <w:tcBorders/>
            <w:vAlign w:val="center"/>
          </w:tcPr>
          <w:p>
            <w:pPr>
              <w:pStyle w:val="TableContents"/>
              <w:bidi w:val="0"/>
              <w:spacing w:before="0" w:after="283"/>
              <w:jc w:val="left"/>
              <w:rPr/>
            </w:pPr>
            <w:r>
              <w:rPr/>
              <w:t> </w:t>
            </w:r>
          </w:p>
        </w:tc>
      </w:tr>
      <w:tr>
        <w:trPr/>
        <w:tc>
          <w:tcPr>
            <w:tcW w:w="6962" w:type="dxa"/>
            <w:tcBorders/>
            <w:shd w:fill="CCEEFF" w:val="clear"/>
            <w:vAlign w:val="center"/>
          </w:tcPr>
          <w:p>
            <w:pPr>
              <w:pStyle w:val="TableContents"/>
              <w:bidi w:val="0"/>
              <w:spacing w:before="0" w:after="283"/>
              <w:jc w:val="left"/>
              <w:rPr/>
            </w:pPr>
            <w:r>
              <w:rPr/>
              <w:t>Proceeds from maturities of marketable securities</w:t>
            </w:r>
          </w:p>
        </w:tc>
        <w:tc>
          <w:tcPr>
            <w:tcW w:w="9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shd w:fill="CCEEFF" w:val="clear"/>
            <w:tcMar>
              <w:bottom w:w="28" w:type="dxa"/>
            </w:tcMar>
            <w:vAlign w:val="center"/>
          </w:tcPr>
          <w:p>
            <w:pPr>
              <w:pStyle w:val="TableContents"/>
              <w:bidi w:val="0"/>
              <w:spacing w:before="0" w:after="283"/>
              <w:jc w:val="right"/>
              <w:rPr/>
            </w:pPr>
            <w:r>
              <w:rPr/>
              <w:t>87,169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2" w:type="dxa"/>
            <w:tcBorders/>
            <w:shd w:fill="CCEEFF" w:val="clear"/>
            <w:vAlign w:val="center"/>
          </w:tcPr>
          <w:p>
            <w:pPr>
              <w:pStyle w:val="TableContents"/>
              <w:bidi w:val="0"/>
              <w:spacing w:before="0" w:after="283"/>
              <w:jc w:val="left"/>
              <w:rPr/>
            </w:pPr>
            <w:r>
              <w:rPr/>
              <w:t> </w:t>
            </w:r>
          </w:p>
        </w:tc>
      </w:tr>
      <w:tr>
        <w:trPr/>
        <w:tc>
          <w:tcPr>
            <w:tcW w:w="6962" w:type="dxa"/>
            <w:tcBorders/>
            <w:vAlign w:val="center"/>
          </w:tcPr>
          <w:p>
            <w:pPr>
              <w:pStyle w:val="TableContents"/>
              <w:bidi w:val="0"/>
              <w:spacing w:before="0" w:after="283"/>
              <w:jc w:val="left"/>
              <w:rPr/>
            </w:pPr>
            <w:r>
              <w:rPr/>
              <w:t>Net cash provided by investing activities</w:t>
            </w:r>
          </w:p>
        </w:tc>
        <w:tc>
          <w:tcPr>
            <w:tcW w:w="90" w:type="dxa"/>
            <w:tcBorders/>
            <w:vAlign w:val="center"/>
          </w:tcPr>
          <w:p>
            <w:pPr>
              <w:pStyle w:val="TableContents"/>
              <w:bidi w:val="0"/>
              <w:spacing w:before="0" w:after="283"/>
              <w:jc w:val="left"/>
              <w:rPr/>
            </w:pPr>
            <w:r>
              <w:rPr/>
              <w:t> </w:t>
            </w:r>
          </w:p>
        </w:tc>
        <w:tc>
          <w:tcPr>
            <w:tcW w:w="24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tcMar>
              <w:bottom w:w="28" w:type="dxa"/>
            </w:tcMar>
            <w:vAlign w:val="center"/>
          </w:tcPr>
          <w:p>
            <w:pPr>
              <w:pStyle w:val="TableContents"/>
              <w:bidi w:val="0"/>
              <w:spacing w:before="0" w:after="283"/>
              <w:jc w:val="right"/>
              <w:rPr/>
            </w:pPr>
            <w:r>
              <w:rPr/>
              <w:t>42,866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tcMar>
              <w:bottom w:w="28" w:type="dxa"/>
            </w:tcMar>
            <w:vAlign w:val="center"/>
          </w:tcPr>
          <w:p>
            <w:pPr>
              <w:pStyle w:val="TableContents"/>
              <w:bidi w:val="0"/>
              <w:spacing w:before="0" w:after="0"/>
              <w:jc w:val="right"/>
              <w:rPr/>
            </w:pPr>
            <w:r>
              <w:rPr/>
              <w:t>—</w:t>
            </w:r>
          </w:p>
        </w:tc>
        <w:tc>
          <w:tcPr>
            <w:tcW w:w="172" w:type="dxa"/>
            <w:tcBorders/>
            <w:vAlign w:val="center"/>
          </w:tcPr>
          <w:p>
            <w:pPr>
              <w:pStyle w:val="TableContents"/>
              <w:bidi w:val="0"/>
              <w:spacing w:before="0" w:after="283"/>
              <w:jc w:val="left"/>
              <w:rPr/>
            </w:pPr>
            <w:r>
              <w:rPr/>
              <w:t> </w:t>
            </w:r>
          </w:p>
        </w:tc>
      </w:tr>
      <w:tr>
        <w:trPr/>
        <w:tc>
          <w:tcPr>
            <w:tcW w:w="6962" w:type="dxa"/>
            <w:tcBorders/>
            <w:shd w:fill="CCEEFF" w:val="clear"/>
            <w:vAlign w:val="center"/>
          </w:tcPr>
          <w:p>
            <w:pPr>
              <w:pStyle w:val="TableContents"/>
              <w:bidi w:val="0"/>
              <w:spacing w:before="0" w:after="283"/>
              <w:jc w:val="left"/>
              <w:rPr>
                <w:b/>
              </w:rPr>
            </w:pPr>
            <w:r>
              <w:rPr>
                <w:b/>
              </w:rPr>
              <w:t>Cash flows from financing activities:</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6962" w:type="dxa"/>
            <w:tcBorders/>
            <w:vAlign w:val="center"/>
          </w:tcPr>
          <w:p>
            <w:pPr>
              <w:pStyle w:val="TableContents"/>
              <w:bidi w:val="0"/>
              <w:spacing w:before="0" w:after="283"/>
              <w:jc w:val="left"/>
              <w:rPr/>
            </w:pPr>
            <w:r>
              <w:rPr/>
              <w:t>Proceeds from issuance of Pre-Merger Oruka Series A Preferred Stock, net of issuance costs paid</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3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2,931</w:t>
            </w:r>
          </w:p>
        </w:tc>
        <w:tc>
          <w:tcPr>
            <w:tcW w:w="172" w:type="dxa"/>
            <w:tcBorders/>
            <w:vAlign w:val="center"/>
          </w:tcPr>
          <w:p>
            <w:pPr>
              <w:pStyle w:val="TableContents"/>
              <w:bidi w:val="0"/>
              <w:spacing w:before="0" w:after="283"/>
              <w:ind w:left="0" w:right="0" w:hanging="180"/>
              <w:jc w:val="left"/>
              <w:rPr/>
            </w:pPr>
            <w:r>
              <w:rPr/>
              <w:t> </w:t>
            </w:r>
          </w:p>
        </w:tc>
      </w:tr>
      <w:tr>
        <w:trPr/>
        <w:tc>
          <w:tcPr>
            <w:tcW w:w="6962" w:type="dxa"/>
            <w:tcBorders/>
            <w:shd w:fill="CCEEFF" w:val="clear"/>
            <w:vAlign w:val="center"/>
          </w:tcPr>
          <w:p>
            <w:pPr>
              <w:pStyle w:val="TableContents"/>
              <w:bidi w:val="0"/>
              <w:spacing w:before="0" w:after="283"/>
              <w:jc w:val="left"/>
              <w:rPr/>
            </w:pPr>
            <w:r>
              <w:rPr/>
              <w:t>Proceeds from issuance of notes payable to related party, net of issuance costs paid</w:t>
            </w:r>
          </w:p>
        </w:tc>
        <w:tc>
          <w:tcPr>
            <w:tcW w:w="9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pPr>
            <w:r>
              <w:rPr/>
              <w:t>24,980</w:t>
            </w:r>
          </w:p>
        </w:tc>
        <w:tc>
          <w:tcPr>
            <w:tcW w:w="172" w:type="dxa"/>
            <w:tcBorders/>
            <w:shd w:fill="CCEEFF" w:val="clear"/>
            <w:vAlign w:val="center"/>
          </w:tcPr>
          <w:p>
            <w:pPr>
              <w:pStyle w:val="TableContents"/>
              <w:bidi w:val="0"/>
              <w:spacing w:before="0" w:after="283"/>
              <w:jc w:val="left"/>
              <w:rPr/>
            </w:pPr>
            <w:r>
              <w:rPr/>
              <w:t> </w:t>
            </w:r>
          </w:p>
        </w:tc>
      </w:tr>
      <w:tr>
        <w:trPr/>
        <w:tc>
          <w:tcPr>
            <w:tcW w:w="6962" w:type="dxa"/>
            <w:tcBorders/>
            <w:vAlign w:val="center"/>
          </w:tcPr>
          <w:p>
            <w:pPr>
              <w:pStyle w:val="TableContents"/>
              <w:bidi w:val="0"/>
              <w:spacing w:before="0" w:after="283"/>
              <w:jc w:val="left"/>
              <w:rPr/>
            </w:pPr>
            <w:r>
              <w:rPr/>
              <w:t>Net cash provided by financing activities</w:t>
            </w:r>
          </w:p>
        </w:tc>
        <w:tc>
          <w:tcPr>
            <w:tcW w:w="90" w:type="dxa"/>
            <w:tcBorders/>
            <w:vAlign w:val="center"/>
          </w:tcPr>
          <w:p>
            <w:pPr>
              <w:pStyle w:val="TableContents"/>
              <w:bidi w:val="0"/>
              <w:spacing w:before="0" w:after="283"/>
              <w:jc w:val="left"/>
              <w:rPr/>
            </w:pPr>
            <w:r>
              <w:rPr/>
              <w:t> </w:t>
            </w:r>
          </w:p>
        </w:tc>
        <w:tc>
          <w:tcPr>
            <w:tcW w:w="24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tcMar>
              <w:bottom w:w="28" w:type="dxa"/>
            </w:tcMar>
            <w:vAlign w:val="center"/>
          </w:tcPr>
          <w:p>
            <w:pPr>
              <w:pStyle w:val="TableContents"/>
              <w:bidi w:val="0"/>
              <w:spacing w:before="0" w:after="283"/>
              <w:jc w:val="right"/>
              <w:rPr/>
            </w:pPr>
            <w:r>
              <w:rPr/>
              <w:t>27,911</w:t>
            </w:r>
          </w:p>
        </w:tc>
        <w:tc>
          <w:tcPr>
            <w:tcW w:w="172" w:type="dxa"/>
            <w:tcBorders/>
            <w:vAlign w:val="center"/>
          </w:tcPr>
          <w:p>
            <w:pPr>
              <w:pStyle w:val="TableContents"/>
              <w:bidi w:val="0"/>
              <w:spacing w:before="0" w:after="283"/>
              <w:jc w:val="left"/>
              <w:rPr/>
            </w:pPr>
            <w:r>
              <w:rPr/>
              <w:t> </w:t>
            </w:r>
          </w:p>
        </w:tc>
      </w:tr>
      <w:tr>
        <w:trPr/>
        <w:tc>
          <w:tcPr>
            <w:tcW w:w="6962" w:type="dxa"/>
            <w:tcBorders/>
            <w:shd w:fill="CCEEFF" w:val="clear"/>
            <w:vAlign w:val="center"/>
          </w:tcPr>
          <w:p>
            <w:pPr>
              <w:pStyle w:val="TableContents"/>
              <w:bidi w:val="0"/>
              <w:spacing w:before="0" w:after="283"/>
              <w:jc w:val="left"/>
              <w:rPr>
                <w:b/>
              </w:rPr>
            </w:pPr>
            <w:r>
              <w:rPr>
                <w:b/>
              </w:rPr>
              <w:t>Net increase in cash and cash equivalents</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21,997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27,743</w:t>
            </w:r>
          </w:p>
        </w:tc>
        <w:tc>
          <w:tcPr>
            <w:tcW w:w="172" w:type="dxa"/>
            <w:tcBorders/>
            <w:shd w:fill="CCEEFF" w:val="clear"/>
            <w:vAlign w:val="center"/>
          </w:tcPr>
          <w:p>
            <w:pPr>
              <w:pStyle w:val="TableContents"/>
              <w:bidi w:val="0"/>
              <w:spacing w:before="0" w:after="283"/>
              <w:jc w:val="left"/>
              <w:rPr/>
            </w:pPr>
            <w:r>
              <w:rPr/>
              <w:t> </w:t>
            </w:r>
          </w:p>
        </w:tc>
      </w:tr>
      <w:tr>
        <w:trPr/>
        <w:tc>
          <w:tcPr>
            <w:tcW w:w="6962" w:type="dxa"/>
            <w:tcBorders/>
            <w:vAlign w:val="center"/>
          </w:tcPr>
          <w:p>
            <w:pPr>
              <w:pStyle w:val="TableContents"/>
              <w:bidi w:val="0"/>
              <w:spacing w:before="0" w:after="283"/>
              <w:jc w:val="left"/>
              <w:rPr/>
            </w:pPr>
            <w:r>
              <w:rPr/>
              <w:t>Cash and cash equivalents at beginning of period</w:t>
            </w:r>
          </w:p>
        </w:tc>
        <w:tc>
          <w:tcPr>
            <w:tcW w:w="90" w:type="dxa"/>
            <w:tcBorders/>
            <w:vAlign w:val="center"/>
          </w:tcPr>
          <w:p>
            <w:pPr>
              <w:pStyle w:val="TableContents"/>
              <w:bidi w:val="0"/>
              <w:spacing w:before="0" w:after="283"/>
              <w:jc w:val="left"/>
              <w:rPr/>
            </w:pPr>
            <w:r>
              <w:rPr/>
              <w:t> </w:t>
            </w:r>
          </w:p>
        </w:tc>
        <w:tc>
          <w:tcPr>
            <w:tcW w:w="24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tcMar>
              <w:bottom w:w="28" w:type="dxa"/>
            </w:tcMar>
            <w:vAlign w:val="center"/>
          </w:tcPr>
          <w:p>
            <w:pPr>
              <w:pStyle w:val="TableContents"/>
              <w:bidi w:val="0"/>
              <w:spacing w:before="0" w:after="283"/>
              <w:jc w:val="right"/>
              <w:rPr/>
            </w:pPr>
            <w:r>
              <w:rPr/>
              <w:t>61,575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tcMar>
              <w:bottom w:w="28" w:type="dxa"/>
            </w:tcMar>
            <w:vAlign w:val="center"/>
          </w:tcPr>
          <w:p>
            <w:pPr>
              <w:pStyle w:val="TableContents"/>
              <w:bidi w:val="0"/>
              <w:spacing w:before="0" w:after="0"/>
              <w:jc w:val="right"/>
              <w:rPr/>
            </w:pPr>
            <w:r>
              <w:rPr/>
              <w:t>—</w:t>
            </w:r>
          </w:p>
        </w:tc>
        <w:tc>
          <w:tcPr>
            <w:tcW w:w="172" w:type="dxa"/>
            <w:tcBorders/>
            <w:vAlign w:val="center"/>
          </w:tcPr>
          <w:p>
            <w:pPr>
              <w:pStyle w:val="TableContents"/>
              <w:bidi w:val="0"/>
              <w:spacing w:before="0" w:after="283"/>
              <w:jc w:val="left"/>
              <w:rPr/>
            </w:pPr>
            <w:r>
              <w:rPr/>
              <w:t> </w:t>
            </w:r>
          </w:p>
        </w:tc>
      </w:tr>
      <w:tr>
        <w:trPr/>
        <w:tc>
          <w:tcPr>
            <w:tcW w:w="6962" w:type="dxa"/>
            <w:tcBorders/>
            <w:shd w:fill="CCEEFF" w:val="clear"/>
            <w:vAlign w:val="center"/>
          </w:tcPr>
          <w:p>
            <w:pPr>
              <w:pStyle w:val="TableContents"/>
              <w:bidi w:val="0"/>
              <w:spacing w:before="0" w:after="283"/>
              <w:jc w:val="left"/>
              <w:rPr/>
            </w:pPr>
            <w:r>
              <w:rPr/>
              <w:t>Cash and cash equivalents at end of period</w:t>
            </w:r>
          </w:p>
        </w:tc>
        <w:tc>
          <w:tcPr>
            <w:tcW w:w="90" w:type="dxa"/>
            <w:tcBorders/>
            <w:shd w:fill="CCEEFF" w:val="clear"/>
            <w:vAlign w:val="center"/>
          </w:tcPr>
          <w:p>
            <w:pPr>
              <w:pStyle w:val="TableContents"/>
              <w:bidi w:val="0"/>
              <w:spacing w:before="0" w:after="283"/>
              <w:jc w:val="left"/>
              <w:rPr/>
            </w:pPr>
            <w:r>
              <w:rPr/>
              <w:t> </w:t>
            </w:r>
          </w:p>
        </w:tc>
        <w:tc>
          <w:tcPr>
            <w:tcW w:w="24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9" w:type="dxa"/>
            <w:tcBorders>
              <w:bottom w:val="double" w:sz="10" w:space="0" w:color="000000"/>
            </w:tcBorders>
            <w:shd w:fill="CCEEFF" w:val="clear"/>
            <w:tcMar>
              <w:bottom w:w="28" w:type="dxa"/>
            </w:tcMar>
            <w:vAlign w:val="center"/>
          </w:tcPr>
          <w:p>
            <w:pPr>
              <w:pStyle w:val="TableContents"/>
              <w:bidi w:val="0"/>
              <w:spacing w:before="0" w:after="283"/>
              <w:jc w:val="right"/>
              <w:rPr/>
            </w:pPr>
            <w:r>
              <w:rPr/>
              <w:t>83,572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15" w:type="dxa"/>
            <w:tcBorders>
              <w:bottom w:val="double" w:sz="10" w:space="0" w:color="000000"/>
            </w:tcBorders>
            <w:shd w:fill="CCEEFF" w:val="clear"/>
            <w:tcMar>
              <w:bottom w:w="28" w:type="dxa"/>
            </w:tcMar>
            <w:vAlign w:val="center"/>
          </w:tcPr>
          <w:p>
            <w:pPr>
              <w:pStyle w:val="TableContents"/>
              <w:bidi w:val="0"/>
              <w:spacing w:before="0" w:after="283"/>
              <w:jc w:val="right"/>
              <w:rPr/>
            </w:pPr>
            <w:r>
              <w:rPr/>
              <w:t>27,743</w:t>
            </w:r>
          </w:p>
        </w:tc>
        <w:tc>
          <w:tcPr>
            <w:tcW w:w="172" w:type="dxa"/>
            <w:tcBorders/>
            <w:shd w:fill="CCEEFF" w:val="clear"/>
            <w:vAlign w:val="center"/>
          </w:tcPr>
          <w:p>
            <w:pPr>
              <w:pStyle w:val="TableContents"/>
              <w:bidi w:val="0"/>
              <w:spacing w:before="0" w:after="283"/>
              <w:jc w:val="left"/>
              <w:rPr/>
            </w:pPr>
            <w:r>
              <w:rPr/>
              <w:t> </w:t>
            </w:r>
          </w:p>
        </w:tc>
      </w:tr>
      <w:tr>
        <w:trPr/>
        <w:tc>
          <w:tcPr>
            <w:tcW w:w="6962" w:type="dxa"/>
            <w:tcBorders/>
            <w:vAlign w:val="center"/>
          </w:tcPr>
          <w:p>
            <w:pPr>
              <w:pStyle w:val="TableContents"/>
              <w:bidi w:val="0"/>
              <w:spacing w:before="0" w:after="283"/>
              <w:jc w:val="left"/>
              <w:rPr>
                <w:b/>
              </w:rPr>
            </w:pPr>
            <w:r>
              <w:rPr>
                <w:b/>
              </w:rPr>
              <w:t>Supplemental disclosures of non-cash operating and financing activities:</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3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6962" w:type="dxa"/>
            <w:tcBorders/>
            <w:shd w:fill="CCEEFF" w:val="clear"/>
            <w:vAlign w:val="center"/>
          </w:tcPr>
          <w:p>
            <w:pPr>
              <w:pStyle w:val="TableContents"/>
              <w:bidi w:val="0"/>
              <w:spacing w:before="0" w:after="283"/>
              <w:jc w:val="left"/>
              <w:rPr/>
            </w:pPr>
            <w:r>
              <w:rPr/>
              <w:t>Deferred offering costs in accrued expenses and other current liabilities</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113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283"/>
              <w:jc w:val="right"/>
              <w:rPr/>
            </w:pPr>
            <w:r>
              <w:rPr/>
              <w:t>488</w:t>
            </w:r>
          </w:p>
        </w:tc>
        <w:tc>
          <w:tcPr>
            <w:tcW w:w="17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ORUKA THERAPEUTICS, INC.</w:t>
        <w:b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Nature of the Business and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Background and Basis of Presentation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Oruka Therapeutics, Inc., together with its subsidiaries (collectively, the “Company”), formerly known as ARCA biopharma, Inc. (“ARCA”), is a clinical-stage biopharmaceutical company that is the result of the reverse recapitalization discussed below. Prior to the reverse recapitalization, the private company Oruka Therapeutics, Inc. (“Pre-Merger Oruka”) was established and incorporated under the laws of the state of Delaware on February 6, 2024 (referred to in the Notes as the inception of the Company). The Company is headquartered in Menlo Park, California. The Company is led by the Pre-Merger Oruka management team and is focused on developing biologics for psoriasis and other inflammatory and immunology indications.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and accompanying notes are prepared in accordance with United States (“U.S.”) generally accepted accounting principles (“GAAP”) for interim financial reporting and the rules and regulations of the U.S. Securities and Exchange Commission (the “SEC”) and therefore do not include all information and disclosures normally included in the annual consolidated financial statements. The accompanying condensed consolidated financial statements reflect the operations of the Company and its wholly-owned subsidiaries. Intercompany balances and transactions have been eliminated in consolidation.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and footnote disclosures normally included in the financial statements prepared in accordance with U.S. GAAP have been condensed or omitted pursuant to such rules and regulations. Accordingly, these condensed consolidated financial statements should be read in conjunction with the audited financial statements and the related notes thereto for the period ended December 31, 2024 included in the Company’s Annual Report on Form 10-K filed with the SEC on March 6, 2025 (the “Annual Report”). The information as of December 31, 2024, included in the condensed consolidated balance sheets was derived from the Company’s audited financial statements. These unaudited interim condensed consolidated financial statements have been prepared on the same basis as the Company’s annual consolidated financial statements, and in the opinion of management, reflect all adjustments, which include only normal recurring adjustments necessary for a fair statement of the Company’s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for the three months ended March 31, 2025 are not necessarily indicative of results that may be expected for the year ending December 31, 2025 or for any other interim period or for any other future year.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Reverse Recapitalization, Pre-Closing Financing, and Reverse Stock Split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29, 2024 (the “Closing”), the Company completed the acquisition (the “Merger”) of Pre-Merger Oruka pursuant to an Agreement and Plan of Merger and Reorganization, dated as of April 3, 2024 (the “Merger Agreement”). Following the transactions contemplated by the Merger Agreement, on August 29, 2024, the Company changed its name from “ARCA biopharma, Inc.” to “Oruka Therapeutics, Inc.” and the Company effected a 1-for-12 reverse stock split (the “Reverse Stock Split”) of the common stock, par value $0.001 per share, of the Company (“Company Common Stock”), which became effective on September 3, 2024. All references to common stock, options to purchase common stock, outstanding common stock warrants, common stock share data, per share data, and related information contained in the condensed consolidated financial statements have been retrospectively adjusted to reflect the effect of the Reverse Stock Split for all periods presented, unless otherwise specifically indicated or the context otherwise requires.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execution and delivery of the Merger Agreement, certain new and existing investors of Pre-Merger Oruka entered into a subscription agreement with Pre-Merger Oruka (that was subsequently amended and restated in July 2024, the “Subscription Agreement”), pursuant to which, and on the terms and subject to the conditions of which, immediately prior to the Closing, those investors purchased shares of common stock of Pre-Merger Oruka (“Pre-Merger Oruka Common Stock”) and Pre-Merger Oruka pre-funded warrants for gross proceeds of approximately $275.0 million (which includes $25.0 million of proceeds previously received from the issuance of the Convertible Note (as defined in Note 6) and accrued interest on such note which converted to shares of Pre-Merger Oruka Common Stock) (the “Pre-Closing Financing”). The Company incurred transaction costs of $20.5 million which were recorded as a reduction to additional paid-in capital in the condensed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the shares of Pre-Merger Oruka Common Stock were converted into shares of Company Common Stock and pre-funded warrants of Company Common Stock in accordance with the Exchange Ratio (as defined below and determined by the terms of the Merger Agreement). Moreover, as part of the Closing, (i) then-issued and outstanding share of Pre-Merger Oruka Common Stock (including outstanding and unvested Pre-Merger Oruka restricted stock and shares of Pre-Merger Oruka Common Stock issued in connection with the Subscription Agreement) were converted into the right to receive a number of shares of Company Common Stock, equal to the exchange ratio of 6.8569 shares of Company Common Stock (the “Exchange Ratio”), which were subject to the same vesting provisions as those immediately prior to the Merger; (ii) each share of Pre-Merger Oruka Series A convertible preferred stock, par value $0.0001 (“Pre-Merger Oruka Series A Preferred Stock”) was converted into the right to receive a number of shares of ARCA Series B non-voting convertible preferred stock, par value $0.001 per share (“Company Series B Preferred Stock”), which are convertible into shares of Company Common Stock at a conversion ratio of approximately 83.3332:1 after the Reverse Stock Split, (iii) each outstanding option to purchase Pre-Merger Oruka Common Stock was converted into an option to purchase shares of Company Common Stock, and (iv) each outstanding warrant to purchase shares of Pre-Merger Oruka Common Stock was converted into a warrant to purchase shares of Company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was accounted for as a reverse recapitalization in accordance with U.S. GAAP. Under this method of accounting, Pre-Merger Oruka was deemed to be the accounting acquirer for financial reporting purposes. This determination was primarily based on the fact that, immediately following the Merger: (i) Pre-Merger Oruka stockholders own a substantial majority of the voting rights in the combined company; (ii) Pre-Merger Oruka’s largest stockholders retain the largest interest in the combined company; (iii) Pre-Merger Oruka designated a majority of the initial members of the board of directors of the combined company; and (iv) Pre-Merger Oruka’s executive management team became the management team of the combined company. Accordingly, for accounting purposes: (a) the Merger was treated as the equivalent of Pre-Merger Oruka issuing stock to acquire the net assets of ARCA, and (b) the reported historical operating results of the combined company prior to the Merger are those of Pre-Merger Oruka. As part of the reverse recapitalization, the Company acquired a cash balance of $4.94 million from ARCA.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PIPE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11, 2024, the Company entered into a Securities Purchase Agreement for a private placement (the “PIPE Financing”) with certain institutional and accredited investors. The closing of the PIPE Financing occurred on September 13,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Pursuant to the Securities Purchase Agreement, the investors purchased an aggregate of 5,600,000 shares of Company Common Stock at a purchase price of $23.00 per share, an aggregate of 2,439 shares of the Company’s Series A non-voting convertible preferred stock, par value $0.001 per share (“Company Series A Preferred Stock”), at a purchase price of $23,000.00 per share (each share of Company Series A Preferred Stock was convertible into 1,000 shares of Company Common Stock), and pre-funded warrants to purchase an aggregate of 680,000 shares of Company Common Stock at a purchase price of $22.999 per pre-funded warrant, for aggregate net proceeds of approximately $188.7 million (net of issuance costs of $11.9 million). In November 2024, the 2,439 shares of the Company Series A Preferred Stock were converted to 2,439,000 shares of Company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Going Concern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its inception, the Company has devoted substantially all of its resources to advancing the development of its portfolio of programs, organizing and staffing the Company, business planning, raising capital, and providing general and administrative support for these operations. Current and future programs will require significant research and development efforts, including preclinical and clinical trials, and regulatory approvals to commercialization. Until such time as the Company can generate significant revenue from product sales, if ever, the Company expects it will need additional financing to fund its operating activities.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generated any revenue from product sales or other sources and has incurred significant operating losses and negative cash flows from operations since inception. For the three months ended March 31, 2025, the Company incurred a net loss of $21.0 million and used net cash of $20.9 million for its operating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the Company had cash, cash equivalents, and marketable securities of $373.0 million. The Company’s management expects that the existing cash, cash equivalents, and marketable securities will be sufficient to fund the Company’s operating plans for at least twelve months from the date these condensed consolidated financial statements were issued. The Company expects that its research and development and general and administrative costs will continue to increase significantly, including in connection with conducting pre-clinical activities and clinical trials and manufacturing for its existing product candidates and any future product candidates to support commercialization and providing general and administrative support for its operations, including the costs associated with operating as a public company. The Company’s ability to access capital when needed is not assured and, if capital is not available to the Company when, and in the amounts needed, the Company may be required to significantly curtail, delay, or discontinue one or more of its research or development programs or the commercialization of any product candidate, or be unable to expand its operations or otherwise capitalize on the Company’s business opportunities, as desired, which could materially harm the Company’s business, financial condition and results of operations.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significant accounting policies are detailed in the Notes titled “1. Nature of the Business and Basis of Presentation” and “2. Summary of Significant Accounting Policies” of the Company’s Annual Report. The Company uses the same accounting policies in preparing its quarterly and annual financial statements. There have been no material changes to significant accounting policies during the three months ended March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condensed consolidated financial statements in conformity with U.S. GAAP requires management to make estimates, assumptions, and judgments that affect the reported amounts of assets and liabilities and the disclosure of contingent liabilities at the date of the condensed consolidated financial statements and the reported amounts of income and expenses during the reporting periods. Significant estimates and assumptions reflected within these condensed consolidated financial statements include but are not limited to research and development expenses and related prepaid or accrued costs and the valuation of stock-based compensation awards and related expenses. The Company bases its estimates on known trends and other market-specific or other relevant factors that it believes to be reasonable under the circumstances. On an ongoing basis, management evaluates its estimates, as there are changes in circumstances, facts, and experience. Actual results could differ materially from those estimates or assumptions.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ASU 2023-09, </w:t>
      </w:r>
      <w:r>
        <w:rPr>
          <w:rFonts w:ascii="Times New Roman;Times;Serif" w:hAnsi="Times New Roman;Times;Serif"/>
          <w:b w:val="false"/>
          <w:i/>
          <w:caps w:val="false"/>
          <w:smallCaps w:val="false"/>
          <w:sz w:val="20"/>
        </w:rPr>
        <w:t>Income Taxes (Topic 740): Improvements to Income Tax Disclosures</w:t>
      </w:r>
      <w:r>
        <w:rPr>
          <w:rFonts w:ascii="Times New Roman;Times;Serif" w:hAnsi="Times New Roman;Times;Serif"/>
          <w:b w:val="false"/>
          <w:i w:val="false"/>
          <w:caps w:val="false"/>
          <w:smallCaps w:val="false"/>
          <w:sz w:val="20"/>
        </w:rPr>
        <w:t>. This ASU expands disclosures in an entity’s income tax rate reconciliation table and disclosures regarding taxes paid both in the U.S. and foreign jurisdictions. This update is effective beginning with the Company’s 2025 fiscal year annual reporting period. The Company is currently evaluating the impact of the adoption of this ASU on its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2024-03, </w:t>
      </w:r>
      <w:r>
        <w:rPr>
          <w:rFonts w:ascii="Times New Roman;Times;Serif" w:hAnsi="Times New Roman;Times;Serif"/>
          <w:b w:val="false"/>
          <w:i/>
          <w:caps w:val="false"/>
          <w:smallCaps w:val="false"/>
          <w:sz w:val="20"/>
        </w:rPr>
        <w:t>Income Statement—Reporting Comprehensive Income—Expense Disaggregation Disclosures (Subtopic 220-40): Disaggregation of Income Statement Expenses</w:t>
      </w:r>
      <w:r>
        <w:rPr>
          <w:rFonts w:ascii="Times New Roman;Times;Serif" w:hAnsi="Times New Roman;Times;Serif"/>
          <w:b w:val="false"/>
          <w:i w:val="false"/>
          <w:caps w:val="false"/>
          <w:smallCaps w:val="false"/>
          <w:sz w:val="20"/>
        </w:rPr>
        <w:t>. This ASU requires more detailed disclosures, on an annual and interim basis, about specified categories of expenses (including employee compensation, depreciation, and amortization) included in certain expense captions presented on the face of the income statement. This ASU is effective for fiscal years beginning after December 15, 2026, and interim periods within fiscal years beginning after December 15, 2027. Early adoption is permitted. This ASU may be applied either prospectively or retrospectively. The Company is currently evaluating the impact of the adoption of this ASU on its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the Company’s fair value hierarchy for financial assets measured as of March 31, 2025 and December 31, 2024 (in thousands):</w:t>
      </w:r>
    </w:p>
    <w:p>
      <w:pPr>
        <w:pStyle w:val="TextBody"/>
        <w:bidi w:val="0"/>
        <w:spacing w:before="0" w:after="0"/>
        <w:ind w:left="0" w:right="0" w:hanging="0"/>
        <w:jc w:val="left"/>
        <w:rPr>
          <w:caps w:val="false"/>
          <w:smallCaps w:val="false"/>
        </w:rPr>
      </w:pPr>
      <w:r>
        <w:rPr>
          <w:caps w:val="false"/>
          <w:smallCaps w:val="false"/>
        </w:rPr>
        <w:t> </w:t>
      </w:r>
    </w:p>
    <w:tbl>
      <w:tblPr>
        <w:tblW w:w="9024" w:type="dxa"/>
        <w:jc w:val="left"/>
        <w:tblInd w:w="0" w:type="dxa"/>
        <w:tblLayout w:type="fixed"/>
        <w:tblCellMar>
          <w:top w:w="0" w:type="dxa"/>
          <w:left w:w="0" w:type="dxa"/>
          <w:bottom w:w="0" w:type="dxa"/>
          <w:right w:w="0" w:type="dxa"/>
        </w:tblCellMar>
      </w:tblPr>
      <w:tblGrid>
        <w:gridCol w:w="4595"/>
        <w:gridCol w:w="90"/>
        <w:gridCol w:w="170"/>
        <w:gridCol w:w="710"/>
        <w:gridCol w:w="90"/>
        <w:gridCol w:w="90"/>
        <w:gridCol w:w="170"/>
        <w:gridCol w:w="830"/>
        <w:gridCol w:w="90"/>
        <w:gridCol w:w="90"/>
        <w:gridCol w:w="289"/>
        <w:gridCol w:w="495"/>
        <w:gridCol w:w="90"/>
        <w:gridCol w:w="90"/>
        <w:gridCol w:w="170"/>
        <w:gridCol w:w="830"/>
        <w:gridCol w:w="135"/>
      </w:tblGrid>
      <w:tr>
        <w:trPr/>
        <w:tc>
          <w:tcPr>
            <w:tcW w:w="45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04"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March 31, 2025</w:t>
            </w:r>
          </w:p>
        </w:tc>
        <w:tc>
          <w:tcPr>
            <w:tcW w:w="135"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Cash equivalents</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Money market funds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11,129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w:t>
            </w:r>
          </w:p>
        </w:tc>
        <w:tc>
          <w:tcPr>
            <w:tcW w:w="49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11,129</w:t>
            </w:r>
          </w:p>
        </w:tc>
        <w:tc>
          <w:tcPr>
            <w:tcW w:w="135"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U.S. government agency securities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1,997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1,997</w:t>
            </w:r>
          </w:p>
        </w:tc>
        <w:tc>
          <w:tcPr>
            <w:tcW w:w="135"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Corporate debt securities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1,341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1,341</w:t>
            </w:r>
          </w:p>
        </w:tc>
        <w:tc>
          <w:tcPr>
            <w:tcW w:w="135"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Commercial papers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64,892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single" w:sz="12" w:space="0" w:color="000000"/>
            </w:tcBorders>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64,892</w:t>
            </w:r>
          </w:p>
        </w:tc>
        <w:tc>
          <w:tcPr>
            <w:tcW w:w="135"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Total cash equivalents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11,129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68,230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79,359</w:t>
            </w:r>
          </w:p>
        </w:tc>
        <w:tc>
          <w:tcPr>
            <w:tcW w:w="135"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Marketable securities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Marketable securities, current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U.S. treasury securities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174,191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174,191</w:t>
            </w:r>
          </w:p>
        </w:tc>
        <w:tc>
          <w:tcPr>
            <w:tcW w:w="135"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U.S. government agency securities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8,765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8,765</w:t>
            </w:r>
          </w:p>
        </w:tc>
        <w:tc>
          <w:tcPr>
            <w:tcW w:w="135"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Commercial papers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30,226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30,226</w:t>
            </w:r>
          </w:p>
        </w:tc>
        <w:tc>
          <w:tcPr>
            <w:tcW w:w="135"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Corporate debt securities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52,340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52,340</w:t>
            </w:r>
          </w:p>
        </w:tc>
        <w:tc>
          <w:tcPr>
            <w:tcW w:w="135"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Total marketable securities, current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265,522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single" w:sz="12" w:space="0" w:color="000000"/>
            </w:tcBorders>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265,522</w:t>
            </w:r>
          </w:p>
        </w:tc>
        <w:tc>
          <w:tcPr>
            <w:tcW w:w="135"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Marketable securities, long-term</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U.S. treasury securities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19,510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19,510</w:t>
            </w:r>
          </w:p>
        </w:tc>
        <w:tc>
          <w:tcPr>
            <w:tcW w:w="135"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U.S. government agency securities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4,443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4,443</w:t>
            </w:r>
          </w:p>
        </w:tc>
        <w:tc>
          <w:tcPr>
            <w:tcW w:w="135"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Total marketable securities, long-term</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23,953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single" w:sz="12" w:space="0" w:color="000000"/>
            </w:tcBorders>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23,953</w:t>
            </w:r>
          </w:p>
        </w:tc>
        <w:tc>
          <w:tcPr>
            <w:tcW w:w="135"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Total cash equivalents and marketable securities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pPr>
            <w:r>
              <w:rPr/>
              <w:t>11,129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357,705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49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368,834</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transfers in or out of Level 3 during the three months ended March 31, 2025.</w:t>
      </w:r>
    </w:p>
    <w:p>
      <w:pPr>
        <w:pStyle w:val="TextBody"/>
        <w:bidi w:val="0"/>
        <w:spacing w:before="0" w:after="0"/>
        <w:ind w:left="0" w:right="0" w:hanging="0"/>
        <w:jc w:val="left"/>
        <w:rPr>
          <w:caps w:val="false"/>
          <w:smallCaps w:val="false"/>
        </w:rPr>
      </w:pPr>
      <w:r>
        <w:rPr>
          <w:caps w:val="false"/>
          <w:smallCaps w:val="false"/>
        </w:rPr>
        <w:t> </w:t>
      </w:r>
    </w:p>
    <w:tbl>
      <w:tblPr>
        <w:tblW w:w="8928" w:type="dxa"/>
        <w:jc w:val="left"/>
        <w:tblInd w:w="0" w:type="dxa"/>
        <w:tblLayout w:type="fixed"/>
        <w:tblCellMar>
          <w:top w:w="0" w:type="dxa"/>
          <w:left w:w="0" w:type="dxa"/>
          <w:bottom w:w="0" w:type="dxa"/>
          <w:right w:w="0" w:type="dxa"/>
        </w:tblCellMar>
      </w:tblPr>
      <w:tblGrid>
        <w:gridCol w:w="4595"/>
        <w:gridCol w:w="90"/>
        <w:gridCol w:w="175"/>
        <w:gridCol w:w="609"/>
        <w:gridCol w:w="90"/>
        <w:gridCol w:w="90"/>
        <w:gridCol w:w="170"/>
        <w:gridCol w:w="830"/>
        <w:gridCol w:w="90"/>
        <w:gridCol w:w="90"/>
        <w:gridCol w:w="289"/>
        <w:gridCol w:w="495"/>
        <w:gridCol w:w="90"/>
        <w:gridCol w:w="90"/>
        <w:gridCol w:w="170"/>
        <w:gridCol w:w="830"/>
        <w:gridCol w:w="135"/>
      </w:tblGrid>
      <w:tr>
        <w:trPr/>
        <w:tc>
          <w:tcPr>
            <w:tcW w:w="45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0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December 31, 2024</w:t>
            </w:r>
          </w:p>
        </w:tc>
        <w:tc>
          <w:tcPr>
            <w:tcW w:w="135"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Cash equivalents</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Money market funds</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609" w:type="dxa"/>
            <w:tcBorders/>
            <w:shd w:fill="CCEEFF" w:val="clear"/>
            <w:vAlign w:val="center"/>
          </w:tcPr>
          <w:p>
            <w:pPr>
              <w:pStyle w:val="TableContents"/>
              <w:bidi w:val="0"/>
              <w:spacing w:before="0" w:after="283"/>
              <w:jc w:val="right"/>
              <w:rPr/>
            </w:pPr>
            <w:r>
              <w:rPr/>
              <w:t>6,350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w:t>
            </w:r>
          </w:p>
        </w:tc>
        <w:tc>
          <w:tcPr>
            <w:tcW w:w="49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6,350</w:t>
            </w:r>
          </w:p>
        </w:tc>
        <w:tc>
          <w:tcPr>
            <w:tcW w:w="135"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U.S. treasury securities</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19,660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19,660</w:t>
            </w:r>
          </w:p>
        </w:tc>
        <w:tc>
          <w:tcPr>
            <w:tcW w:w="135"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U.S. government agency securities</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3,988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3,988</w:t>
            </w:r>
          </w:p>
        </w:tc>
        <w:tc>
          <w:tcPr>
            <w:tcW w:w="135"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Commercial papers</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9"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22,177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single" w:sz="12" w:space="0" w:color="000000"/>
            </w:tcBorders>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22,177</w:t>
            </w:r>
          </w:p>
        </w:tc>
        <w:tc>
          <w:tcPr>
            <w:tcW w:w="135"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Total cash equivalents</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9" w:type="dxa"/>
            <w:tcBorders>
              <w:bottom w:val="single" w:sz="12" w:space="0" w:color="000000"/>
            </w:tcBorders>
            <w:shd w:fill="CCEEFF" w:val="clear"/>
            <w:tcMar>
              <w:bottom w:w="28" w:type="dxa"/>
            </w:tcMar>
            <w:vAlign w:val="center"/>
          </w:tcPr>
          <w:p>
            <w:pPr>
              <w:pStyle w:val="TableContents"/>
              <w:bidi w:val="0"/>
              <w:spacing w:before="0" w:after="283"/>
              <w:jc w:val="right"/>
              <w:rPr/>
            </w:pPr>
            <w:r>
              <w:rPr/>
              <w:t>6,350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45,825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52,175</w:t>
            </w:r>
          </w:p>
        </w:tc>
        <w:tc>
          <w:tcPr>
            <w:tcW w:w="135"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Marketable securities</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Marketable securities, current</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U.S. treasury securities</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190,792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190,792</w:t>
            </w:r>
          </w:p>
        </w:tc>
        <w:tc>
          <w:tcPr>
            <w:tcW w:w="135"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U.S. government agency securities</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12,966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12,966</w:t>
            </w:r>
          </w:p>
        </w:tc>
        <w:tc>
          <w:tcPr>
            <w:tcW w:w="135"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Commercial papers</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34,811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34,811</w:t>
            </w:r>
          </w:p>
        </w:tc>
        <w:tc>
          <w:tcPr>
            <w:tcW w:w="135"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Corporate debt securities</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75,504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75,504</w:t>
            </w:r>
          </w:p>
        </w:tc>
        <w:tc>
          <w:tcPr>
            <w:tcW w:w="135"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Total marketable securities, current</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9"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314,073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single" w:sz="12" w:space="0" w:color="000000"/>
            </w:tcBorders>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314,073</w:t>
            </w:r>
          </w:p>
        </w:tc>
        <w:tc>
          <w:tcPr>
            <w:tcW w:w="135"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Marketable securities, long-term</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U.S. treasury securities</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13,607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13,607</w:t>
            </w:r>
          </w:p>
        </w:tc>
        <w:tc>
          <w:tcPr>
            <w:tcW w:w="135"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U.S. government agency securities</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4,462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4,462</w:t>
            </w:r>
          </w:p>
        </w:tc>
        <w:tc>
          <w:tcPr>
            <w:tcW w:w="135"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Total marketable securities, long-term</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9"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18,069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single" w:sz="12" w:space="0" w:color="000000"/>
            </w:tcBorders>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18,069</w:t>
            </w:r>
          </w:p>
        </w:tc>
        <w:tc>
          <w:tcPr>
            <w:tcW w:w="135"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Total cash equivalents and marketable securities</w:t>
            </w:r>
          </w:p>
        </w:tc>
        <w:tc>
          <w:tcPr>
            <w:tcW w:w="90" w:type="dxa"/>
            <w:tcBorders/>
            <w:shd w:fill="CCEEFF" w:val="clear"/>
            <w:vAlign w:val="center"/>
          </w:tcPr>
          <w:p>
            <w:pPr>
              <w:pStyle w:val="TableContents"/>
              <w:bidi w:val="0"/>
              <w:spacing w:before="0" w:after="283"/>
              <w:jc w:val="left"/>
              <w:rPr/>
            </w:pPr>
            <w:r>
              <w:rPr/>
              <w:t> </w:t>
            </w:r>
          </w:p>
        </w:tc>
        <w:tc>
          <w:tcPr>
            <w:tcW w:w="17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09" w:type="dxa"/>
            <w:tcBorders>
              <w:bottom w:val="double" w:sz="10" w:space="0" w:color="000000"/>
            </w:tcBorders>
            <w:shd w:fill="CCEEFF" w:val="clear"/>
            <w:tcMar>
              <w:bottom w:w="28" w:type="dxa"/>
            </w:tcMar>
            <w:vAlign w:val="center"/>
          </w:tcPr>
          <w:p>
            <w:pPr>
              <w:pStyle w:val="TableContents"/>
              <w:bidi w:val="0"/>
              <w:spacing w:before="0" w:after="283"/>
              <w:jc w:val="right"/>
              <w:rPr/>
            </w:pPr>
            <w:r>
              <w:rPr/>
              <w:t>6,350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377,967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49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384,317</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Cash Equivalents and Marketable Securities</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equivalents and marketable securities, which are classified as available-for-sale, consisted of the following as of March 31, 2025 and December 31, 2024 (in thousands):</w:t>
      </w:r>
    </w:p>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02"/>
        <w:gridCol w:w="90"/>
        <w:gridCol w:w="241"/>
        <w:gridCol w:w="1180"/>
        <w:gridCol w:w="90"/>
        <w:gridCol w:w="90"/>
        <w:gridCol w:w="692"/>
        <w:gridCol w:w="1186"/>
        <w:gridCol w:w="90"/>
        <w:gridCol w:w="90"/>
        <w:gridCol w:w="609"/>
        <w:gridCol w:w="1311"/>
        <w:gridCol w:w="125"/>
        <w:gridCol w:w="90"/>
        <w:gridCol w:w="183"/>
        <w:gridCol w:w="896"/>
        <w:gridCol w:w="140"/>
      </w:tblGrid>
      <w:tr>
        <w:trPr/>
        <w:tc>
          <w:tcPr>
            <w:tcW w:w="31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73"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March 31, 2025</w:t>
            </w:r>
          </w:p>
        </w:tc>
        <w:tc>
          <w:tcPr>
            <w:tcW w:w="140" w:type="dxa"/>
            <w:tcBorders/>
            <w:vAlign w:val="center"/>
          </w:tcPr>
          <w:p>
            <w:pPr>
              <w:pStyle w:val="TableContents"/>
              <w:bidi w:val="0"/>
              <w:spacing w:before="0" w:after="283"/>
              <w:jc w:val="left"/>
              <w:rPr/>
            </w:pPr>
            <w:r>
              <w:rPr/>
              <w:t> </w:t>
            </w:r>
          </w:p>
        </w:tc>
      </w:tr>
      <w:tr>
        <w:trPr/>
        <w:tc>
          <w:tcPr>
            <w:tcW w:w="31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Amortized Cost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Gross Unrealized Gains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Gross Unrealized Losses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140" w:type="dxa"/>
            <w:tcBorders/>
            <w:vAlign w:val="center"/>
          </w:tcPr>
          <w:p>
            <w:pPr>
              <w:pStyle w:val="TableContents"/>
              <w:bidi w:val="0"/>
              <w:spacing w:before="0" w:after="283"/>
              <w:jc w:val="left"/>
              <w:rPr/>
            </w:pPr>
            <w:r>
              <w:rPr/>
              <w:t> </w:t>
            </w:r>
          </w:p>
        </w:tc>
      </w:tr>
      <w:tr>
        <w:trPr/>
        <w:tc>
          <w:tcPr>
            <w:tcW w:w="3102" w:type="dxa"/>
            <w:tcBorders/>
            <w:vAlign w:val="center"/>
          </w:tcPr>
          <w:p>
            <w:pPr>
              <w:pStyle w:val="TableContents"/>
              <w:bidi w:val="0"/>
              <w:spacing w:before="0" w:after="283"/>
              <w:jc w:val="left"/>
              <w:rPr/>
            </w:pPr>
            <w:r>
              <w:rPr/>
              <w:t>Cash equivalents</w:t>
            </w:r>
          </w:p>
        </w:tc>
        <w:tc>
          <w:tcPr>
            <w:tcW w:w="90" w:type="dxa"/>
            <w:tcBorders/>
            <w:vAlign w:val="center"/>
          </w:tcPr>
          <w:p>
            <w:pPr>
              <w:pStyle w:val="TableContents"/>
              <w:bidi w:val="0"/>
              <w:spacing w:before="0" w:after="283"/>
              <w:jc w:val="left"/>
              <w:rPr/>
            </w:pPr>
            <w:r>
              <w:rPr/>
              <w:t> </w:t>
            </w:r>
          </w:p>
        </w:tc>
        <w:tc>
          <w:tcPr>
            <w:tcW w:w="1421"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78"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9" w:type="dxa"/>
            <w:gridSpan w:val="2"/>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r>
      <w:tr>
        <w:trPr/>
        <w:tc>
          <w:tcPr>
            <w:tcW w:w="3102" w:type="dxa"/>
            <w:tcBorders/>
            <w:shd w:fill="CCEEFF" w:val="clear"/>
            <w:vAlign w:val="center"/>
          </w:tcPr>
          <w:p>
            <w:pPr>
              <w:pStyle w:val="TableContents"/>
              <w:bidi w:val="0"/>
              <w:spacing w:before="0" w:after="283"/>
              <w:jc w:val="left"/>
              <w:rPr/>
            </w:pPr>
            <w:r>
              <w:rPr/>
              <w:t>Money market funds</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11,129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left"/>
              <w:rPr/>
            </w:pPr>
            <w:r>
              <w:rPr/>
              <w:t>$</w:t>
            </w:r>
          </w:p>
        </w:tc>
        <w:tc>
          <w:tcPr>
            <w:tcW w:w="1186"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left"/>
              <w:rPr/>
            </w:pPr>
            <w:r>
              <w:rPr/>
              <w:t>$</w:t>
            </w:r>
          </w:p>
        </w:tc>
        <w:tc>
          <w:tcPr>
            <w:tcW w:w="131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896" w:type="dxa"/>
            <w:tcBorders/>
            <w:shd w:fill="CCEEFF" w:val="clear"/>
            <w:vAlign w:val="center"/>
          </w:tcPr>
          <w:p>
            <w:pPr>
              <w:pStyle w:val="TableContents"/>
              <w:bidi w:val="0"/>
              <w:spacing w:before="0" w:after="283"/>
              <w:jc w:val="right"/>
              <w:rPr/>
            </w:pPr>
            <w:r>
              <w:rPr/>
              <w:t>11,129</w:t>
            </w:r>
          </w:p>
        </w:tc>
        <w:tc>
          <w:tcPr>
            <w:tcW w:w="140" w:type="dxa"/>
            <w:tcBorders/>
            <w:shd w:fill="CCEEFF" w:val="clear"/>
            <w:vAlign w:val="center"/>
          </w:tcPr>
          <w:p>
            <w:pPr>
              <w:pStyle w:val="TableContents"/>
              <w:bidi w:val="0"/>
              <w:spacing w:before="0" w:after="283"/>
              <w:jc w:val="left"/>
              <w:rPr/>
            </w:pPr>
            <w:r>
              <w:rPr/>
              <w:t> </w:t>
            </w:r>
          </w:p>
        </w:tc>
      </w:tr>
      <w:tr>
        <w:trPr/>
        <w:tc>
          <w:tcPr>
            <w:tcW w:w="3102" w:type="dxa"/>
            <w:tcBorders/>
            <w:vAlign w:val="center"/>
          </w:tcPr>
          <w:p>
            <w:pPr>
              <w:pStyle w:val="TableContents"/>
              <w:bidi w:val="0"/>
              <w:spacing w:before="0" w:after="283"/>
              <w:jc w:val="left"/>
              <w:rPr/>
            </w:pPr>
            <w:r>
              <w:rPr/>
              <w:t>U.S. government agency securities</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1,997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92"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left"/>
              <w:rPr/>
            </w:pPr>
            <w:r>
              <w:rPr/>
              <w:t> </w:t>
            </w:r>
          </w:p>
        </w:tc>
        <w:tc>
          <w:tcPr>
            <w:tcW w:w="131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right"/>
              <w:rPr/>
            </w:pPr>
            <w:r>
              <w:rPr/>
              <w:t xml:space="preserve">1,997 </w:t>
            </w:r>
          </w:p>
        </w:tc>
        <w:tc>
          <w:tcPr>
            <w:tcW w:w="140" w:type="dxa"/>
            <w:tcBorders/>
            <w:vAlign w:val="center"/>
          </w:tcPr>
          <w:p>
            <w:pPr>
              <w:pStyle w:val="TableContents"/>
              <w:bidi w:val="0"/>
              <w:spacing w:before="0" w:after="283"/>
              <w:jc w:val="left"/>
              <w:rPr/>
            </w:pPr>
            <w:r>
              <w:rPr/>
              <w:t> </w:t>
            </w:r>
          </w:p>
        </w:tc>
      </w:tr>
      <w:tr>
        <w:trPr/>
        <w:tc>
          <w:tcPr>
            <w:tcW w:w="3102" w:type="dxa"/>
            <w:tcBorders/>
            <w:shd w:fill="CCEEFF" w:val="clear"/>
            <w:vAlign w:val="center"/>
          </w:tcPr>
          <w:p>
            <w:pPr>
              <w:pStyle w:val="TableContents"/>
              <w:bidi w:val="0"/>
              <w:spacing w:before="0" w:after="283"/>
              <w:jc w:val="left"/>
              <w:rPr/>
            </w:pPr>
            <w:r>
              <w:rPr/>
              <w:t>Corporate debt securities</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1,341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left"/>
              <w:rPr/>
            </w:pPr>
            <w:r>
              <w:rPr/>
              <w:t> </w:t>
            </w:r>
          </w:p>
        </w:tc>
        <w:tc>
          <w:tcPr>
            <w:tcW w:w="131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1,341</w:t>
            </w:r>
          </w:p>
        </w:tc>
        <w:tc>
          <w:tcPr>
            <w:tcW w:w="140" w:type="dxa"/>
            <w:tcBorders/>
            <w:shd w:fill="CCEEFF" w:val="clear"/>
            <w:vAlign w:val="center"/>
          </w:tcPr>
          <w:p>
            <w:pPr>
              <w:pStyle w:val="TableContents"/>
              <w:bidi w:val="0"/>
              <w:spacing w:before="0" w:after="283"/>
              <w:jc w:val="left"/>
              <w:rPr/>
            </w:pPr>
            <w:r>
              <w:rPr/>
              <w:t> </w:t>
            </w:r>
          </w:p>
        </w:tc>
      </w:tr>
      <w:tr>
        <w:trPr/>
        <w:tc>
          <w:tcPr>
            <w:tcW w:w="3102" w:type="dxa"/>
            <w:tcBorders/>
            <w:vAlign w:val="center"/>
          </w:tcPr>
          <w:p>
            <w:pPr>
              <w:pStyle w:val="TableContents"/>
              <w:bidi w:val="0"/>
              <w:spacing w:before="0" w:after="283"/>
              <w:jc w:val="left"/>
              <w:rPr/>
            </w:pPr>
            <w:r>
              <w:rPr/>
              <w:t>Commercial papers</w:t>
            </w:r>
          </w:p>
        </w:tc>
        <w:tc>
          <w:tcPr>
            <w:tcW w:w="90" w:type="dxa"/>
            <w:tcBorders/>
            <w:vAlign w:val="center"/>
          </w:tcPr>
          <w:p>
            <w:pPr>
              <w:pStyle w:val="TableContents"/>
              <w:bidi w:val="0"/>
              <w:spacing w:before="0" w:after="283"/>
              <w:jc w:val="left"/>
              <w:rPr/>
            </w:pPr>
            <w:r>
              <w:rPr/>
              <w:t> </w:t>
            </w:r>
          </w:p>
        </w:tc>
        <w:tc>
          <w:tcPr>
            <w:tcW w:w="2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tcMar>
              <w:bottom w:w="28" w:type="dxa"/>
            </w:tcMar>
            <w:vAlign w:val="center"/>
          </w:tcPr>
          <w:p>
            <w:pPr>
              <w:pStyle w:val="TableContents"/>
              <w:bidi w:val="0"/>
              <w:spacing w:before="0" w:after="283"/>
              <w:jc w:val="right"/>
              <w:rPr/>
            </w:pPr>
            <w:r>
              <w:rPr/>
              <w:t>64,903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9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6"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09" w:type="dxa"/>
            <w:tcBorders>
              <w:bottom w:val="single" w:sz="12" w:space="0" w:color="000000"/>
            </w:tcBorders>
            <w:tcMar>
              <w:bottom w:w="28" w:type="dxa"/>
            </w:tcMar>
            <w:vAlign w:val="center"/>
          </w:tcPr>
          <w:p>
            <w:pPr>
              <w:pStyle w:val="TableContents"/>
              <w:bidi w:val="0"/>
              <w:spacing w:before="0" w:after="283"/>
              <w:jc w:val="left"/>
              <w:rPr/>
            </w:pPr>
            <w:r>
              <w:rPr/>
              <w:t> </w:t>
            </w:r>
          </w:p>
        </w:tc>
        <w:tc>
          <w:tcPr>
            <w:tcW w:w="1311" w:type="dxa"/>
            <w:tcBorders>
              <w:bottom w:val="single" w:sz="12" w:space="0" w:color="000000"/>
            </w:tcBorders>
            <w:tcMar>
              <w:bottom w:w="28" w:type="dxa"/>
            </w:tcMar>
            <w:vAlign w:val="center"/>
          </w:tcPr>
          <w:p>
            <w:pPr>
              <w:pStyle w:val="TableContents"/>
              <w:bidi w:val="0"/>
              <w:spacing w:before="0" w:after="283"/>
              <w:jc w:val="right"/>
              <w:rPr/>
            </w:pPr>
            <w:r>
              <w:rPr/>
              <w:t>(11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3" w:type="dxa"/>
            <w:tcBorders>
              <w:bottom w:val="single" w:sz="12" w:space="0" w:color="000000"/>
            </w:tcBorders>
            <w:tcMar>
              <w:bottom w:w="28" w:type="dxa"/>
            </w:tcMar>
            <w:vAlign w:val="center"/>
          </w:tcPr>
          <w:p>
            <w:pPr>
              <w:pStyle w:val="TableContents"/>
              <w:bidi w:val="0"/>
              <w:spacing w:before="0" w:after="283"/>
              <w:jc w:val="left"/>
              <w:rPr/>
            </w:pPr>
            <w:r>
              <w:rPr/>
              <w:t> </w:t>
            </w:r>
          </w:p>
        </w:tc>
        <w:tc>
          <w:tcPr>
            <w:tcW w:w="896" w:type="dxa"/>
            <w:tcBorders>
              <w:bottom w:val="single" w:sz="12" w:space="0" w:color="000000"/>
            </w:tcBorders>
            <w:tcMar>
              <w:bottom w:w="28" w:type="dxa"/>
            </w:tcMar>
            <w:vAlign w:val="center"/>
          </w:tcPr>
          <w:p>
            <w:pPr>
              <w:pStyle w:val="TableContents"/>
              <w:bidi w:val="0"/>
              <w:spacing w:before="0" w:after="283"/>
              <w:jc w:val="right"/>
              <w:rPr/>
            </w:pPr>
            <w:r>
              <w:rPr/>
              <w:t>64,892</w:t>
            </w:r>
          </w:p>
        </w:tc>
        <w:tc>
          <w:tcPr>
            <w:tcW w:w="140" w:type="dxa"/>
            <w:tcBorders/>
            <w:vAlign w:val="center"/>
          </w:tcPr>
          <w:p>
            <w:pPr>
              <w:pStyle w:val="TableContents"/>
              <w:bidi w:val="0"/>
              <w:spacing w:before="0" w:after="283"/>
              <w:jc w:val="left"/>
              <w:rPr/>
            </w:pPr>
            <w:r>
              <w:rPr/>
              <w:t> </w:t>
            </w:r>
          </w:p>
        </w:tc>
      </w:tr>
      <w:tr>
        <w:trPr/>
        <w:tc>
          <w:tcPr>
            <w:tcW w:w="3102" w:type="dxa"/>
            <w:tcBorders/>
            <w:shd w:fill="CCEEFF" w:val="clear"/>
            <w:vAlign w:val="center"/>
          </w:tcPr>
          <w:p>
            <w:pPr>
              <w:pStyle w:val="TableContents"/>
              <w:bidi w:val="0"/>
              <w:spacing w:before="0" w:after="283"/>
              <w:jc w:val="left"/>
              <w:rPr/>
            </w:pPr>
            <w:r>
              <w:rPr/>
              <w:t>Total cash equivalents</w:t>
            </w:r>
          </w:p>
        </w:tc>
        <w:tc>
          <w:tcPr>
            <w:tcW w:w="9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79,370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6"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1" w:type="dxa"/>
            <w:tcBorders>
              <w:bottom w:val="single" w:sz="12" w:space="0" w:color="000000"/>
            </w:tcBorders>
            <w:shd w:fill="CCEEFF" w:val="clear"/>
            <w:tcMar>
              <w:bottom w:w="28" w:type="dxa"/>
            </w:tcMar>
            <w:vAlign w:val="center"/>
          </w:tcPr>
          <w:p>
            <w:pPr>
              <w:pStyle w:val="TableContents"/>
              <w:bidi w:val="0"/>
              <w:spacing w:before="0" w:after="283"/>
              <w:jc w:val="right"/>
              <w:rPr/>
            </w:pPr>
            <w:r>
              <w:rPr/>
              <w:t>(11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6" w:type="dxa"/>
            <w:tcBorders>
              <w:bottom w:val="single" w:sz="12" w:space="0" w:color="000000"/>
            </w:tcBorders>
            <w:shd w:fill="CCEEFF" w:val="clear"/>
            <w:tcMar>
              <w:bottom w:w="28" w:type="dxa"/>
            </w:tcMar>
            <w:vAlign w:val="center"/>
          </w:tcPr>
          <w:p>
            <w:pPr>
              <w:pStyle w:val="TableContents"/>
              <w:bidi w:val="0"/>
              <w:spacing w:before="0" w:after="283"/>
              <w:jc w:val="right"/>
              <w:rPr/>
            </w:pPr>
            <w:r>
              <w:rPr/>
              <w:t>79,359</w:t>
            </w:r>
          </w:p>
        </w:tc>
        <w:tc>
          <w:tcPr>
            <w:tcW w:w="140" w:type="dxa"/>
            <w:tcBorders/>
            <w:shd w:fill="CCEEFF" w:val="clear"/>
            <w:vAlign w:val="center"/>
          </w:tcPr>
          <w:p>
            <w:pPr>
              <w:pStyle w:val="TableContents"/>
              <w:bidi w:val="0"/>
              <w:spacing w:before="0" w:after="283"/>
              <w:jc w:val="left"/>
              <w:rPr/>
            </w:pPr>
            <w:r>
              <w:rPr/>
              <w:t> </w:t>
            </w:r>
          </w:p>
        </w:tc>
      </w:tr>
      <w:tr>
        <w:trPr/>
        <w:tc>
          <w:tcPr>
            <w:tcW w:w="3102" w:type="dxa"/>
            <w:tcBorders/>
            <w:vAlign w:val="center"/>
          </w:tcPr>
          <w:p>
            <w:pPr>
              <w:pStyle w:val="TableContents"/>
              <w:bidi w:val="0"/>
              <w:spacing w:before="0" w:after="283"/>
              <w:jc w:val="left"/>
              <w:rPr/>
            </w:pPr>
            <w:r>
              <w:rPr/>
              <w:t>Marketable securities</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92"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left"/>
              <w:rPr/>
            </w:pPr>
            <w:r>
              <w:rPr/>
              <w:t> </w:t>
            </w:r>
          </w:p>
        </w:tc>
        <w:tc>
          <w:tcPr>
            <w:tcW w:w="131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r>
      <w:tr>
        <w:trPr/>
        <w:tc>
          <w:tcPr>
            <w:tcW w:w="3102" w:type="dxa"/>
            <w:tcBorders/>
            <w:shd w:fill="CCEEFF" w:val="clear"/>
            <w:vAlign w:val="center"/>
          </w:tcPr>
          <w:p>
            <w:pPr>
              <w:pStyle w:val="TableContents"/>
              <w:bidi w:val="0"/>
              <w:spacing w:before="0" w:after="283"/>
              <w:jc w:val="left"/>
              <w:rPr/>
            </w:pPr>
            <w:r>
              <w:rPr/>
              <w:t>Marketable securities, current</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left"/>
              <w:rPr/>
            </w:pPr>
            <w:r>
              <w:rPr/>
              <w:t> </w:t>
            </w:r>
          </w:p>
        </w:tc>
        <w:tc>
          <w:tcPr>
            <w:tcW w:w="131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r>
      <w:tr>
        <w:trPr/>
        <w:tc>
          <w:tcPr>
            <w:tcW w:w="3102" w:type="dxa"/>
            <w:tcBorders/>
            <w:vAlign w:val="center"/>
          </w:tcPr>
          <w:p>
            <w:pPr>
              <w:pStyle w:val="TableContents"/>
              <w:bidi w:val="0"/>
              <w:spacing w:before="0" w:after="283"/>
              <w:jc w:val="left"/>
              <w:rPr/>
            </w:pPr>
            <w:r>
              <w:rPr/>
              <w:t>U.S. treasury securities</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174,191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92"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13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left"/>
              <w:rPr/>
            </w:pPr>
            <w:r>
              <w:rPr/>
              <w:t> </w:t>
            </w:r>
          </w:p>
        </w:tc>
        <w:tc>
          <w:tcPr>
            <w:tcW w:w="1311" w:type="dxa"/>
            <w:tcBorders/>
            <w:vAlign w:val="center"/>
          </w:tcPr>
          <w:p>
            <w:pPr>
              <w:pStyle w:val="TableContents"/>
              <w:bidi w:val="0"/>
              <w:spacing w:before="0" w:after="283"/>
              <w:jc w:val="right"/>
              <w:rPr/>
            </w:pPr>
            <w:r>
              <w:rPr/>
              <w:t>(13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right"/>
              <w:rPr/>
            </w:pPr>
            <w:r>
              <w:rPr/>
              <w:t>174,191</w:t>
            </w:r>
          </w:p>
        </w:tc>
        <w:tc>
          <w:tcPr>
            <w:tcW w:w="140" w:type="dxa"/>
            <w:tcBorders/>
            <w:vAlign w:val="center"/>
          </w:tcPr>
          <w:p>
            <w:pPr>
              <w:pStyle w:val="TableContents"/>
              <w:bidi w:val="0"/>
              <w:spacing w:before="0" w:after="283"/>
              <w:jc w:val="left"/>
              <w:rPr/>
            </w:pPr>
            <w:r>
              <w:rPr/>
              <w:t> </w:t>
            </w:r>
          </w:p>
        </w:tc>
      </w:tr>
      <w:tr>
        <w:trPr/>
        <w:tc>
          <w:tcPr>
            <w:tcW w:w="3102" w:type="dxa"/>
            <w:tcBorders/>
            <w:shd w:fill="CCEEFF" w:val="clear"/>
            <w:vAlign w:val="center"/>
          </w:tcPr>
          <w:p>
            <w:pPr>
              <w:pStyle w:val="TableContents"/>
              <w:bidi w:val="0"/>
              <w:spacing w:before="0" w:after="283"/>
              <w:jc w:val="left"/>
              <w:rPr/>
            </w:pPr>
            <w:r>
              <w:rPr/>
              <w:t>U.S. government agency securities</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8,766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left"/>
              <w:rPr/>
            </w:pPr>
            <w:r>
              <w:rPr/>
              <w:t> </w:t>
            </w:r>
          </w:p>
        </w:tc>
        <w:tc>
          <w:tcPr>
            <w:tcW w:w="1311" w:type="dxa"/>
            <w:tcBorders/>
            <w:shd w:fill="CCEEFF" w:val="clear"/>
            <w:vAlign w:val="center"/>
          </w:tcPr>
          <w:p>
            <w:pPr>
              <w:pStyle w:val="TableContents"/>
              <w:bidi w:val="0"/>
              <w:spacing w:before="0" w:after="283"/>
              <w:jc w:val="right"/>
              <w:rPr/>
            </w:pPr>
            <w:r>
              <w:rPr/>
              <w:t>(1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8,765</w:t>
            </w:r>
          </w:p>
        </w:tc>
        <w:tc>
          <w:tcPr>
            <w:tcW w:w="140" w:type="dxa"/>
            <w:tcBorders/>
            <w:shd w:fill="CCEEFF" w:val="clear"/>
            <w:vAlign w:val="center"/>
          </w:tcPr>
          <w:p>
            <w:pPr>
              <w:pStyle w:val="TableContents"/>
              <w:bidi w:val="0"/>
              <w:spacing w:before="0" w:after="283"/>
              <w:jc w:val="left"/>
              <w:rPr/>
            </w:pPr>
            <w:r>
              <w:rPr/>
              <w:t> </w:t>
            </w:r>
          </w:p>
        </w:tc>
      </w:tr>
      <w:tr>
        <w:trPr/>
        <w:tc>
          <w:tcPr>
            <w:tcW w:w="3102" w:type="dxa"/>
            <w:tcBorders/>
            <w:vAlign w:val="center"/>
          </w:tcPr>
          <w:p>
            <w:pPr>
              <w:pStyle w:val="TableContents"/>
              <w:bidi w:val="0"/>
              <w:spacing w:before="0" w:after="283"/>
              <w:jc w:val="left"/>
              <w:rPr/>
            </w:pPr>
            <w:r>
              <w:rPr/>
              <w:t>Commercial papers</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30,234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92"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left"/>
              <w:rPr/>
            </w:pPr>
            <w:r>
              <w:rPr/>
              <w:t> </w:t>
            </w:r>
          </w:p>
        </w:tc>
        <w:tc>
          <w:tcPr>
            <w:tcW w:w="1311" w:type="dxa"/>
            <w:tcBorders/>
            <w:vAlign w:val="center"/>
          </w:tcPr>
          <w:p>
            <w:pPr>
              <w:pStyle w:val="TableContents"/>
              <w:bidi w:val="0"/>
              <w:spacing w:before="0" w:after="283"/>
              <w:jc w:val="right"/>
              <w:rPr/>
            </w:pPr>
            <w:r>
              <w:rPr/>
              <w:t>(8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right"/>
              <w:rPr/>
            </w:pPr>
            <w:r>
              <w:rPr/>
              <w:t>30,226</w:t>
            </w:r>
          </w:p>
        </w:tc>
        <w:tc>
          <w:tcPr>
            <w:tcW w:w="140" w:type="dxa"/>
            <w:tcBorders/>
            <w:vAlign w:val="center"/>
          </w:tcPr>
          <w:p>
            <w:pPr>
              <w:pStyle w:val="TableContents"/>
              <w:bidi w:val="0"/>
              <w:spacing w:before="0" w:after="283"/>
              <w:jc w:val="left"/>
              <w:rPr/>
            </w:pPr>
            <w:r>
              <w:rPr/>
              <w:t> </w:t>
            </w:r>
          </w:p>
        </w:tc>
      </w:tr>
      <w:tr>
        <w:trPr/>
        <w:tc>
          <w:tcPr>
            <w:tcW w:w="3102" w:type="dxa"/>
            <w:tcBorders/>
            <w:shd w:fill="CCEEFF" w:val="clear"/>
            <w:vAlign w:val="center"/>
          </w:tcPr>
          <w:p>
            <w:pPr>
              <w:pStyle w:val="TableContents"/>
              <w:bidi w:val="0"/>
              <w:spacing w:before="0" w:after="283"/>
              <w:jc w:val="left"/>
              <w:rPr/>
            </w:pPr>
            <w:r>
              <w:rPr/>
              <w:t>Corporate debt securities</w:t>
            </w:r>
          </w:p>
        </w:tc>
        <w:tc>
          <w:tcPr>
            <w:tcW w:w="9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52,347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6" w:type="dxa"/>
            <w:tcBorders>
              <w:bottom w:val="single" w:sz="12" w:space="0" w:color="000000"/>
            </w:tcBorders>
            <w:shd w:fill="CCEEFF" w:val="clear"/>
            <w:tcMar>
              <w:bottom w:w="28" w:type="dxa"/>
            </w:tcMar>
            <w:vAlign w:val="center"/>
          </w:tcPr>
          <w:p>
            <w:pPr>
              <w:pStyle w:val="TableContents"/>
              <w:bidi w:val="0"/>
              <w:spacing w:before="0" w:after="283"/>
              <w:jc w:val="right"/>
              <w:rPr/>
            </w:pPr>
            <w:r>
              <w:rPr/>
              <w:t>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1" w:type="dxa"/>
            <w:tcBorders>
              <w:bottom w:val="single" w:sz="12" w:space="0" w:color="000000"/>
            </w:tcBorders>
            <w:shd w:fill="CCEEFF" w:val="clear"/>
            <w:tcMar>
              <w:bottom w:w="28" w:type="dxa"/>
            </w:tcMar>
            <w:vAlign w:val="center"/>
          </w:tcPr>
          <w:p>
            <w:pPr>
              <w:pStyle w:val="TableContents"/>
              <w:bidi w:val="0"/>
              <w:spacing w:before="0" w:after="283"/>
              <w:jc w:val="right"/>
              <w:rPr/>
            </w:pPr>
            <w:r>
              <w:rPr/>
              <w:t>(12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6" w:type="dxa"/>
            <w:tcBorders>
              <w:bottom w:val="single" w:sz="12" w:space="0" w:color="000000"/>
            </w:tcBorders>
            <w:shd w:fill="CCEEFF" w:val="clear"/>
            <w:tcMar>
              <w:bottom w:w="28" w:type="dxa"/>
            </w:tcMar>
            <w:vAlign w:val="center"/>
          </w:tcPr>
          <w:p>
            <w:pPr>
              <w:pStyle w:val="TableContents"/>
              <w:bidi w:val="0"/>
              <w:spacing w:before="0" w:after="283"/>
              <w:jc w:val="right"/>
              <w:rPr/>
            </w:pPr>
            <w:r>
              <w:rPr/>
              <w:t>52,340</w:t>
            </w:r>
          </w:p>
        </w:tc>
        <w:tc>
          <w:tcPr>
            <w:tcW w:w="140" w:type="dxa"/>
            <w:tcBorders/>
            <w:shd w:fill="CCEEFF" w:val="clear"/>
            <w:vAlign w:val="center"/>
          </w:tcPr>
          <w:p>
            <w:pPr>
              <w:pStyle w:val="TableContents"/>
              <w:bidi w:val="0"/>
              <w:spacing w:before="0" w:after="283"/>
              <w:jc w:val="left"/>
              <w:rPr/>
            </w:pPr>
            <w:r>
              <w:rPr/>
              <w:t> </w:t>
            </w:r>
          </w:p>
        </w:tc>
      </w:tr>
      <w:tr>
        <w:trPr/>
        <w:tc>
          <w:tcPr>
            <w:tcW w:w="3102" w:type="dxa"/>
            <w:tcBorders/>
            <w:vAlign w:val="center"/>
          </w:tcPr>
          <w:p>
            <w:pPr>
              <w:pStyle w:val="TableContents"/>
              <w:bidi w:val="0"/>
              <w:spacing w:before="0" w:after="283"/>
              <w:jc w:val="left"/>
              <w:rPr/>
            </w:pPr>
            <w:r>
              <w:rPr/>
              <w:t>Total marketable securities, current</w:t>
            </w:r>
          </w:p>
        </w:tc>
        <w:tc>
          <w:tcPr>
            <w:tcW w:w="90" w:type="dxa"/>
            <w:tcBorders/>
            <w:vAlign w:val="center"/>
          </w:tcPr>
          <w:p>
            <w:pPr>
              <w:pStyle w:val="TableContents"/>
              <w:bidi w:val="0"/>
              <w:spacing w:before="0" w:after="283"/>
              <w:jc w:val="left"/>
              <w:rPr/>
            </w:pPr>
            <w:r>
              <w:rPr/>
              <w:t> </w:t>
            </w:r>
          </w:p>
        </w:tc>
        <w:tc>
          <w:tcPr>
            <w:tcW w:w="2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tcMar>
              <w:bottom w:w="28" w:type="dxa"/>
            </w:tcMar>
            <w:vAlign w:val="center"/>
          </w:tcPr>
          <w:p>
            <w:pPr>
              <w:pStyle w:val="TableContents"/>
              <w:bidi w:val="0"/>
              <w:spacing w:before="0" w:after="283"/>
              <w:jc w:val="right"/>
              <w:rPr/>
            </w:pPr>
            <w:r>
              <w:rPr/>
              <w:t>265,538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9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6" w:type="dxa"/>
            <w:tcBorders>
              <w:bottom w:val="single" w:sz="12" w:space="0" w:color="000000"/>
            </w:tcBorders>
            <w:tcMar>
              <w:bottom w:w="28" w:type="dxa"/>
            </w:tcMar>
            <w:vAlign w:val="center"/>
          </w:tcPr>
          <w:p>
            <w:pPr>
              <w:pStyle w:val="TableContents"/>
              <w:bidi w:val="0"/>
              <w:spacing w:before="0" w:after="283"/>
              <w:jc w:val="right"/>
              <w:rPr/>
            </w:pPr>
            <w:r>
              <w:rPr/>
              <w:t>18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09" w:type="dxa"/>
            <w:tcBorders>
              <w:bottom w:val="single" w:sz="12" w:space="0" w:color="000000"/>
            </w:tcBorders>
            <w:tcMar>
              <w:bottom w:w="28" w:type="dxa"/>
            </w:tcMar>
            <w:vAlign w:val="center"/>
          </w:tcPr>
          <w:p>
            <w:pPr>
              <w:pStyle w:val="TableContents"/>
              <w:bidi w:val="0"/>
              <w:spacing w:before="0" w:after="283"/>
              <w:jc w:val="left"/>
              <w:rPr/>
            </w:pPr>
            <w:r>
              <w:rPr/>
              <w:t> </w:t>
            </w:r>
          </w:p>
        </w:tc>
        <w:tc>
          <w:tcPr>
            <w:tcW w:w="1311" w:type="dxa"/>
            <w:tcBorders>
              <w:bottom w:val="single" w:sz="12" w:space="0" w:color="000000"/>
            </w:tcBorders>
            <w:tcMar>
              <w:bottom w:w="28" w:type="dxa"/>
            </w:tcMar>
            <w:vAlign w:val="center"/>
          </w:tcPr>
          <w:p>
            <w:pPr>
              <w:pStyle w:val="TableContents"/>
              <w:bidi w:val="0"/>
              <w:spacing w:before="0" w:after="283"/>
              <w:jc w:val="right"/>
              <w:rPr/>
            </w:pPr>
            <w:r>
              <w:rPr/>
              <w:t>(34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3" w:type="dxa"/>
            <w:tcBorders>
              <w:bottom w:val="single" w:sz="12" w:space="0" w:color="000000"/>
            </w:tcBorders>
            <w:tcMar>
              <w:bottom w:w="28" w:type="dxa"/>
            </w:tcMar>
            <w:vAlign w:val="center"/>
          </w:tcPr>
          <w:p>
            <w:pPr>
              <w:pStyle w:val="TableContents"/>
              <w:bidi w:val="0"/>
              <w:spacing w:before="0" w:after="283"/>
              <w:jc w:val="left"/>
              <w:rPr/>
            </w:pPr>
            <w:r>
              <w:rPr/>
              <w:t> </w:t>
            </w:r>
          </w:p>
        </w:tc>
        <w:tc>
          <w:tcPr>
            <w:tcW w:w="896" w:type="dxa"/>
            <w:tcBorders>
              <w:bottom w:val="single" w:sz="12" w:space="0" w:color="000000"/>
            </w:tcBorders>
            <w:tcMar>
              <w:bottom w:w="28" w:type="dxa"/>
            </w:tcMar>
            <w:vAlign w:val="center"/>
          </w:tcPr>
          <w:p>
            <w:pPr>
              <w:pStyle w:val="TableContents"/>
              <w:bidi w:val="0"/>
              <w:spacing w:before="0" w:after="283"/>
              <w:jc w:val="right"/>
              <w:rPr/>
            </w:pPr>
            <w:r>
              <w:rPr/>
              <w:t>265,522</w:t>
            </w:r>
          </w:p>
        </w:tc>
        <w:tc>
          <w:tcPr>
            <w:tcW w:w="140" w:type="dxa"/>
            <w:tcBorders/>
            <w:vAlign w:val="center"/>
          </w:tcPr>
          <w:p>
            <w:pPr>
              <w:pStyle w:val="TableContents"/>
              <w:bidi w:val="0"/>
              <w:spacing w:before="0" w:after="283"/>
              <w:jc w:val="left"/>
              <w:rPr/>
            </w:pPr>
            <w:r>
              <w:rPr/>
              <w:t> </w:t>
            </w:r>
          </w:p>
        </w:tc>
      </w:tr>
      <w:tr>
        <w:trPr/>
        <w:tc>
          <w:tcPr>
            <w:tcW w:w="3102" w:type="dxa"/>
            <w:tcBorders/>
            <w:shd w:fill="CCEEFF" w:val="clear"/>
            <w:vAlign w:val="center"/>
          </w:tcPr>
          <w:p>
            <w:pPr>
              <w:pStyle w:val="TableContents"/>
              <w:bidi w:val="0"/>
              <w:spacing w:before="0" w:after="283"/>
              <w:jc w:val="left"/>
              <w:rPr/>
            </w:pPr>
            <w:r>
              <w:rPr/>
              <w:t>Marketable securities, long-term</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left"/>
              <w:rPr/>
            </w:pPr>
            <w:r>
              <w:rPr/>
              <w:t> </w:t>
            </w:r>
          </w:p>
        </w:tc>
        <w:tc>
          <w:tcPr>
            <w:tcW w:w="131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r>
      <w:tr>
        <w:trPr/>
        <w:tc>
          <w:tcPr>
            <w:tcW w:w="3102" w:type="dxa"/>
            <w:tcBorders/>
            <w:vAlign w:val="center"/>
          </w:tcPr>
          <w:p>
            <w:pPr>
              <w:pStyle w:val="TableContents"/>
              <w:bidi w:val="0"/>
              <w:spacing w:before="0" w:after="283"/>
              <w:jc w:val="left"/>
              <w:rPr/>
            </w:pPr>
            <w:r>
              <w:rPr/>
              <w:t>U.S. treasury securities</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19,490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92"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left"/>
              <w:rPr/>
            </w:pPr>
            <w:r>
              <w:rPr/>
              <w:t> </w:t>
            </w:r>
          </w:p>
        </w:tc>
        <w:tc>
          <w:tcPr>
            <w:tcW w:w="131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right"/>
              <w:rPr/>
            </w:pPr>
            <w:r>
              <w:rPr/>
              <w:t>19,510</w:t>
            </w:r>
          </w:p>
        </w:tc>
        <w:tc>
          <w:tcPr>
            <w:tcW w:w="140" w:type="dxa"/>
            <w:tcBorders/>
            <w:vAlign w:val="center"/>
          </w:tcPr>
          <w:p>
            <w:pPr>
              <w:pStyle w:val="TableContents"/>
              <w:bidi w:val="0"/>
              <w:spacing w:before="0" w:after="283"/>
              <w:jc w:val="left"/>
              <w:rPr/>
            </w:pPr>
            <w:r>
              <w:rPr/>
              <w:t> </w:t>
            </w:r>
          </w:p>
        </w:tc>
      </w:tr>
      <w:tr>
        <w:trPr/>
        <w:tc>
          <w:tcPr>
            <w:tcW w:w="3102" w:type="dxa"/>
            <w:tcBorders/>
            <w:shd w:fill="CCEEFF" w:val="clear"/>
            <w:vAlign w:val="center"/>
          </w:tcPr>
          <w:p>
            <w:pPr>
              <w:pStyle w:val="TableContents"/>
              <w:bidi w:val="0"/>
              <w:spacing w:before="0" w:after="283"/>
              <w:jc w:val="left"/>
              <w:rPr/>
            </w:pPr>
            <w:r>
              <w:rPr/>
              <w:t>U.S. government agency securities</w:t>
            </w:r>
          </w:p>
        </w:tc>
        <w:tc>
          <w:tcPr>
            <w:tcW w:w="9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4,442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6"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1"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6" w:type="dxa"/>
            <w:tcBorders>
              <w:bottom w:val="single" w:sz="12" w:space="0" w:color="000000"/>
            </w:tcBorders>
            <w:shd w:fill="CCEEFF" w:val="clear"/>
            <w:tcMar>
              <w:bottom w:w="28" w:type="dxa"/>
            </w:tcMar>
            <w:vAlign w:val="center"/>
          </w:tcPr>
          <w:p>
            <w:pPr>
              <w:pStyle w:val="TableContents"/>
              <w:bidi w:val="0"/>
              <w:spacing w:before="0" w:after="283"/>
              <w:jc w:val="right"/>
              <w:rPr/>
            </w:pPr>
            <w:r>
              <w:rPr/>
              <w:t>4,443</w:t>
            </w:r>
          </w:p>
        </w:tc>
        <w:tc>
          <w:tcPr>
            <w:tcW w:w="140" w:type="dxa"/>
            <w:tcBorders/>
            <w:shd w:fill="CCEEFF" w:val="clear"/>
            <w:vAlign w:val="center"/>
          </w:tcPr>
          <w:p>
            <w:pPr>
              <w:pStyle w:val="TableContents"/>
              <w:bidi w:val="0"/>
              <w:spacing w:before="0" w:after="283"/>
              <w:jc w:val="left"/>
              <w:rPr/>
            </w:pPr>
            <w:r>
              <w:rPr/>
              <w:t> </w:t>
            </w:r>
          </w:p>
        </w:tc>
      </w:tr>
      <w:tr>
        <w:trPr/>
        <w:tc>
          <w:tcPr>
            <w:tcW w:w="3102" w:type="dxa"/>
            <w:tcBorders/>
            <w:vAlign w:val="center"/>
          </w:tcPr>
          <w:p>
            <w:pPr>
              <w:pStyle w:val="TableContents"/>
              <w:bidi w:val="0"/>
              <w:spacing w:before="0" w:after="283"/>
              <w:jc w:val="left"/>
              <w:rPr/>
            </w:pPr>
            <w:r>
              <w:rPr/>
              <w:t>Total marketable securities, long-term</w:t>
            </w:r>
          </w:p>
        </w:tc>
        <w:tc>
          <w:tcPr>
            <w:tcW w:w="90" w:type="dxa"/>
            <w:tcBorders/>
            <w:vAlign w:val="center"/>
          </w:tcPr>
          <w:p>
            <w:pPr>
              <w:pStyle w:val="TableContents"/>
              <w:bidi w:val="0"/>
              <w:spacing w:before="0" w:after="283"/>
              <w:jc w:val="left"/>
              <w:rPr/>
            </w:pPr>
            <w:r>
              <w:rPr/>
              <w:t> </w:t>
            </w:r>
          </w:p>
        </w:tc>
        <w:tc>
          <w:tcPr>
            <w:tcW w:w="2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tcMar>
              <w:bottom w:w="28" w:type="dxa"/>
            </w:tcMar>
            <w:vAlign w:val="center"/>
          </w:tcPr>
          <w:p>
            <w:pPr>
              <w:pStyle w:val="TableContents"/>
              <w:bidi w:val="0"/>
              <w:spacing w:before="0" w:after="283"/>
              <w:jc w:val="right"/>
              <w:rPr/>
            </w:pPr>
            <w:r>
              <w:rPr/>
              <w:t>23,932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9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6" w:type="dxa"/>
            <w:tcBorders>
              <w:bottom w:val="single" w:sz="12" w:space="0" w:color="000000"/>
            </w:tcBorders>
            <w:tcMar>
              <w:bottom w:w="28" w:type="dxa"/>
            </w:tcMar>
            <w:vAlign w:val="center"/>
          </w:tcPr>
          <w:p>
            <w:pPr>
              <w:pStyle w:val="TableContents"/>
              <w:bidi w:val="0"/>
              <w:spacing w:before="0" w:after="283"/>
              <w:jc w:val="right"/>
              <w:rPr/>
            </w:pPr>
            <w:r>
              <w:rPr/>
              <w:t>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09" w:type="dxa"/>
            <w:tcBorders>
              <w:bottom w:val="single" w:sz="12" w:space="0" w:color="000000"/>
            </w:tcBorders>
            <w:tcMar>
              <w:bottom w:w="28" w:type="dxa"/>
            </w:tcMar>
            <w:vAlign w:val="center"/>
          </w:tcPr>
          <w:p>
            <w:pPr>
              <w:pStyle w:val="TableContents"/>
              <w:bidi w:val="0"/>
              <w:spacing w:before="0" w:after="283"/>
              <w:jc w:val="left"/>
              <w:rPr/>
            </w:pPr>
            <w:r>
              <w:rPr/>
              <w:t> </w:t>
            </w:r>
          </w:p>
        </w:tc>
        <w:tc>
          <w:tcPr>
            <w:tcW w:w="1311" w:type="dxa"/>
            <w:tcBorders>
              <w:bottom w:val="single" w:sz="12" w:space="0" w:color="000000"/>
            </w:tcBorders>
            <w:tcMar>
              <w:bottom w:w="28" w:type="dxa"/>
            </w:tcMar>
            <w:vAlign w:val="center"/>
          </w:tcPr>
          <w:p>
            <w:pPr>
              <w:pStyle w:val="TableContents"/>
              <w:bidi w:val="0"/>
              <w:spacing w:before="0" w:after="283"/>
              <w:jc w:val="right"/>
              <w:rPr/>
            </w:pPr>
            <w:r>
              <w:rPr/>
              <w:t>(1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3" w:type="dxa"/>
            <w:tcBorders>
              <w:bottom w:val="single" w:sz="12" w:space="0" w:color="000000"/>
            </w:tcBorders>
            <w:tcMar>
              <w:bottom w:w="28" w:type="dxa"/>
            </w:tcMar>
            <w:vAlign w:val="center"/>
          </w:tcPr>
          <w:p>
            <w:pPr>
              <w:pStyle w:val="TableContents"/>
              <w:bidi w:val="0"/>
              <w:spacing w:before="0" w:after="283"/>
              <w:jc w:val="left"/>
              <w:rPr/>
            </w:pPr>
            <w:r>
              <w:rPr/>
              <w:t> </w:t>
            </w:r>
          </w:p>
        </w:tc>
        <w:tc>
          <w:tcPr>
            <w:tcW w:w="896" w:type="dxa"/>
            <w:tcBorders>
              <w:bottom w:val="single" w:sz="12" w:space="0" w:color="000000"/>
            </w:tcBorders>
            <w:tcMar>
              <w:bottom w:w="28" w:type="dxa"/>
            </w:tcMar>
            <w:vAlign w:val="center"/>
          </w:tcPr>
          <w:p>
            <w:pPr>
              <w:pStyle w:val="TableContents"/>
              <w:bidi w:val="0"/>
              <w:spacing w:before="0" w:after="283"/>
              <w:jc w:val="right"/>
              <w:rPr/>
            </w:pPr>
            <w:r>
              <w:rPr/>
              <w:t>23,953</w:t>
            </w:r>
          </w:p>
        </w:tc>
        <w:tc>
          <w:tcPr>
            <w:tcW w:w="140" w:type="dxa"/>
            <w:tcBorders/>
            <w:vAlign w:val="center"/>
          </w:tcPr>
          <w:p>
            <w:pPr>
              <w:pStyle w:val="TableContents"/>
              <w:bidi w:val="0"/>
              <w:spacing w:before="0" w:after="283"/>
              <w:jc w:val="left"/>
              <w:rPr/>
            </w:pPr>
            <w:r>
              <w:rPr/>
              <w:t> </w:t>
            </w:r>
          </w:p>
        </w:tc>
      </w:tr>
      <w:tr>
        <w:trPr/>
        <w:tc>
          <w:tcPr>
            <w:tcW w:w="3102" w:type="dxa"/>
            <w:tcBorders/>
            <w:shd w:fill="CCEEFF" w:val="clear"/>
            <w:vAlign w:val="center"/>
          </w:tcPr>
          <w:p>
            <w:pPr>
              <w:pStyle w:val="TableContents"/>
              <w:bidi w:val="0"/>
              <w:spacing w:before="0" w:after="283"/>
              <w:jc w:val="left"/>
              <w:rPr/>
            </w:pPr>
            <w:r>
              <w:rPr/>
              <w:t>Total cash equivalents and marketable securities</w:t>
            </w:r>
          </w:p>
        </w:tc>
        <w:tc>
          <w:tcPr>
            <w:tcW w:w="9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0" w:type="dxa"/>
            <w:tcBorders>
              <w:bottom w:val="double" w:sz="10" w:space="0" w:color="000000"/>
            </w:tcBorders>
            <w:shd w:fill="CCEEFF" w:val="clear"/>
            <w:tcMar>
              <w:bottom w:w="28" w:type="dxa"/>
            </w:tcMar>
            <w:vAlign w:val="center"/>
          </w:tcPr>
          <w:p>
            <w:pPr>
              <w:pStyle w:val="TableContents"/>
              <w:bidi w:val="0"/>
              <w:spacing w:before="0" w:after="283"/>
              <w:jc w:val="right"/>
              <w:rPr/>
            </w:pPr>
            <w:r>
              <w:rPr/>
              <w:t>368,840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9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6" w:type="dxa"/>
            <w:tcBorders>
              <w:bottom w:val="double" w:sz="10" w:space="0" w:color="000000"/>
            </w:tcBorders>
            <w:shd w:fill="CCEEFF" w:val="clear"/>
            <w:tcMar>
              <w:bottom w:w="28" w:type="dxa"/>
            </w:tcMar>
            <w:vAlign w:val="center"/>
          </w:tcPr>
          <w:p>
            <w:pPr>
              <w:pStyle w:val="TableContents"/>
              <w:bidi w:val="0"/>
              <w:spacing w:before="0" w:after="283"/>
              <w:jc w:val="right"/>
              <w:rPr/>
            </w:pPr>
            <w:r>
              <w:rPr/>
              <w:t>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0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11" w:type="dxa"/>
            <w:tcBorders>
              <w:bottom w:val="double" w:sz="10" w:space="0" w:color="000000"/>
            </w:tcBorders>
            <w:shd w:fill="CCEEFF" w:val="clear"/>
            <w:tcMar>
              <w:bottom w:w="28" w:type="dxa"/>
            </w:tcMar>
            <w:vAlign w:val="center"/>
          </w:tcPr>
          <w:p>
            <w:pPr>
              <w:pStyle w:val="TableContents"/>
              <w:bidi w:val="0"/>
              <w:spacing w:before="0" w:after="283"/>
              <w:jc w:val="right"/>
              <w:rPr/>
            </w:pPr>
            <w:r>
              <w:rPr/>
              <w:t>(46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96" w:type="dxa"/>
            <w:tcBorders>
              <w:bottom w:val="double" w:sz="10" w:space="0" w:color="000000"/>
            </w:tcBorders>
            <w:shd w:fill="CCEEFF" w:val="clear"/>
            <w:tcMar>
              <w:bottom w:w="28" w:type="dxa"/>
            </w:tcMar>
            <w:vAlign w:val="center"/>
          </w:tcPr>
          <w:p>
            <w:pPr>
              <w:pStyle w:val="TableContents"/>
              <w:bidi w:val="0"/>
              <w:spacing w:before="0" w:after="283"/>
              <w:jc w:val="right"/>
              <w:rPr/>
            </w:pPr>
            <w:r>
              <w:rPr/>
              <w:t>368,834</w:t>
            </w:r>
          </w:p>
        </w:tc>
        <w:tc>
          <w:tcPr>
            <w:tcW w:w="14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02"/>
        <w:gridCol w:w="90"/>
        <w:gridCol w:w="241"/>
        <w:gridCol w:w="1180"/>
        <w:gridCol w:w="90"/>
        <w:gridCol w:w="90"/>
        <w:gridCol w:w="692"/>
        <w:gridCol w:w="1186"/>
        <w:gridCol w:w="90"/>
        <w:gridCol w:w="90"/>
        <w:gridCol w:w="498"/>
        <w:gridCol w:w="1422"/>
        <w:gridCol w:w="125"/>
        <w:gridCol w:w="90"/>
        <w:gridCol w:w="183"/>
        <w:gridCol w:w="896"/>
        <w:gridCol w:w="140"/>
      </w:tblGrid>
      <w:tr>
        <w:trPr/>
        <w:tc>
          <w:tcPr>
            <w:tcW w:w="31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73"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December 31, 2024</w:t>
            </w:r>
          </w:p>
        </w:tc>
        <w:tc>
          <w:tcPr>
            <w:tcW w:w="140" w:type="dxa"/>
            <w:tcBorders/>
            <w:vAlign w:val="center"/>
          </w:tcPr>
          <w:p>
            <w:pPr>
              <w:pStyle w:val="TableContents"/>
              <w:bidi w:val="0"/>
              <w:spacing w:before="0" w:after="283"/>
              <w:jc w:val="left"/>
              <w:rPr/>
            </w:pPr>
            <w:r>
              <w:rPr/>
              <w:t> </w:t>
            </w:r>
          </w:p>
        </w:tc>
      </w:tr>
      <w:tr>
        <w:trPr/>
        <w:tc>
          <w:tcPr>
            <w:tcW w:w="31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Amortized Cost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Gross Unrealized Gains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Gross Unrealized Losses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140" w:type="dxa"/>
            <w:tcBorders/>
            <w:vAlign w:val="center"/>
          </w:tcPr>
          <w:p>
            <w:pPr>
              <w:pStyle w:val="TableContents"/>
              <w:bidi w:val="0"/>
              <w:spacing w:before="0" w:after="283"/>
              <w:jc w:val="left"/>
              <w:rPr/>
            </w:pPr>
            <w:r>
              <w:rPr/>
              <w:t> </w:t>
            </w:r>
          </w:p>
        </w:tc>
      </w:tr>
      <w:tr>
        <w:trPr/>
        <w:tc>
          <w:tcPr>
            <w:tcW w:w="3102" w:type="dxa"/>
            <w:tcBorders/>
            <w:vAlign w:val="center"/>
          </w:tcPr>
          <w:p>
            <w:pPr>
              <w:pStyle w:val="TableContents"/>
              <w:bidi w:val="0"/>
              <w:spacing w:before="0" w:after="283"/>
              <w:jc w:val="left"/>
              <w:rPr/>
            </w:pPr>
            <w:r>
              <w:rPr/>
              <w:t>Cash equivalents</w:t>
            </w:r>
          </w:p>
        </w:tc>
        <w:tc>
          <w:tcPr>
            <w:tcW w:w="90" w:type="dxa"/>
            <w:tcBorders/>
            <w:vAlign w:val="center"/>
          </w:tcPr>
          <w:p>
            <w:pPr>
              <w:pStyle w:val="TableContents"/>
              <w:bidi w:val="0"/>
              <w:spacing w:before="0" w:after="283"/>
              <w:jc w:val="left"/>
              <w:rPr/>
            </w:pPr>
            <w:r>
              <w:rPr/>
              <w:t> </w:t>
            </w:r>
          </w:p>
        </w:tc>
        <w:tc>
          <w:tcPr>
            <w:tcW w:w="1421"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78"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9" w:type="dxa"/>
            <w:gridSpan w:val="2"/>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r>
      <w:tr>
        <w:trPr/>
        <w:tc>
          <w:tcPr>
            <w:tcW w:w="3102" w:type="dxa"/>
            <w:tcBorders/>
            <w:shd w:fill="CCEEFF" w:val="clear"/>
            <w:vAlign w:val="center"/>
          </w:tcPr>
          <w:p>
            <w:pPr>
              <w:pStyle w:val="TableContents"/>
              <w:bidi w:val="0"/>
              <w:spacing w:before="0" w:after="283"/>
              <w:jc w:val="left"/>
              <w:rPr/>
            </w:pPr>
            <w:r>
              <w:rPr/>
              <w:t>Money market funds</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6,350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left"/>
              <w:rPr/>
            </w:pPr>
            <w:r>
              <w:rPr/>
              <w:t>$</w:t>
            </w:r>
          </w:p>
        </w:tc>
        <w:tc>
          <w:tcPr>
            <w:tcW w:w="1186"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98" w:type="dxa"/>
            <w:tcBorders/>
            <w:shd w:fill="CCEEFF" w:val="clear"/>
            <w:vAlign w:val="center"/>
          </w:tcPr>
          <w:p>
            <w:pPr>
              <w:pStyle w:val="TableContents"/>
              <w:bidi w:val="0"/>
              <w:spacing w:before="0" w:after="283"/>
              <w:jc w:val="left"/>
              <w:rPr/>
            </w:pPr>
            <w:r>
              <w:rPr/>
              <w:t>$</w:t>
            </w:r>
          </w:p>
        </w:tc>
        <w:tc>
          <w:tcPr>
            <w:tcW w:w="1422"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896" w:type="dxa"/>
            <w:tcBorders/>
            <w:shd w:fill="CCEEFF" w:val="clear"/>
            <w:vAlign w:val="center"/>
          </w:tcPr>
          <w:p>
            <w:pPr>
              <w:pStyle w:val="TableContents"/>
              <w:bidi w:val="0"/>
              <w:spacing w:before="0" w:after="283"/>
              <w:jc w:val="right"/>
              <w:rPr/>
            </w:pPr>
            <w:r>
              <w:rPr/>
              <w:t>6,350</w:t>
            </w:r>
          </w:p>
        </w:tc>
        <w:tc>
          <w:tcPr>
            <w:tcW w:w="140" w:type="dxa"/>
            <w:tcBorders/>
            <w:shd w:fill="CCEEFF" w:val="clear"/>
            <w:vAlign w:val="center"/>
          </w:tcPr>
          <w:p>
            <w:pPr>
              <w:pStyle w:val="TableContents"/>
              <w:bidi w:val="0"/>
              <w:spacing w:before="0" w:after="283"/>
              <w:jc w:val="left"/>
              <w:rPr/>
            </w:pPr>
            <w:r>
              <w:rPr/>
              <w:t> </w:t>
            </w:r>
          </w:p>
        </w:tc>
      </w:tr>
      <w:tr>
        <w:trPr/>
        <w:tc>
          <w:tcPr>
            <w:tcW w:w="3102" w:type="dxa"/>
            <w:tcBorders/>
            <w:vAlign w:val="center"/>
          </w:tcPr>
          <w:p>
            <w:pPr>
              <w:pStyle w:val="TableContents"/>
              <w:bidi w:val="0"/>
              <w:spacing w:before="0" w:after="283"/>
              <w:jc w:val="left"/>
              <w:rPr/>
            </w:pPr>
            <w:r>
              <w:rPr/>
              <w:t>U.S. treasury securities</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19,656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92"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98" w:type="dxa"/>
            <w:tcBorders/>
            <w:vAlign w:val="center"/>
          </w:tcPr>
          <w:p>
            <w:pPr>
              <w:pStyle w:val="TableContents"/>
              <w:bidi w:val="0"/>
              <w:spacing w:before="0" w:after="283"/>
              <w:jc w:val="left"/>
              <w:rPr/>
            </w:pPr>
            <w:r>
              <w:rPr/>
              <w:t> </w:t>
            </w:r>
          </w:p>
        </w:tc>
        <w:tc>
          <w:tcPr>
            <w:tcW w:w="1422"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right"/>
              <w:rPr/>
            </w:pPr>
            <w:r>
              <w:rPr/>
              <w:t>19,660</w:t>
            </w:r>
          </w:p>
        </w:tc>
        <w:tc>
          <w:tcPr>
            <w:tcW w:w="140" w:type="dxa"/>
            <w:tcBorders/>
            <w:vAlign w:val="center"/>
          </w:tcPr>
          <w:p>
            <w:pPr>
              <w:pStyle w:val="TableContents"/>
              <w:bidi w:val="0"/>
              <w:spacing w:before="0" w:after="283"/>
              <w:jc w:val="left"/>
              <w:rPr/>
            </w:pPr>
            <w:r>
              <w:rPr/>
              <w:t> </w:t>
            </w:r>
          </w:p>
        </w:tc>
      </w:tr>
      <w:tr>
        <w:trPr/>
        <w:tc>
          <w:tcPr>
            <w:tcW w:w="3102" w:type="dxa"/>
            <w:tcBorders/>
            <w:shd w:fill="CCEEFF" w:val="clear"/>
            <w:vAlign w:val="center"/>
          </w:tcPr>
          <w:p>
            <w:pPr>
              <w:pStyle w:val="TableContents"/>
              <w:bidi w:val="0"/>
              <w:spacing w:before="0" w:after="283"/>
              <w:jc w:val="left"/>
              <w:rPr/>
            </w:pPr>
            <w:r>
              <w:rPr/>
              <w:t>U.S. government agency securities</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3,988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98"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3,988</w:t>
            </w:r>
          </w:p>
        </w:tc>
        <w:tc>
          <w:tcPr>
            <w:tcW w:w="140" w:type="dxa"/>
            <w:tcBorders/>
            <w:shd w:fill="CCEEFF" w:val="clear"/>
            <w:vAlign w:val="center"/>
          </w:tcPr>
          <w:p>
            <w:pPr>
              <w:pStyle w:val="TableContents"/>
              <w:bidi w:val="0"/>
              <w:spacing w:before="0" w:after="283"/>
              <w:jc w:val="left"/>
              <w:rPr/>
            </w:pPr>
            <w:r>
              <w:rPr/>
              <w:t> </w:t>
            </w:r>
          </w:p>
        </w:tc>
      </w:tr>
      <w:tr>
        <w:trPr/>
        <w:tc>
          <w:tcPr>
            <w:tcW w:w="3102" w:type="dxa"/>
            <w:tcBorders/>
            <w:vAlign w:val="center"/>
          </w:tcPr>
          <w:p>
            <w:pPr>
              <w:pStyle w:val="TableContents"/>
              <w:bidi w:val="0"/>
              <w:spacing w:before="0" w:after="283"/>
              <w:jc w:val="left"/>
              <w:rPr/>
            </w:pPr>
            <w:r>
              <w:rPr/>
              <w:t>Commercial papers</w:t>
            </w:r>
          </w:p>
        </w:tc>
        <w:tc>
          <w:tcPr>
            <w:tcW w:w="90" w:type="dxa"/>
            <w:tcBorders/>
            <w:vAlign w:val="center"/>
          </w:tcPr>
          <w:p>
            <w:pPr>
              <w:pStyle w:val="TableContents"/>
              <w:bidi w:val="0"/>
              <w:spacing w:before="0" w:after="283"/>
              <w:jc w:val="left"/>
              <w:rPr/>
            </w:pPr>
            <w:r>
              <w:rPr/>
              <w:t> </w:t>
            </w:r>
          </w:p>
        </w:tc>
        <w:tc>
          <w:tcPr>
            <w:tcW w:w="2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tcMar>
              <w:bottom w:w="28" w:type="dxa"/>
            </w:tcMar>
            <w:vAlign w:val="center"/>
          </w:tcPr>
          <w:p>
            <w:pPr>
              <w:pStyle w:val="TableContents"/>
              <w:bidi w:val="0"/>
              <w:spacing w:before="0" w:after="283"/>
              <w:jc w:val="right"/>
              <w:rPr/>
            </w:pPr>
            <w:r>
              <w:rPr/>
              <w:t>22,180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9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6"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98" w:type="dxa"/>
            <w:tcBorders>
              <w:bottom w:val="single" w:sz="12" w:space="0" w:color="000000"/>
            </w:tcBorders>
            <w:tcMar>
              <w:bottom w:w="28" w:type="dxa"/>
            </w:tcMar>
            <w:vAlign w:val="center"/>
          </w:tcPr>
          <w:p>
            <w:pPr>
              <w:pStyle w:val="TableContents"/>
              <w:bidi w:val="0"/>
              <w:spacing w:before="0" w:after="283"/>
              <w:jc w:val="left"/>
              <w:rPr/>
            </w:pPr>
            <w:r>
              <w:rPr/>
              <w:t> </w:t>
            </w:r>
          </w:p>
        </w:tc>
        <w:tc>
          <w:tcPr>
            <w:tcW w:w="1422" w:type="dxa"/>
            <w:tcBorders>
              <w:bottom w:val="single" w:sz="12" w:space="0" w:color="000000"/>
            </w:tcBorders>
            <w:tcMar>
              <w:bottom w:w="28" w:type="dxa"/>
            </w:tcMar>
            <w:vAlign w:val="center"/>
          </w:tcPr>
          <w:p>
            <w:pPr>
              <w:pStyle w:val="TableContents"/>
              <w:bidi w:val="0"/>
              <w:spacing w:before="0" w:after="283"/>
              <w:jc w:val="right"/>
              <w:rPr/>
            </w:pPr>
            <w:r>
              <w:rPr/>
              <w:t>(3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3" w:type="dxa"/>
            <w:tcBorders>
              <w:bottom w:val="single" w:sz="12" w:space="0" w:color="000000"/>
            </w:tcBorders>
            <w:tcMar>
              <w:bottom w:w="28" w:type="dxa"/>
            </w:tcMar>
            <w:vAlign w:val="center"/>
          </w:tcPr>
          <w:p>
            <w:pPr>
              <w:pStyle w:val="TableContents"/>
              <w:bidi w:val="0"/>
              <w:spacing w:before="0" w:after="283"/>
              <w:jc w:val="left"/>
              <w:rPr/>
            </w:pPr>
            <w:r>
              <w:rPr/>
              <w:t> </w:t>
            </w:r>
          </w:p>
        </w:tc>
        <w:tc>
          <w:tcPr>
            <w:tcW w:w="896" w:type="dxa"/>
            <w:tcBorders>
              <w:bottom w:val="single" w:sz="12" w:space="0" w:color="000000"/>
            </w:tcBorders>
            <w:tcMar>
              <w:bottom w:w="28" w:type="dxa"/>
            </w:tcMar>
            <w:vAlign w:val="center"/>
          </w:tcPr>
          <w:p>
            <w:pPr>
              <w:pStyle w:val="TableContents"/>
              <w:bidi w:val="0"/>
              <w:spacing w:before="0" w:after="283"/>
              <w:jc w:val="right"/>
              <w:rPr/>
            </w:pPr>
            <w:r>
              <w:rPr/>
              <w:t>22,177</w:t>
            </w:r>
          </w:p>
        </w:tc>
        <w:tc>
          <w:tcPr>
            <w:tcW w:w="140" w:type="dxa"/>
            <w:tcBorders/>
            <w:vAlign w:val="center"/>
          </w:tcPr>
          <w:p>
            <w:pPr>
              <w:pStyle w:val="TableContents"/>
              <w:bidi w:val="0"/>
              <w:spacing w:before="0" w:after="283"/>
              <w:jc w:val="left"/>
              <w:rPr/>
            </w:pPr>
            <w:r>
              <w:rPr/>
              <w:t> </w:t>
            </w:r>
          </w:p>
        </w:tc>
      </w:tr>
      <w:tr>
        <w:trPr/>
        <w:tc>
          <w:tcPr>
            <w:tcW w:w="3102" w:type="dxa"/>
            <w:tcBorders/>
            <w:shd w:fill="CCEEFF" w:val="clear"/>
            <w:vAlign w:val="center"/>
          </w:tcPr>
          <w:p>
            <w:pPr>
              <w:pStyle w:val="TableContents"/>
              <w:bidi w:val="0"/>
              <w:spacing w:before="0" w:after="283"/>
              <w:jc w:val="left"/>
              <w:rPr/>
            </w:pPr>
            <w:r>
              <w:rPr/>
              <w:t>Total cash equivalents</w:t>
            </w:r>
          </w:p>
        </w:tc>
        <w:tc>
          <w:tcPr>
            <w:tcW w:w="9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52,174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6" w:type="dxa"/>
            <w:tcBorders>
              <w:bottom w:val="single" w:sz="12" w:space="0" w:color="000000"/>
            </w:tcBorders>
            <w:shd w:fill="CCEEFF" w:val="clear"/>
            <w:tcMar>
              <w:bottom w:w="28" w:type="dxa"/>
            </w:tcMar>
            <w:vAlign w:val="center"/>
          </w:tcPr>
          <w:p>
            <w:pPr>
              <w:pStyle w:val="TableContents"/>
              <w:bidi w:val="0"/>
              <w:spacing w:before="0" w:after="283"/>
              <w:jc w:val="right"/>
              <w:rPr/>
            </w:pPr>
            <w:r>
              <w:rPr/>
              <w:t>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22" w:type="dxa"/>
            <w:tcBorders>
              <w:bottom w:val="single" w:sz="12" w:space="0" w:color="000000"/>
            </w:tcBorders>
            <w:shd w:fill="CCEEFF" w:val="clear"/>
            <w:tcMar>
              <w:bottom w:w="28" w:type="dxa"/>
            </w:tcMar>
            <w:vAlign w:val="center"/>
          </w:tcPr>
          <w:p>
            <w:pPr>
              <w:pStyle w:val="TableContents"/>
              <w:bidi w:val="0"/>
              <w:spacing w:before="0" w:after="283"/>
              <w:jc w:val="right"/>
              <w:rPr/>
            </w:pPr>
            <w:r>
              <w:rPr/>
              <w:t>(3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6" w:type="dxa"/>
            <w:tcBorders>
              <w:bottom w:val="single" w:sz="12" w:space="0" w:color="000000"/>
            </w:tcBorders>
            <w:shd w:fill="CCEEFF" w:val="clear"/>
            <w:tcMar>
              <w:bottom w:w="28" w:type="dxa"/>
            </w:tcMar>
            <w:vAlign w:val="center"/>
          </w:tcPr>
          <w:p>
            <w:pPr>
              <w:pStyle w:val="TableContents"/>
              <w:bidi w:val="0"/>
              <w:spacing w:before="0" w:after="283"/>
              <w:jc w:val="right"/>
              <w:rPr/>
            </w:pPr>
            <w:r>
              <w:rPr/>
              <w:t>52,175</w:t>
            </w:r>
          </w:p>
        </w:tc>
        <w:tc>
          <w:tcPr>
            <w:tcW w:w="140" w:type="dxa"/>
            <w:tcBorders/>
            <w:shd w:fill="CCEEFF" w:val="clear"/>
            <w:vAlign w:val="center"/>
          </w:tcPr>
          <w:p>
            <w:pPr>
              <w:pStyle w:val="TableContents"/>
              <w:bidi w:val="0"/>
              <w:spacing w:before="0" w:after="283"/>
              <w:jc w:val="left"/>
              <w:rPr/>
            </w:pPr>
            <w:r>
              <w:rPr/>
              <w:t> </w:t>
            </w:r>
          </w:p>
        </w:tc>
      </w:tr>
      <w:tr>
        <w:trPr/>
        <w:tc>
          <w:tcPr>
            <w:tcW w:w="3102" w:type="dxa"/>
            <w:tcBorders/>
            <w:vAlign w:val="center"/>
          </w:tcPr>
          <w:p>
            <w:pPr>
              <w:pStyle w:val="TableContents"/>
              <w:bidi w:val="0"/>
              <w:spacing w:before="0" w:after="283"/>
              <w:jc w:val="left"/>
              <w:rPr/>
            </w:pPr>
            <w:r>
              <w:rPr/>
              <w:t>Marketable securities</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92"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98" w:type="dxa"/>
            <w:tcBorders/>
            <w:vAlign w:val="center"/>
          </w:tcPr>
          <w:p>
            <w:pPr>
              <w:pStyle w:val="TableContents"/>
              <w:bidi w:val="0"/>
              <w:spacing w:before="0" w:after="283"/>
              <w:jc w:val="left"/>
              <w:rPr/>
            </w:pPr>
            <w:r>
              <w:rPr/>
              <w:t> </w:t>
            </w:r>
          </w:p>
        </w:tc>
        <w:tc>
          <w:tcPr>
            <w:tcW w:w="142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r>
      <w:tr>
        <w:trPr/>
        <w:tc>
          <w:tcPr>
            <w:tcW w:w="3102" w:type="dxa"/>
            <w:tcBorders/>
            <w:shd w:fill="CCEEFF" w:val="clear"/>
            <w:vAlign w:val="center"/>
          </w:tcPr>
          <w:p>
            <w:pPr>
              <w:pStyle w:val="TableContents"/>
              <w:bidi w:val="0"/>
              <w:spacing w:before="0" w:after="283"/>
              <w:jc w:val="left"/>
              <w:rPr/>
            </w:pPr>
            <w:r>
              <w:rPr/>
              <w:t>Marketable securities, current</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98"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r>
      <w:tr>
        <w:trPr/>
        <w:tc>
          <w:tcPr>
            <w:tcW w:w="3102" w:type="dxa"/>
            <w:tcBorders/>
            <w:vAlign w:val="center"/>
          </w:tcPr>
          <w:p>
            <w:pPr>
              <w:pStyle w:val="TableContents"/>
              <w:bidi w:val="0"/>
              <w:spacing w:before="0" w:after="283"/>
              <w:jc w:val="left"/>
              <w:rPr/>
            </w:pPr>
            <w:r>
              <w:rPr/>
              <w:t>U.S. treasury securities</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190,748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92"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55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98" w:type="dxa"/>
            <w:tcBorders/>
            <w:vAlign w:val="center"/>
          </w:tcPr>
          <w:p>
            <w:pPr>
              <w:pStyle w:val="TableContents"/>
              <w:bidi w:val="0"/>
              <w:spacing w:before="0" w:after="283"/>
              <w:jc w:val="left"/>
              <w:rPr/>
            </w:pPr>
            <w:r>
              <w:rPr/>
              <w:t> </w:t>
            </w:r>
          </w:p>
        </w:tc>
        <w:tc>
          <w:tcPr>
            <w:tcW w:w="1422" w:type="dxa"/>
            <w:tcBorders/>
            <w:vAlign w:val="center"/>
          </w:tcPr>
          <w:p>
            <w:pPr>
              <w:pStyle w:val="TableContents"/>
              <w:bidi w:val="0"/>
              <w:spacing w:before="0" w:after="283"/>
              <w:jc w:val="right"/>
              <w:rPr/>
            </w:pPr>
            <w:r>
              <w:rPr/>
              <w:t>(11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right"/>
              <w:rPr/>
            </w:pPr>
            <w:r>
              <w:rPr/>
              <w:t>190,792</w:t>
            </w:r>
          </w:p>
        </w:tc>
        <w:tc>
          <w:tcPr>
            <w:tcW w:w="140" w:type="dxa"/>
            <w:tcBorders/>
            <w:vAlign w:val="center"/>
          </w:tcPr>
          <w:p>
            <w:pPr>
              <w:pStyle w:val="TableContents"/>
              <w:bidi w:val="0"/>
              <w:spacing w:before="0" w:after="283"/>
              <w:jc w:val="left"/>
              <w:rPr/>
            </w:pPr>
            <w:r>
              <w:rPr/>
              <w:t> </w:t>
            </w:r>
          </w:p>
        </w:tc>
      </w:tr>
      <w:tr>
        <w:trPr/>
        <w:tc>
          <w:tcPr>
            <w:tcW w:w="3102" w:type="dxa"/>
            <w:tcBorders/>
            <w:shd w:fill="CCEEFF" w:val="clear"/>
            <w:vAlign w:val="center"/>
          </w:tcPr>
          <w:p>
            <w:pPr>
              <w:pStyle w:val="TableContents"/>
              <w:bidi w:val="0"/>
              <w:spacing w:before="0" w:after="283"/>
              <w:jc w:val="left"/>
              <w:rPr/>
            </w:pPr>
            <w:r>
              <w:rPr/>
              <w:t>U.S. government agency securities</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12,967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98"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12,966</w:t>
            </w:r>
          </w:p>
        </w:tc>
        <w:tc>
          <w:tcPr>
            <w:tcW w:w="140" w:type="dxa"/>
            <w:tcBorders/>
            <w:shd w:fill="CCEEFF" w:val="clear"/>
            <w:vAlign w:val="center"/>
          </w:tcPr>
          <w:p>
            <w:pPr>
              <w:pStyle w:val="TableContents"/>
              <w:bidi w:val="0"/>
              <w:spacing w:before="0" w:after="283"/>
              <w:jc w:val="left"/>
              <w:rPr/>
            </w:pPr>
            <w:r>
              <w:rPr/>
              <w:t> </w:t>
            </w:r>
          </w:p>
        </w:tc>
      </w:tr>
      <w:tr>
        <w:trPr/>
        <w:tc>
          <w:tcPr>
            <w:tcW w:w="3102" w:type="dxa"/>
            <w:tcBorders/>
            <w:vAlign w:val="center"/>
          </w:tcPr>
          <w:p>
            <w:pPr>
              <w:pStyle w:val="TableContents"/>
              <w:bidi w:val="0"/>
              <w:spacing w:before="0" w:after="283"/>
              <w:jc w:val="left"/>
              <w:rPr/>
            </w:pPr>
            <w:r>
              <w:rPr/>
              <w:t>Commercial papers</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34,808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92"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98" w:type="dxa"/>
            <w:tcBorders/>
            <w:vAlign w:val="center"/>
          </w:tcPr>
          <w:p>
            <w:pPr>
              <w:pStyle w:val="TableContents"/>
              <w:bidi w:val="0"/>
              <w:spacing w:before="0" w:after="283"/>
              <w:jc w:val="left"/>
              <w:rPr/>
            </w:pPr>
            <w:r>
              <w:rPr/>
              <w:t> </w:t>
            </w:r>
          </w:p>
        </w:tc>
        <w:tc>
          <w:tcPr>
            <w:tcW w:w="1422"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right"/>
              <w:rPr/>
            </w:pPr>
            <w:r>
              <w:rPr/>
              <w:t>34,811</w:t>
            </w:r>
          </w:p>
        </w:tc>
        <w:tc>
          <w:tcPr>
            <w:tcW w:w="140" w:type="dxa"/>
            <w:tcBorders/>
            <w:vAlign w:val="center"/>
          </w:tcPr>
          <w:p>
            <w:pPr>
              <w:pStyle w:val="TableContents"/>
              <w:bidi w:val="0"/>
              <w:spacing w:before="0" w:after="283"/>
              <w:jc w:val="left"/>
              <w:rPr/>
            </w:pPr>
            <w:r>
              <w:rPr/>
              <w:t> </w:t>
            </w:r>
          </w:p>
        </w:tc>
      </w:tr>
      <w:tr>
        <w:trPr/>
        <w:tc>
          <w:tcPr>
            <w:tcW w:w="3102" w:type="dxa"/>
            <w:tcBorders/>
            <w:shd w:fill="CCEEFF" w:val="clear"/>
            <w:vAlign w:val="center"/>
          </w:tcPr>
          <w:p>
            <w:pPr>
              <w:pStyle w:val="TableContents"/>
              <w:bidi w:val="0"/>
              <w:spacing w:before="0" w:after="283"/>
              <w:jc w:val="left"/>
              <w:rPr/>
            </w:pPr>
            <w:r>
              <w:rPr/>
              <w:t>Corporate debt securities</w:t>
            </w:r>
          </w:p>
        </w:tc>
        <w:tc>
          <w:tcPr>
            <w:tcW w:w="9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75,537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6" w:type="dxa"/>
            <w:tcBorders>
              <w:bottom w:val="single" w:sz="12" w:space="0" w:color="000000"/>
            </w:tcBorders>
            <w:shd w:fill="CCEEFF" w:val="clear"/>
            <w:tcMar>
              <w:bottom w:w="28" w:type="dxa"/>
            </w:tcMar>
            <w:vAlign w:val="center"/>
          </w:tcPr>
          <w:p>
            <w:pPr>
              <w:pStyle w:val="TableContents"/>
              <w:bidi w:val="0"/>
              <w:spacing w:before="0" w:after="283"/>
              <w:jc w:val="right"/>
              <w:rPr/>
            </w:pPr>
            <w:r>
              <w:rPr/>
              <w:t>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22" w:type="dxa"/>
            <w:tcBorders>
              <w:bottom w:val="single" w:sz="12" w:space="0" w:color="000000"/>
            </w:tcBorders>
            <w:shd w:fill="CCEEFF" w:val="clear"/>
            <w:tcMar>
              <w:bottom w:w="28" w:type="dxa"/>
            </w:tcMar>
            <w:vAlign w:val="center"/>
          </w:tcPr>
          <w:p>
            <w:pPr>
              <w:pStyle w:val="TableContents"/>
              <w:bidi w:val="0"/>
              <w:spacing w:before="0" w:after="283"/>
              <w:jc w:val="right"/>
              <w:rPr/>
            </w:pPr>
            <w:r>
              <w:rPr/>
              <w:t>(40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6" w:type="dxa"/>
            <w:tcBorders>
              <w:bottom w:val="single" w:sz="12" w:space="0" w:color="000000"/>
            </w:tcBorders>
            <w:shd w:fill="CCEEFF" w:val="clear"/>
            <w:tcMar>
              <w:bottom w:w="28" w:type="dxa"/>
            </w:tcMar>
            <w:vAlign w:val="center"/>
          </w:tcPr>
          <w:p>
            <w:pPr>
              <w:pStyle w:val="TableContents"/>
              <w:bidi w:val="0"/>
              <w:spacing w:before="0" w:after="283"/>
              <w:jc w:val="right"/>
              <w:rPr/>
            </w:pPr>
            <w:r>
              <w:rPr/>
              <w:t>75,504</w:t>
            </w:r>
          </w:p>
        </w:tc>
        <w:tc>
          <w:tcPr>
            <w:tcW w:w="140" w:type="dxa"/>
            <w:tcBorders/>
            <w:shd w:fill="CCEEFF" w:val="clear"/>
            <w:vAlign w:val="center"/>
          </w:tcPr>
          <w:p>
            <w:pPr>
              <w:pStyle w:val="TableContents"/>
              <w:bidi w:val="0"/>
              <w:spacing w:before="0" w:after="283"/>
              <w:jc w:val="left"/>
              <w:rPr/>
            </w:pPr>
            <w:r>
              <w:rPr/>
              <w:t> </w:t>
            </w:r>
          </w:p>
        </w:tc>
      </w:tr>
      <w:tr>
        <w:trPr/>
        <w:tc>
          <w:tcPr>
            <w:tcW w:w="3102" w:type="dxa"/>
            <w:tcBorders/>
            <w:vAlign w:val="center"/>
          </w:tcPr>
          <w:p>
            <w:pPr>
              <w:pStyle w:val="TableContents"/>
              <w:bidi w:val="0"/>
              <w:spacing w:before="0" w:after="283"/>
              <w:jc w:val="left"/>
              <w:rPr/>
            </w:pPr>
            <w:r>
              <w:rPr/>
              <w:t>Total marketable securities, current</w:t>
            </w:r>
          </w:p>
        </w:tc>
        <w:tc>
          <w:tcPr>
            <w:tcW w:w="90" w:type="dxa"/>
            <w:tcBorders/>
            <w:vAlign w:val="center"/>
          </w:tcPr>
          <w:p>
            <w:pPr>
              <w:pStyle w:val="TableContents"/>
              <w:bidi w:val="0"/>
              <w:spacing w:before="0" w:after="283"/>
              <w:jc w:val="left"/>
              <w:rPr/>
            </w:pPr>
            <w:r>
              <w:rPr/>
              <w:t> </w:t>
            </w:r>
          </w:p>
        </w:tc>
        <w:tc>
          <w:tcPr>
            <w:tcW w:w="2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tcMar>
              <w:bottom w:w="28" w:type="dxa"/>
            </w:tcMar>
            <w:vAlign w:val="center"/>
          </w:tcPr>
          <w:p>
            <w:pPr>
              <w:pStyle w:val="TableContents"/>
              <w:bidi w:val="0"/>
              <w:spacing w:before="0" w:after="283"/>
              <w:jc w:val="right"/>
              <w:rPr/>
            </w:pPr>
            <w:r>
              <w:rPr/>
              <w:t>314,060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9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6" w:type="dxa"/>
            <w:tcBorders>
              <w:bottom w:val="single" w:sz="12" w:space="0" w:color="000000"/>
            </w:tcBorders>
            <w:tcMar>
              <w:bottom w:w="28" w:type="dxa"/>
            </w:tcMar>
            <w:vAlign w:val="center"/>
          </w:tcPr>
          <w:p>
            <w:pPr>
              <w:pStyle w:val="TableContents"/>
              <w:bidi w:val="0"/>
              <w:spacing w:before="0" w:after="283"/>
              <w:jc w:val="right"/>
              <w:rPr/>
            </w:pPr>
            <w:r>
              <w:rPr/>
              <w:t>66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98" w:type="dxa"/>
            <w:tcBorders>
              <w:bottom w:val="single" w:sz="12" w:space="0" w:color="000000"/>
            </w:tcBorders>
            <w:tcMar>
              <w:bottom w:w="28" w:type="dxa"/>
            </w:tcMar>
            <w:vAlign w:val="center"/>
          </w:tcPr>
          <w:p>
            <w:pPr>
              <w:pStyle w:val="TableContents"/>
              <w:bidi w:val="0"/>
              <w:spacing w:before="0" w:after="283"/>
              <w:jc w:val="left"/>
              <w:rPr/>
            </w:pPr>
            <w:r>
              <w:rPr/>
              <w:t> </w:t>
            </w:r>
          </w:p>
        </w:tc>
        <w:tc>
          <w:tcPr>
            <w:tcW w:w="1422" w:type="dxa"/>
            <w:tcBorders>
              <w:bottom w:val="single" w:sz="12" w:space="0" w:color="000000"/>
            </w:tcBorders>
            <w:tcMar>
              <w:bottom w:w="28" w:type="dxa"/>
            </w:tcMar>
            <w:vAlign w:val="center"/>
          </w:tcPr>
          <w:p>
            <w:pPr>
              <w:pStyle w:val="TableContents"/>
              <w:bidi w:val="0"/>
              <w:spacing w:before="0" w:after="283"/>
              <w:jc w:val="right"/>
              <w:rPr/>
            </w:pPr>
            <w:r>
              <w:rPr/>
              <w:t>(53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3" w:type="dxa"/>
            <w:tcBorders>
              <w:bottom w:val="single" w:sz="12" w:space="0" w:color="000000"/>
            </w:tcBorders>
            <w:tcMar>
              <w:bottom w:w="28" w:type="dxa"/>
            </w:tcMar>
            <w:vAlign w:val="center"/>
          </w:tcPr>
          <w:p>
            <w:pPr>
              <w:pStyle w:val="TableContents"/>
              <w:bidi w:val="0"/>
              <w:spacing w:before="0" w:after="283"/>
              <w:jc w:val="left"/>
              <w:rPr/>
            </w:pPr>
            <w:r>
              <w:rPr/>
              <w:t> </w:t>
            </w:r>
          </w:p>
        </w:tc>
        <w:tc>
          <w:tcPr>
            <w:tcW w:w="896" w:type="dxa"/>
            <w:tcBorders>
              <w:bottom w:val="single" w:sz="12" w:space="0" w:color="000000"/>
            </w:tcBorders>
            <w:tcMar>
              <w:bottom w:w="28" w:type="dxa"/>
            </w:tcMar>
            <w:vAlign w:val="center"/>
          </w:tcPr>
          <w:p>
            <w:pPr>
              <w:pStyle w:val="TableContents"/>
              <w:bidi w:val="0"/>
              <w:spacing w:before="0" w:after="283"/>
              <w:jc w:val="right"/>
              <w:rPr/>
            </w:pPr>
            <w:r>
              <w:rPr/>
              <w:t>314,073</w:t>
            </w:r>
          </w:p>
        </w:tc>
        <w:tc>
          <w:tcPr>
            <w:tcW w:w="140" w:type="dxa"/>
            <w:tcBorders/>
            <w:vAlign w:val="center"/>
          </w:tcPr>
          <w:p>
            <w:pPr>
              <w:pStyle w:val="TableContents"/>
              <w:bidi w:val="0"/>
              <w:spacing w:before="0" w:after="283"/>
              <w:jc w:val="left"/>
              <w:rPr/>
            </w:pPr>
            <w:r>
              <w:rPr/>
              <w:t> </w:t>
            </w:r>
          </w:p>
        </w:tc>
      </w:tr>
      <w:tr>
        <w:trPr/>
        <w:tc>
          <w:tcPr>
            <w:tcW w:w="3102" w:type="dxa"/>
            <w:tcBorders/>
            <w:shd w:fill="CCEEFF" w:val="clear"/>
            <w:vAlign w:val="center"/>
          </w:tcPr>
          <w:p>
            <w:pPr>
              <w:pStyle w:val="TableContents"/>
              <w:bidi w:val="0"/>
              <w:spacing w:before="0" w:after="283"/>
              <w:jc w:val="left"/>
              <w:rPr/>
            </w:pPr>
            <w:r>
              <w:rPr/>
              <w:t>Marketable securities, long-term</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98"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r>
      <w:tr>
        <w:trPr/>
        <w:tc>
          <w:tcPr>
            <w:tcW w:w="3102" w:type="dxa"/>
            <w:tcBorders/>
            <w:vAlign w:val="center"/>
          </w:tcPr>
          <w:p>
            <w:pPr>
              <w:pStyle w:val="TableContents"/>
              <w:bidi w:val="0"/>
              <w:spacing w:before="0" w:after="283"/>
              <w:jc w:val="left"/>
              <w:rPr/>
            </w:pPr>
            <w:r>
              <w:rPr/>
              <w:t>U.S. treasury securities</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13,639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92"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98" w:type="dxa"/>
            <w:tcBorders/>
            <w:vAlign w:val="center"/>
          </w:tcPr>
          <w:p>
            <w:pPr>
              <w:pStyle w:val="TableContents"/>
              <w:bidi w:val="0"/>
              <w:spacing w:before="0" w:after="283"/>
              <w:jc w:val="left"/>
              <w:rPr/>
            </w:pPr>
            <w:r>
              <w:rPr/>
              <w:t> </w:t>
            </w:r>
          </w:p>
        </w:tc>
        <w:tc>
          <w:tcPr>
            <w:tcW w:w="1422" w:type="dxa"/>
            <w:tcBorders/>
            <w:vAlign w:val="center"/>
          </w:tcPr>
          <w:p>
            <w:pPr>
              <w:pStyle w:val="TableContents"/>
              <w:bidi w:val="0"/>
              <w:spacing w:before="0" w:after="283"/>
              <w:jc w:val="right"/>
              <w:rPr/>
            </w:pPr>
            <w:r>
              <w:rPr/>
              <w:t>(32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right"/>
              <w:rPr/>
            </w:pPr>
            <w:r>
              <w:rPr/>
              <w:t>13,607</w:t>
            </w:r>
          </w:p>
        </w:tc>
        <w:tc>
          <w:tcPr>
            <w:tcW w:w="140" w:type="dxa"/>
            <w:tcBorders/>
            <w:vAlign w:val="center"/>
          </w:tcPr>
          <w:p>
            <w:pPr>
              <w:pStyle w:val="TableContents"/>
              <w:bidi w:val="0"/>
              <w:spacing w:before="0" w:after="283"/>
              <w:jc w:val="left"/>
              <w:rPr/>
            </w:pPr>
            <w:r>
              <w:rPr/>
              <w:t> </w:t>
            </w:r>
          </w:p>
        </w:tc>
      </w:tr>
      <w:tr>
        <w:trPr/>
        <w:tc>
          <w:tcPr>
            <w:tcW w:w="3102" w:type="dxa"/>
            <w:tcBorders/>
            <w:shd w:fill="CCEEFF" w:val="clear"/>
            <w:vAlign w:val="center"/>
          </w:tcPr>
          <w:p>
            <w:pPr>
              <w:pStyle w:val="TableContents"/>
              <w:bidi w:val="0"/>
              <w:spacing w:before="0" w:after="283"/>
              <w:jc w:val="left"/>
              <w:rPr/>
            </w:pPr>
            <w:r>
              <w:rPr/>
              <w:t>U.S. government agency securities</w:t>
            </w:r>
          </w:p>
        </w:tc>
        <w:tc>
          <w:tcPr>
            <w:tcW w:w="9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4,485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6"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22" w:type="dxa"/>
            <w:tcBorders>
              <w:bottom w:val="single" w:sz="12" w:space="0" w:color="000000"/>
            </w:tcBorders>
            <w:shd w:fill="CCEEFF" w:val="clear"/>
            <w:tcMar>
              <w:bottom w:w="28" w:type="dxa"/>
            </w:tcMar>
            <w:vAlign w:val="center"/>
          </w:tcPr>
          <w:p>
            <w:pPr>
              <w:pStyle w:val="TableContents"/>
              <w:bidi w:val="0"/>
              <w:spacing w:before="0" w:after="283"/>
              <w:jc w:val="right"/>
              <w:rPr/>
            </w:pPr>
            <w:r>
              <w:rPr/>
              <w:t>(23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6" w:type="dxa"/>
            <w:tcBorders>
              <w:bottom w:val="single" w:sz="12" w:space="0" w:color="000000"/>
            </w:tcBorders>
            <w:shd w:fill="CCEEFF" w:val="clear"/>
            <w:tcMar>
              <w:bottom w:w="28" w:type="dxa"/>
            </w:tcMar>
            <w:vAlign w:val="center"/>
          </w:tcPr>
          <w:p>
            <w:pPr>
              <w:pStyle w:val="TableContents"/>
              <w:bidi w:val="0"/>
              <w:spacing w:before="0" w:after="283"/>
              <w:jc w:val="right"/>
              <w:rPr/>
            </w:pPr>
            <w:r>
              <w:rPr/>
              <w:t>4,462</w:t>
            </w:r>
          </w:p>
        </w:tc>
        <w:tc>
          <w:tcPr>
            <w:tcW w:w="140" w:type="dxa"/>
            <w:tcBorders/>
            <w:shd w:fill="CCEEFF" w:val="clear"/>
            <w:vAlign w:val="center"/>
          </w:tcPr>
          <w:p>
            <w:pPr>
              <w:pStyle w:val="TableContents"/>
              <w:bidi w:val="0"/>
              <w:spacing w:before="0" w:after="283"/>
              <w:jc w:val="left"/>
              <w:rPr/>
            </w:pPr>
            <w:r>
              <w:rPr/>
              <w:t> </w:t>
            </w:r>
          </w:p>
        </w:tc>
      </w:tr>
      <w:tr>
        <w:trPr/>
        <w:tc>
          <w:tcPr>
            <w:tcW w:w="3102" w:type="dxa"/>
            <w:tcBorders/>
            <w:vAlign w:val="center"/>
          </w:tcPr>
          <w:p>
            <w:pPr>
              <w:pStyle w:val="TableContents"/>
              <w:bidi w:val="0"/>
              <w:spacing w:before="0" w:after="283"/>
              <w:jc w:val="left"/>
              <w:rPr/>
            </w:pPr>
            <w:r>
              <w:rPr/>
              <w:t>Total marketable securities, long-term</w:t>
            </w:r>
          </w:p>
        </w:tc>
        <w:tc>
          <w:tcPr>
            <w:tcW w:w="90" w:type="dxa"/>
            <w:tcBorders/>
            <w:vAlign w:val="center"/>
          </w:tcPr>
          <w:p>
            <w:pPr>
              <w:pStyle w:val="TableContents"/>
              <w:bidi w:val="0"/>
              <w:spacing w:before="0" w:after="283"/>
              <w:jc w:val="left"/>
              <w:rPr/>
            </w:pPr>
            <w:r>
              <w:rPr/>
              <w:t> </w:t>
            </w:r>
          </w:p>
        </w:tc>
        <w:tc>
          <w:tcPr>
            <w:tcW w:w="2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tcMar>
              <w:bottom w:w="28" w:type="dxa"/>
            </w:tcMar>
            <w:vAlign w:val="center"/>
          </w:tcPr>
          <w:p>
            <w:pPr>
              <w:pStyle w:val="TableContents"/>
              <w:bidi w:val="0"/>
              <w:spacing w:before="0" w:after="283"/>
              <w:jc w:val="right"/>
              <w:rPr/>
            </w:pPr>
            <w:r>
              <w:rPr/>
              <w:t>18,124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9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6"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98" w:type="dxa"/>
            <w:tcBorders>
              <w:bottom w:val="single" w:sz="12" w:space="0" w:color="000000"/>
            </w:tcBorders>
            <w:tcMar>
              <w:bottom w:w="28" w:type="dxa"/>
            </w:tcMar>
            <w:vAlign w:val="center"/>
          </w:tcPr>
          <w:p>
            <w:pPr>
              <w:pStyle w:val="TableContents"/>
              <w:bidi w:val="0"/>
              <w:spacing w:before="0" w:after="283"/>
              <w:jc w:val="left"/>
              <w:rPr/>
            </w:pPr>
            <w:r>
              <w:rPr/>
              <w:t> </w:t>
            </w:r>
          </w:p>
        </w:tc>
        <w:tc>
          <w:tcPr>
            <w:tcW w:w="1422" w:type="dxa"/>
            <w:tcBorders>
              <w:bottom w:val="single" w:sz="12" w:space="0" w:color="000000"/>
            </w:tcBorders>
            <w:tcMar>
              <w:bottom w:w="28" w:type="dxa"/>
            </w:tcMar>
            <w:vAlign w:val="center"/>
          </w:tcPr>
          <w:p>
            <w:pPr>
              <w:pStyle w:val="TableContents"/>
              <w:bidi w:val="0"/>
              <w:spacing w:before="0" w:after="283"/>
              <w:jc w:val="right"/>
              <w:rPr/>
            </w:pPr>
            <w:r>
              <w:rPr/>
              <w:t>(55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3" w:type="dxa"/>
            <w:tcBorders>
              <w:bottom w:val="single" w:sz="12" w:space="0" w:color="000000"/>
            </w:tcBorders>
            <w:tcMar>
              <w:bottom w:w="28" w:type="dxa"/>
            </w:tcMar>
            <w:vAlign w:val="center"/>
          </w:tcPr>
          <w:p>
            <w:pPr>
              <w:pStyle w:val="TableContents"/>
              <w:bidi w:val="0"/>
              <w:spacing w:before="0" w:after="283"/>
              <w:jc w:val="left"/>
              <w:rPr/>
            </w:pPr>
            <w:r>
              <w:rPr/>
              <w:t> </w:t>
            </w:r>
          </w:p>
        </w:tc>
        <w:tc>
          <w:tcPr>
            <w:tcW w:w="896" w:type="dxa"/>
            <w:tcBorders>
              <w:bottom w:val="single" w:sz="12" w:space="0" w:color="000000"/>
            </w:tcBorders>
            <w:tcMar>
              <w:bottom w:w="28" w:type="dxa"/>
            </w:tcMar>
            <w:vAlign w:val="center"/>
          </w:tcPr>
          <w:p>
            <w:pPr>
              <w:pStyle w:val="TableContents"/>
              <w:bidi w:val="0"/>
              <w:spacing w:before="0" w:after="283"/>
              <w:jc w:val="right"/>
              <w:rPr/>
            </w:pPr>
            <w:r>
              <w:rPr/>
              <w:t>18,069</w:t>
            </w:r>
          </w:p>
        </w:tc>
        <w:tc>
          <w:tcPr>
            <w:tcW w:w="140" w:type="dxa"/>
            <w:tcBorders/>
            <w:vAlign w:val="center"/>
          </w:tcPr>
          <w:p>
            <w:pPr>
              <w:pStyle w:val="TableContents"/>
              <w:bidi w:val="0"/>
              <w:spacing w:before="0" w:after="283"/>
              <w:jc w:val="left"/>
              <w:rPr/>
            </w:pPr>
            <w:r>
              <w:rPr/>
              <w:t> </w:t>
            </w:r>
          </w:p>
        </w:tc>
      </w:tr>
      <w:tr>
        <w:trPr/>
        <w:tc>
          <w:tcPr>
            <w:tcW w:w="3102" w:type="dxa"/>
            <w:tcBorders/>
            <w:shd w:fill="CCEEFF" w:val="clear"/>
            <w:vAlign w:val="center"/>
          </w:tcPr>
          <w:p>
            <w:pPr>
              <w:pStyle w:val="TableContents"/>
              <w:bidi w:val="0"/>
              <w:spacing w:before="0" w:after="283"/>
              <w:jc w:val="left"/>
              <w:rPr/>
            </w:pPr>
            <w:r>
              <w:rPr/>
              <w:t>Total cash equivalents and marketable securities</w:t>
            </w:r>
          </w:p>
        </w:tc>
        <w:tc>
          <w:tcPr>
            <w:tcW w:w="9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0" w:type="dxa"/>
            <w:tcBorders>
              <w:bottom w:val="double" w:sz="10" w:space="0" w:color="000000"/>
            </w:tcBorders>
            <w:shd w:fill="CCEEFF" w:val="clear"/>
            <w:tcMar>
              <w:bottom w:w="28" w:type="dxa"/>
            </w:tcMar>
            <w:vAlign w:val="center"/>
          </w:tcPr>
          <w:p>
            <w:pPr>
              <w:pStyle w:val="TableContents"/>
              <w:bidi w:val="0"/>
              <w:spacing w:before="0" w:after="283"/>
              <w:jc w:val="right"/>
              <w:rPr/>
            </w:pPr>
            <w:r>
              <w:rPr/>
              <w:t>384,358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9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6" w:type="dxa"/>
            <w:tcBorders>
              <w:bottom w:val="double" w:sz="10" w:space="0" w:color="000000"/>
            </w:tcBorders>
            <w:shd w:fill="CCEEFF" w:val="clear"/>
            <w:tcMar>
              <w:bottom w:w="28" w:type="dxa"/>
            </w:tcMar>
            <w:vAlign w:val="center"/>
          </w:tcPr>
          <w:p>
            <w:pPr>
              <w:pStyle w:val="TableContents"/>
              <w:bidi w:val="0"/>
              <w:spacing w:before="0" w:after="283"/>
              <w:jc w:val="right"/>
              <w:rPr/>
            </w:pPr>
            <w:r>
              <w:rPr/>
              <w:t>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9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22" w:type="dxa"/>
            <w:tcBorders>
              <w:bottom w:val="double" w:sz="10" w:space="0" w:color="000000"/>
            </w:tcBorders>
            <w:shd w:fill="CCEEFF" w:val="clear"/>
            <w:tcMar>
              <w:bottom w:w="28" w:type="dxa"/>
            </w:tcMar>
            <w:vAlign w:val="center"/>
          </w:tcPr>
          <w:p>
            <w:pPr>
              <w:pStyle w:val="TableContents"/>
              <w:bidi w:val="0"/>
              <w:spacing w:before="0" w:after="283"/>
              <w:jc w:val="right"/>
              <w:rPr/>
            </w:pPr>
            <w:r>
              <w:rPr/>
              <w:t>(111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96" w:type="dxa"/>
            <w:tcBorders>
              <w:bottom w:val="double" w:sz="10" w:space="0" w:color="000000"/>
            </w:tcBorders>
            <w:shd w:fill="CCEEFF" w:val="clear"/>
            <w:tcMar>
              <w:bottom w:w="28" w:type="dxa"/>
            </w:tcMar>
            <w:vAlign w:val="center"/>
          </w:tcPr>
          <w:p>
            <w:pPr>
              <w:pStyle w:val="TableContents"/>
              <w:bidi w:val="0"/>
              <w:spacing w:before="0" w:after="283"/>
              <w:jc w:val="right"/>
              <w:rPr/>
            </w:pPr>
            <w:r>
              <w:rPr/>
              <w:t>384,317</w:t>
            </w:r>
          </w:p>
        </w:tc>
        <w:tc>
          <w:tcPr>
            <w:tcW w:w="14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available-for-sale securities in an unrealized loss position, aggregated by major security type and length of time in a continuous unrealized loss position, for which an allowance for credit losses was not recorded as of March 31, 2025 and December 31, 2024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77"/>
        <w:gridCol w:w="90"/>
        <w:gridCol w:w="182"/>
        <w:gridCol w:w="892"/>
        <w:gridCol w:w="96"/>
        <w:gridCol w:w="96"/>
        <w:gridCol w:w="438"/>
        <w:gridCol w:w="943"/>
        <w:gridCol w:w="125"/>
        <w:gridCol w:w="90"/>
        <w:gridCol w:w="353"/>
        <w:gridCol w:w="448"/>
        <w:gridCol w:w="115"/>
        <w:gridCol w:w="115"/>
        <w:gridCol w:w="509"/>
        <w:gridCol w:w="872"/>
        <w:gridCol w:w="90"/>
        <w:gridCol w:w="90"/>
        <w:gridCol w:w="177"/>
        <w:gridCol w:w="867"/>
        <w:gridCol w:w="90"/>
        <w:gridCol w:w="90"/>
        <w:gridCol w:w="438"/>
        <w:gridCol w:w="943"/>
        <w:gridCol w:w="179"/>
      </w:tblGrid>
      <w:tr>
        <w:trPr/>
        <w:tc>
          <w:tcPr>
            <w:tcW w:w="187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59"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March 31, 2025</w:t>
            </w:r>
          </w:p>
        </w:tc>
        <w:tc>
          <w:tcPr>
            <w:tcW w:w="179" w:type="dxa"/>
            <w:tcBorders/>
            <w:vAlign w:val="center"/>
          </w:tcPr>
          <w:p>
            <w:pPr>
              <w:pStyle w:val="TableContents"/>
              <w:bidi w:val="0"/>
              <w:spacing w:before="0" w:after="283"/>
              <w:jc w:val="left"/>
              <w:rPr/>
            </w:pPr>
            <w:r>
              <w:rPr/>
              <w:t> </w:t>
            </w:r>
          </w:p>
        </w:tc>
      </w:tr>
      <w:tr>
        <w:trPr/>
        <w:tc>
          <w:tcPr>
            <w:tcW w:w="187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4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Less than 12 months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12 months or longer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9" w:type="dxa"/>
            <w:tcBorders/>
            <w:vAlign w:val="center"/>
          </w:tcPr>
          <w:p>
            <w:pPr>
              <w:pStyle w:val="TableContents"/>
              <w:bidi w:val="0"/>
              <w:spacing w:before="0" w:after="283"/>
              <w:jc w:val="left"/>
              <w:rPr/>
            </w:pPr>
            <w:r>
              <w:rPr/>
              <w:t> </w:t>
            </w:r>
          </w:p>
        </w:tc>
      </w:tr>
      <w:tr>
        <w:trPr/>
        <w:tc>
          <w:tcPr>
            <w:tcW w:w="187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3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Unrealized Losses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3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Unrealized Losses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Unrealized Losses</w:t>
            </w:r>
          </w:p>
        </w:tc>
        <w:tc>
          <w:tcPr>
            <w:tcW w:w="179" w:type="dxa"/>
            <w:tcBorders/>
            <w:vAlign w:val="center"/>
          </w:tcPr>
          <w:p>
            <w:pPr>
              <w:pStyle w:val="TableContents"/>
              <w:bidi w:val="0"/>
              <w:spacing w:before="0" w:after="283"/>
              <w:jc w:val="left"/>
              <w:rPr/>
            </w:pPr>
            <w:r>
              <w:rPr/>
              <w:t> </w:t>
            </w:r>
          </w:p>
        </w:tc>
      </w:tr>
      <w:tr>
        <w:trPr/>
        <w:tc>
          <w:tcPr>
            <w:tcW w:w="1877" w:type="dxa"/>
            <w:tcBorders/>
            <w:vAlign w:val="center"/>
          </w:tcPr>
          <w:p>
            <w:pPr>
              <w:pStyle w:val="TableContents"/>
              <w:bidi w:val="0"/>
              <w:spacing w:before="0" w:after="283"/>
              <w:jc w:val="left"/>
              <w:rPr/>
            </w:pPr>
            <w:r>
              <w:rPr/>
              <w:t>Cash equivalents</w:t>
            </w:r>
          </w:p>
        </w:tc>
        <w:tc>
          <w:tcPr>
            <w:tcW w:w="90" w:type="dxa"/>
            <w:tcBorders/>
            <w:vAlign w:val="center"/>
          </w:tcPr>
          <w:p>
            <w:pPr>
              <w:pStyle w:val="TableContents"/>
              <w:bidi w:val="0"/>
              <w:spacing w:before="0" w:after="283"/>
              <w:jc w:val="left"/>
              <w:rPr/>
            </w:pPr>
            <w:r>
              <w:rPr/>
              <w:t> </w:t>
            </w:r>
          </w:p>
        </w:tc>
        <w:tc>
          <w:tcPr>
            <w:tcW w:w="1074" w:type="dxa"/>
            <w:gridSpan w:val="2"/>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381"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1" w:type="dxa"/>
            <w:gridSpan w:val="2"/>
            <w:tcBorders/>
            <w:vAlign w:val="center"/>
          </w:tcPr>
          <w:p>
            <w:pPr>
              <w:pStyle w:val="TableContents"/>
              <w:bidi w:val="0"/>
              <w:spacing w:before="0" w:after="283"/>
              <w:jc w:val="right"/>
              <w:rPr/>
            </w:pPr>
            <w:r>
              <w:rPr/>
              <w:t> </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381"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1" w:type="dxa"/>
            <w:gridSpan w:val="2"/>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r>
      <w:tr>
        <w:trPr/>
        <w:tc>
          <w:tcPr>
            <w:tcW w:w="1877" w:type="dxa"/>
            <w:tcBorders/>
            <w:shd w:fill="CCEEFF" w:val="clear"/>
            <w:vAlign w:val="center"/>
          </w:tcPr>
          <w:p>
            <w:pPr>
              <w:pStyle w:val="TableContents"/>
              <w:bidi w:val="0"/>
              <w:spacing w:before="0" w:after="283"/>
              <w:jc w:val="left"/>
              <w:rPr/>
            </w:pPr>
            <w:r>
              <w:rPr/>
              <w:t>Commercial papers</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92" w:type="dxa"/>
            <w:tcBorders/>
            <w:shd w:fill="CCEEFF" w:val="clear"/>
            <w:vAlign w:val="center"/>
          </w:tcPr>
          <w:p>
            <w:pPr>
              <w:pStyle w:val="TableContents"/>
              <w:bidi w:val="0"/>
              <w:spacing w:before="0" w:after="283"/>
              <w:jc w:val="right"/>
              <w:rPr/>
            </w:pPr>
            <w:r>
              <w:rPr/>
              <w:t>64,892</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left"/>
              <w:rPr/>
            </w:pPr>
            <w:r>
              <w:rPr/>
              <w:t>$</w:t>
            </w:r>
          </w:p>
        </w:tc>
        <w:tc>
          <w:tcPr>
            <w:tcW w:w="943" w:type="dxa"/>
            <w:tcBorders/>
            <w:shd w:fill="CCEEFF" w:val="clear"/>
            <w:vAlign w:val="center"/>
          </w:tcPr>
          <w:p>
            <w:pPr>
              <w:pStyle w:val="TableContents"/>
              <w:bidi w:val="0"/>
              <w:spacing w:before="0" w:after="283"/>
              <w:jc w:val="right"/>
              <w:rPr/>
            </w:pPr>
            <w:r>
              <w:rPr/>
              <w:t>(11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w:t>
            </w:r>
          </w:p>
        </w:tc>
        <w:tc>
          <w:tcPr>
            <w:tcW w:w="448" w:type="dxa"/>
            <w:tcBorders/>
            <w:shd w:fill="CCEEFF" w:val="clear"/>
            <w:vAlign w:val="center"/>
          </w:tcPr>
          <w:p>
            <w:pPr>
              <w:pStyle w:val="TableContents"/>
              <w:bidi w:val="0"/>
              <w:spacing w:before="0" w:after="0"/>
              <w:jc w:val="right"/>
              <w:rPr/>
            </w:pPr>
            <w:r>
              <w:rPr/>
              <w:t>—</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w:t>
            </w:r>
          </w:p>
        </w:tc>
        <w:tc>
          <w:tcPr>
            <w:tcW w:w="87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867" w:type="dxa"/>
            <w:tcBorders/>
            <w:shd w:fill="CCEEFF" w:val="clear"/>
            <w:vAlign w:val="center"/>
          </w:tcPr>
          <w:p>
            <w:pPr>
              <w:pStyle w:val="TableContents"/>
              <w:bidi w:val="0"/>
              <w:spacing w:before="0" w:after="283"/>
              <w:jc w:val="right"/>
              <w:rPr/>
            </w:pPr>
            <w:r>
              <w:rPr/>
              <w:t>64,892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left"/>
              <w:rPr/>
            </w:pPr>
            <w:r>
              <w:rPr/>
              <w:t>$</w:t>
            </w:r>
          </w:p>
        </w:tc>
        <w:tc>
          <w:tcPr>
            <w:tcW w:w="943" w:type="dxa"/>
            <w:tcBorders/>
            <w:shd w:fill="CCEEFF" w:val="clear"/>
            <w:vAlign w:val="center"/>
          </w:tcPr>
          <w:p>
            <w:pPr>
              <w:pStyle w:val="TableContents"/>
              <w:bidi w:val="0"/>
              <w:spacing w:before="0" w:after="283"/>
              <w:jc w:val="right"/>
              <w:rPr/>
            </w:pPr>
            <w:r>
              <w:rPr/>
              <w:t>(11</w:t>
            </w:r>
          </w:p>
        </w:tc>
        <w:tc>
          <w:tcPr>
            <w:tcW w:w="179" w:type="dxa"/>
            <w:tcBorders/>
            <w:shd w:fill="CCEEFF" w:val="clear"/>
            <w:vAlign w:val="center"/>
          </w:tcPr>
          <w:p>
            <w:pPr>
              <w:pStyle w:val="TableContents"/>
              <w:bidi w:val="0"/>
              <w:spacing w:before="0" w:after="283"/>
              <w:jc w:val="left"/>
              <w:rPr/>
            </w:pPr>
            <w:r>
              <w:rPr/>
              <w:t>)</w:t>
            </w:r>
          </w:p>
        </w:tc>
      </w:tr>
      <w:tr>
        <w:trPr/>
        <w:tc>
          <w:tcPr>
            <w:tcW w:w="1877" w:type="dxa"/>
            <w:tcBorders/>
            <w:vAlign w:val="center"/>
          </w:tcPr>
          <w:p>
            <w:pPr>
              <w:pStyle w:val="TableContents"/>
              <w:bidi w:val="0"/>
              <w:spacing w:before="0" w:after="283"/>
              <w:jc w:val="left"/>
              <w:rPr/>
            </w:pPr>
            <w:r>
              <w:rPr/>
              <w:t>Marketable securities</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right"/>
              <w:rPr/>
            </w:pPr>
            <w:r>
              <w:rPr/>
              <w:t> </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509"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right"/>
              <w:rPr/>
            </w:pPr>
            <w:r>
              <w:rPr/>
              <w:t> </w:t>
            </w:r>
          </w:p>
        </w:tc>
        <w:tc>
          <w:tcPr>
            <w:tcW w:w="179" w:type="dxa"/>
            <w:tcBorders/>
            <w:vAlign w:val="center"/>
          </w:tcPr>
          <w:p>
            <w:pPr>
              <w:pStyle w:val="TableContents"/>
              <w:bidi w:val="0"/>
              <w:spacing w:before="0" w:after="283"/>
              <w:jc w:val="left"/>
              <w:rPr/>
            </w:pPr>
            <w:r>
              <w:rPr/>
              <w:t> </w:t>
            </w:r>
          </w:p>
        </w:tc>
      </w:tr>
      <w:tr>
        <w:trPr/>
        <w:tc>
          <w:tcPr>
            <w:tcW w:w="1877" w:type="dxa"/>
            <w:tcBorders/>
            <w:shd w:fill="CCEEFF" w:val="clear"/>
            <w:vAlign w:val="center"/>
          </w:tcPr>
          <w:p>
            <w:pPr>
              <w:pStyle w:val="TableContents"/>
              <w:bidi w:val="0"/>
              <w:spacing w:before="0" w:after="283"/>
              <w:jc w:val="left"/>
              <w:rPr/>
            </w:pPr>
            <w:r>
              <w:rPr/>
              <w:t>Marketable securities, current</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 </w:t>
            </w:r>
          </w:p>
        </w:tc>
        <w:tc>
          <w:tcPr>
            <w:tcW w:w="179" w:type="dxa"/>
            <w:tcBorders/>
            <w:shd w:fill="CCEEFF" w:val="clear"/>
            <w:vAlign w:val="center"/>
          </w:tcPr>
          <w:p>
            <w:pPr>
              <w:pStyle w:val="TableContents"/>
              <w:bidi w:val="0"/>
              <w:spacing w:before="0" w:after="283"/>
              <w:jc w:val="left"/>
              <w:rPr/>
            </w:pPr>
            <w:r>
              <w:rPr/>
              <w:t> </w:t>
            </w:r>
          </w:p>
        </w:tc>
      </w:tr>
      <w:tr>
        <w:trPr/>
        <w:tc>
          <w:tcPr>
            <w:tcW w:w="1877" w:type="dxa"/>
            <w:tcBorders/>
            <w:vAlign w:val="center"/>
          </w:tcPr>
          <w:p>
            <w:pPr>
              <w:pStyle w:val="TableContents"/>
              <w:bidi w:val="0"/>
              <w:spacing w:before="0" w:after="283"/>
              <w:jc w:val="left"/>
              <w:rPr/>
            </w:pPr>
            <w:r>
              <w:rPr/>
              <w:t>U.S. treasury securities</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right"/>
              <w:rPr/>
            </w:pPr>
            <w:r>
              <w:rPr/>
              <w:t>89,724</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right"/>
              <w:rPr/>
            </w:pPr>
            <w:r>
              <w:rPr/>
              <w:t>(13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0"/>
              <w:jc w:val="right"/>
              <w:rPr/>
            </w:pPr>
            <w:r>
              <w:rPr/>
              <w:t>—</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509"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right"/>
              <w:rPr/>
            </w:pPr>
            <w:r>
              <w:rPr/>
              <w:t>89,724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right"/>
              <w:rPr/>
            </w:pPr>
            <w:r>
              <w:rPr/>
              <w:t>(13</w:t>
            </w:r>
          </w:p>
        </w:tc>
        <w:tc>
          <w:tcPr>
            <w:tcW w:w="179" w:type="dxa"/>
            <w:tcBorders/>
            <w:vAlign w:val="center"/>
          </w:tcPr>
          <w:p>
            <w:pPr>
              <w:pStyle w:val="TableContents"/>
              <w:bidi w:val="0"/>
              <w:spacing w:before="0" w:after="283"/>
              <w:jc w:val="left"/>
              <w:rPr/>
            </w:pPr>
            <w:r>
              <w:rPr/>
              <w:t>)</w:t>
            </w:r>
          </w:p>
        </w:tc>
      </w:tr>
      <w:tr>
        <w:trPr/>
        <w:tc>
          <w:tcPr>
            <w:tcW w:w="1877" w:type="dxa"/>
            <w:tcBorders/>
            <w:shd w:fill="CCEEFF" w:val="clear"/>
            <w:vAlign w:val="center"/>
          </w:tcPr>
          <w:p>
            <w:pPr>
              <w:pStyle w:val="TableContents"/>
              <w:bidi w:val="0"/>
              <w:spacing w:before="0" w:after="283"/>
              <w:jc w:val="left"/>
              <w:rPr/>
            </w:pPr>
            <w:r>
              <w:rPr/>
              <w:t>U.S. government agency securities</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5,044</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0"/>
              <w:jc w:val="right"/>
              <w:rPr/>
            </w:pPr>
            <w:r>
              <w:rPr/>
              <w:t>—</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5,044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(1</w:t>
            </w:r>
          </w:p>
        </w:tc>
        <w:tc>
          <w:tcPr>
            <w:tcW w:w="179" w:type="dxa"/>
            <w:tcBorders/>
            <w:shd w:fill="CCEEFF" w:val="clear"/>
            <w:vAlign w:val="center"/>
          </w:tcPr>
          <w:p>
            <w:pPr>
              <w:pStyle w:val="TableContents"/>
              <w:bidi w:val="0"/>
              <w:spacing w:before="0" w:after="283"/>
              <w:jc w:val="left"/>
              <w:rPr/>
            </w:pPr>
            <w:r>
              <w:rPr/>
              <w:t>)</w:t>
            </w:r>
          </w:p>
        </w:tc>
      </w:tr>
      <w:tr>
        <w:trPr/>
        <w:tc>
          <w:tcPr>
            <w:tcW w:w="1877" w:type="dxa"/>
            <w:tcBorders/>
            <w:vAlign w:val="center"/>
          </w:tcPr>
          <w:p>
            <w:pPr>
              <w:pStyle w:val="TableContents"/>
              <w:bidi w:val="0"/>
              <w:spacing w:before="0" w:after="283"/>
              <w:jc w:val="left"/>
              <w:rPr/>
            </w:pPr>
            <w:r>
              <w:rPr/>
              <w:t>Commercial papers</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right"/>
              <w:rPr/>
            </w:pPr>
            <w:r>
              <w:rPr/>
              <w:t>24,248</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right"/>
              <w:rPr/>
            </w:pPr>
            <w:r>
              <w:rPr/>
              <w:t>(8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0"/>
              <w:jc w:val="right"/>
              <w:rPr/>
            </w:pPr>
            <w:r>
              <w:rPr/>
              <w:t>—</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509"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right"/>
              <w:rPr/>
            </w:pPr>
            <w:r>
              <w:rPr/>
              <w:t>24,248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right"/>
              <w:rPr/>
            </w:pPr>
            <w:r>
              <w:rPr/>
              <w:t>(8</w:t>
            </w:r>
          </w:p>
        </w:tc>
        <w:tc>
          <w:tcPr>
            <w:tcW w:w="179" w:type="dxa"/>
            <w:tcBorders/>
            <w:vAlign w:val="center"/>
          </w:tcPr>
          <w:p>
            <w:pPr>
              <w:pStyle w:val="TableContents"/>
              <w:bidi w:val="0"/>
              <w:spacing w:before="0" w:after="283"/>
              <w:jc w:val="left"/>
              <w:rPr/>
            </w:pPr>
            <w:r>
              <w:rPr/>
              <w:t>)</w:t>
            </w:r>
          </w:p>
        </w:tc>
      </w:tr>
      <w:tr>
        <w:trPr/>
        <w:tc>
          <w:tcPr>
            <w:tcW w:w="1877" w:type="dxa"/>
            <w:tcBorders/>
            <w:shd w:fill="CCEEFF" w:val="clear"/>
            <w:vAlign w:val="center"/>
          </w:tcPr>
          <w:p>
            <w:pPr>
              <w:pStyle w:val="TableContents"/>
              <w:bidi w:val="0"/>
              <w:spacing w:before="0" w:after="283"/>
              <w:jc w:val="left"/>
              <w:rPr/>
            </w:pPr>
            <w:r>
              <w:rPr/>
              <w:t>Corporate debt securities</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34,358</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(12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0"/>
              <w:jc w:val="right"/>
              <w:rPr/>
            </w:pPr>
            <w:r>
              <w:rPr/>
              <w:t>—</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34,358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(12</w:t>
            </w:r>
          </w:p>
        </w:tc>
        <w:tc>
          <w:tcPr>
            <w:tcW w:w="179" w:type="dxa"/>
            <w:tcBorders/>
            <w:shd w:fill="CCEEFF" w:val="clear"/>
            <w:vAlign w:val="center"/>
          </w:tcPr>
          <w:p>
            <w:pPr>
              <w:pStyle w:val="TableContents"/>
              <w:bidi w:val="0"/>
              <w:spacing w:before="0" w:after="283"/>
              <w:jc w:val="left"/>
              <w:rPr/>
            </w:pPr>
            <w:r>
              <w:rPr/>
              <w:t>)</w:t>
            </w:r>
          </w:p>
        </w:tc>
      </w:tr>
      <w:tr>
        <w:trPr/>
        <w:tc>
          <w:tcPr>
            <w:tcW w:w="1877" w:type="dxa"/>
            <w:tcBorders/>
            <w:vAlign w:val="center"/>
          </w:tcPr>
          <w:p>
            <w:pPr>
              <w:pStyle w:val="TableContents"/>
              <w:bidi w:val="0"/>
              <w:spacing w:before="0" w:after="283"/>
              <w:jc w:val="left"/>
              <w:rPr/>
            </w:pPr>
            <w:r>
              <w:rPr/>
              <w:t>Marketable securities, long-term</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right"/>
              <w:rPr/>
            </w:pPr>
            <w:r>
              <w:rPr/>
              <w:t> </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509"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 </w:t>
            </w:r>
          </w:p>
        </w:tc>
      </w:tr>
      <w:tr>
        <w:trPr/>
        <w:tc>
          <w:tcPr>
            <w:tcW w:w="1877" w:type="dxa"/>
            <w:tcBorders/>
            <w:shd w:fill="CCEEFF" w:val="clear"/>
            <w:vAlign w:val="center"/>
          </w:tcPr>
          <w:p>
            <w:pPr>
              <w:pStyle w:val="TableContents"/>
              <w:bidi w:val="0"/>
              <w:spacing w:before="0" w:after="283"/>
              <w:jc w:val="left"/>
              <w:rPr/>
            </w:pPr>
            <w:r>
              <w:rPr/>
              <w:t>U.S. government agency securities</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2" w:type="dxa"/>
            <w:tcBorders>
              <w:bottom w:val="single" w:sz="12" w:space="0" w:color="000000"/>
            </w:tcBorders>
            <w:shd w:fill="CCEEFF" w:val="clear"/>
            <w:tcMar>
              <w:bottom w:w="28" w:type="dxa"/>
            </w:tcMar>
            <w:vAlign w:val="center"/>
          </w:tcPr>
          <w:p>
            <w:pPr>
              <w:pStyle w:val="TableContents"/>
              <w:bidi w:val="0"/>
              <w:spacing w:before="0" w:after="283"/>
              <w:jc w:val="right"/>
              <w:rPr/>
            </w:pPr>
            <w:r>
              <w:rPr/>
              <w:t>1,538</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3"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4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7" w:type="dxa"/>
            <w:tcBorders>
              <w:bottom w:val="single" w:sz="12" w:space="0" w:color="000000"/>
            </w:tcBorders>
            <w:shd w:fill="CCEEFF" w:val="clear"/>
            <w:tcMar>
              <w:bottom w:w="28" w:type="dxa"/>
            </w:tcMar>
            <w:vAlign w:val="center"/>
          </w:tcPr>
          <w:p>
            <w:pPr>
              <w:pStyle w:val="TableContents"/>
              <w:bidi w:val="0"/>
              <w:spacing w:before="0" w:after="283"/>
              <w:jc w:val="right"/>
              <w:rPr/>
            </w:pPr>
            <w:r>
              <w:rPr/>
              <w:t>1,538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3"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179" w:type="dxa"/>
            <w:tcBorders/>
            <w:shd w:fill="CCEEFF" w:val="clear"/>
            <w:vAlign w:val="center"/>
          </w:tcPr>
          <w:p>
            <w:pPr>
              <w:pStyle w:val="TableContents"/>
              <w:bidi w:val="0"/>
              <w:spacing w:before="0" w:after="283"/>
              <w:jc w:val="left"/>
              <w:rPr/>
            </w:pPr>
            <w:r>
              <w:rPr/>
              <w:t>)</w:t>
            </w:r>
          </w:p>
        </w:tc>
      </w:tr>
      <w:tr>
        <w:trPr/>
        <w:tc>
          <w:tcPr>
            <w:tcW w:w="1877"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182" w:type="dxa"/>
            <w:tcBorders>
              <w:bottom w:val="double" w:sz="10" w:space="0" w:color="000000"/>
            </w:tcBorders>
            <w:tcMar>
              <w:bottom w:w="28" w:type="dxa"/>
            </w:tcMar>
            <w:vAlign w:val="center"/>
          </w:tcPr>
          <w:p>
            <w:pPr>
              <w:pStyle w:val="TableContents"/>
              <w:bidi w:val="0"/>
              <w:spacing w:before="0" w:after="283"/>
              <w:jc w:val="left"/>
              <w:rPr/>
            </w:pPr>
            <w:r>
              <w:rPr/>
              <w:t>$</w:t>
            </w:r>
          </w:p>
        </w:tc>
        <w:tc>
          <w:tcPr>
            <w:tcW w:w="892" w:type="dxa"/>
            <w:tcBorders>
              <w:bottom w:val="double" w:sz="10" w:space="0" w:color="000000"/>
            </w:tcBorders>
            <w:tcMar>
              <w:bottom w:w="28" w:type="dxa"/>
            </w:tcMar>
            <w:vAlign w:val="center"/>
          </w:tcPr>
          <w:p>
            <w:pPr>
              <w:pStyle w:val="TableContents"/>
              <w:bidi w:val="0"/>
              <w:spacing w:before="0" w:after="283"/>
              <w:jc w:val="right"/>
              <w:rPr/>
            </w:pPr>
            <w:r>
              <w:rPr/>
              <w:t>219,804</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38" w:type="dxa"/>
            <w:tcBorders>
              <w:bottom w:val="double" w:sz="10" w:space="0" w:color="000000"/>
            </w:tcBorders>
            <w:tcMar>
              <w:bottom w:w="28" w:type="dxa"/>
            </w:tcMar>
            <w:vAlign w:val="center"/>
          </w:tcPr>
          <w:p>
            <w:pPr>
              <w:pStyle w:val="TableContents"/>
              <w:bidi w:val="0"/>
              <w:spacing w:before="0" w:after="283"/>
              <w:jc w:val="left"/>
              <w:rPr/>
            </w:pPr>
            <w:r>
              <w:rPr/>
              <w:t>$</w:t>
            </w:r>
          </w:p>
        </w:tc>
        <w:tc>
          <w:tcPr>
            <w:tcW w:w="943" w:type="dxa"/>
            <w:tcBorders>
              <w:bottom w:val="double" w:sz="10" w:space="0" w:color="000000"/>
            </w:tcBorders>
            <w:tcMar>
              <w:bottom w:w="28" w:type="dxa"/>
            </w:tcMar>
            <w:vAlign w:val="center"/>
          </w:tcPr>
          <w:p>
            <w:pPr>
              <w:pStyle w:val="TableContents"/>
              <w:bidi w:val="0"/>
              <w:spacing w:before="0" w:after="283"/>
              <w:jc w:val="right"/>
              <w:rPr/>
            </w:pPr>
            <w:r>
              <w:rPr/>
              <w:t>(46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53" w:type="dxa"/>
            <w:tcBorders>
              <w:bottom w:val="double" w:sz="10" w:space="0" w:color="000000"/>
            </w:tcBorders>
            <w:tcMar>
              <w:bottom w:w="28" w:type="dxa"/>
            </w:tcMar>
            <w:vAlign w:val="center"/>
          </w:tcPr>
          <w:p>
            <w:pPr>
              <w:pStyle w:val="TableContents"/>
              <w:bidi w:val="0"/>
              <w:spacing w:before="0" w:after="283"/>
              <w:jc w:val="left"/>
              <w:rPr/>
            </w:pPr>
            <w:r>
              <w:rPr/>
              <w:t>$</w:t>
            </w:r>
          </w:p>
        </w:tc>
        <w:tc>
          <w:tcPr>
            <w:tcW w:w="448" w:type="dxa"/>
            <w:tcBorders>
              <w:bottom w:val="double" w:sz="10" w:space="0" w:color="000000"/>
            </w:tcBorders>
            <w:tcMar>
              <w:bottom w:w="28" w:type="dxa"/>
            </w:tcMar>
            <w:vAlign w:val="center"/>
          </w:tcPr>
          <w:p>
            <w:pPr>
              <w:pStyle w:val="TableContents"/>
              <w:bidi w:val="0"/>
              <w:spacing w:before="0" w:after="0"/>
              <w:jc w:val="right"/>
              <w:rPr/>
            </w:pPr>
            <w:r>
              <w:rPr/>
              <w:t>—</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509" w:type="dxa"/>
            <w:tcBorders>
              <w:bottom w:val="double" w:sz="10" w:space="0" w:color="000000"/>
            </w:tcBorders>
            <w:tcMar>
              <w:bottom w:w="28" w:type="dxa"/>
            </w:tcMar>
            <w:vAlign w:val="center"/>
          </w:tcPr>
          <w:p>
            <w:pPr>
              <w:pStyle w:val="TableContents"/>
              <w:bidi w:val="0"/>
              <w:spacing w:before="0" w:after="283"/>
              <w:jc w:val="left"/>
              <w:rPr/>
            </w:pPr>
            <w:r>
              <w:rPr/>
              <w:t>$</w:t>
            </w:r>
          </w:p>
        </w:tc>
        <w:tc>
          <w:tcPr>
            <w:tcW w:w="872" w:type="dxa"/>
            <w:tcBorders>
              <w:bottom w:val="double" w:sz="10"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bottom w:val="double" w:sz="10" w:space="0" w:color="000000"/>
            </w:tcBorders>
            <w:tcMar>
              <w:bottom w:w="28" w:type="dxa"/>
            </w:tcMar>
            <w:vAlign w:val="center"/>
          </w:tcPr>
          <w:p>
            <w:pPr>
              <w:pStyle w:val="TableContents"/>
              <w:bidi w:val="0"/>
              <w:spacing w:before="0" w:after="283"/>
              <w:jc w:val="left"/>
              <w:rPr/>
            </w:pPr>
            <w:r>
              <w:rPr/>
              <w:t>$</w:t>
            </w:r>
          </w:p>
        </w:tc>
        <w:tc>
          <w:tcPr>
            <w:tcW w:w="867" w:type="dxa"/>
            <w:tcBorders>
              <w:bottom w:val="double" w:sz="10" w:space="0" w:color="000000"/>
            </w:tcBorders>
            <w:tcMar>
              <w:bottom w:w="28" w:type="dxa"/>
            </w:tcMar>
            <w:vAlign w:val="center"/>
          </w:tcPr>
          <w:p>
            <w:pPr>
              <w:pStyle w:val="TableContents"/>
              <w:bidi w:val="0"/>
              <w:spacing w:before="0" w:after="283"/>
              <w:jc w:val="right"/>
              <w:rPr/>
            </w:pPr>
            <w:r>
              <w:rPr/>
              <w:t>219,804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8" w:type="dxa"/>
            <w:tcBorders>
              <w:bottom w:val="double" w:sz="10" w:space="0" w:color="000000"/>
            </w:tcBorders>
            <w:tcMar>
              <w:bottom w:w="28" w:type="dxa"/>
            </w:tcMar>
            <w:vAlign w:val="center"/>
          </w:tcPr>
          <w:p>
            <w:pPr>
              <w:pStyle w:val="TableContents"/>
              <w:bidi w:val="0"/>
              <w:spacing w:before="0" w:after="283"/>
              <w:jc w:val="left"/>
              <w:rPr/>
            </w:pPr>
            <w:r>
              <w:rPr/>
              <w:t>$</w:t>
            </w:r>
          </w:p>
        </w:tc>
        <w:tc>
          <w:tcPr>
            <w:tcW w:w="943" w:type="dxa"/>
            <w:tcBorders>
              <w:bottom w:val="double" w:sz="10" w:space="0" w:color="000000"/>
            </w:tcBorders>
            <w:tcMar>
              <w:bottom w:w="28" w:type="dxa"/>
            </w:tcMar>
            <w:vAlign w:val="center"/>
          </w:tcPr>
          <w:p>
            <w:pPr>
              <w:pStyle w:val="TableContents"/>
              <w:bidi w:val="0"/>
              <w:spacing w:before="0" w:after="283"/>
              <w:jc w:val="right"/>
              <w:rPr/>
            </w:pPr>
            <w:r>
              <w:rPr/>
              <w:t>(46</w:t>
            </w:r>
          </w:p>
        </w:tc>
        <w:tc>
          <w:tcPr>
            <w:tcW w:w="179"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90"/>
        <w:gridCol w:w="90"/>
        <w:gridCol w:w="178"/>
        <w:gridCol w:w="872"/>
        <w:gridCol w:w="94"/>
        <w:gridCol w:w="94"/>
        <w:gridCol w:w="359"/>
        <w:gridCol w:w="1026"/>
        <w:gridCol w:w="125"/>
        <w:gridCol w:w="90"/>
        <w:gridCol w:w="354"/>
        <w:gridCol w:w="450"/>
        <w:gridCol w:w="115"/>
        <w:gridCol w:w="115"/>
        <w:gridCol w:w="511"/>
        <w:gridCol w:w="874"/>
        <w:gridCol w:w="90"/>
        <w:gridCol w:w="90"/>
        <w:gridCol w:w="177"/>
        <w:gridCol w:w="867"/>
        <w:gridCol w:w="90"/>
        <w:gridCol w:w="90"/>
        <w:gridCol w:w="359"/>
        <w:gridCol w:w="1026"/>
        <w:gridCol w:w="179"/>
      </w:tblGrid>
      <w:tr>
        <w:trPr/>
        <w:tc>
          <w:tcPr>
            <w:tcW w:w="1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46"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December 31, 2024</w:t>
            </w:r>
          </w:p>
        </w:tc>
        <w:tc>
          <w:tcPr>
            <w:tcW w:w="179" w:type="dxa"/>
            <w:tcBorders/>
            <w:vAlign w:val="center"/>
          </w:tcPr>
          <w:p>
            <w:pPr>
              <w:pStyle w:val="TableContents"/>
              <w:bidi w:val="0"/>
              <w:spacing w:before="0" w:after="283"/>
              <w:jc w:val="left"/>
              <w:rPr/>
            </w:pPr>
            <w:r>
              <w:rPr/>
              <w:t> </w:t>
            </w:r>
          </w:p>
        </w:tc>
      </w:tr>
      <w:tr>
        <w:trPr/>
        <w:tc>
          <w:tcPr>
            <w:tcW w:w="1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2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Less than 12 months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12 months or longer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9" w:type="dxa"/>
            <w:tcBorders/>
            <w:vAlign w:val="center"/>
          </w:tcPr>
          <w:p>
            <w:pPr>
              <w:pStyle w:val="TableContents"/>
              <w:bidi w:val="0"/>
              <w:spacing w:before="0" w:after="283"/>
              <w:jc w:val="left"/>
              <w:rPr/>
            </w:pPr>
            <w:r>
              <w:rPr/>
              <w:t> </w:t>
            </w:r>
          </w:p>
        </w:tc>
      </w:tr>
      <w:tr>
        <w:trPr/>
        <w:tc>
          <w:tcPr>
            <w:tcW w:w="1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Unrealized Losses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Unrealized Losses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Unrealized Losses</w:t>
            </w:r>
          </w:p>
        </w:tc>
        <w:tc>
          <w:tcPr>
            <w:tcW w:w="179" w:type="dxa"/>
            <w:tcBorders/>
            <w:vAlign w:val="center"/>
          </w:tcPr>
          <w:p>
            <w:pPr>
              <w:pStyle w:val="TableContents"/>
              <w:bidi w:val="0"/>
              <w:spacing w:before="0" w:after="283"/>
              <w:jc w:val="left"/>
              <w:rPr/>
            </w:pPr>
            <w:r>
              <w:rPr/>
              <w:t> </w:t>
            </w:r>
          </w:p>
        </w:tc>
      </w:tr>
      <w:tr>
        <w:trPr/>
        <w:tc>
          <w:tcPr>
            <w:tcW w:w="1890" w:type="dxa"/>
            <w:tcBorders/>
            <w:vAlign w:val="center"/>
          </w:tcPr>
          <w:p>
            <w:pPr>
              <w:pStyle w:val="TableContents"/>
              <w:bidi w:val="0"/>
              <w:spacing w:before="0" w:after="283"/>
              <w:jc w:val="left"/>
              <w:rPr/>
            </w:pPr>
            <w:r>
              <w:rPr/>
              <w:t>Cash equivalents</w:t>
            </w:r>
          </w:p>
        </w:tc>
        <w:tc>
          <w:tcPr>
            <w:tcW w:w="90" w:type="dxa"/>
            <w:tcBorders/>
            <w:vAlign w:val="center"/>
          </w:tcPr>
          <w:p>
            <w:pPr>
              <w:pStyle w:val="TableContents"/>
              <w:bidi w:val="0"/>
              <w:spacing w:before="0" w:after="283"/>
              <w:jc w:val="left"/>
              <w:rPr/>
            </w:pPr>
            <w:r>
              <w:rPr/>
              <w:t> </w:t>
            </w:r>
          </w:p>
        </w:tc>
        <w:tc>
          <w:tcPr>
            <w:tcW w:w="1050" w:type="dxa"/>
            <w:gridSpan w:val="2"/>
            <w:tcBorders/>
            <w:vAlign w:val="center"/>
          </w:tcPr>
          <w:p>
            <w:pPr>
              <w:pStyle w:val="TableContents"/>
              <w:bidi w:val="0"/>
              <w:spacing w:before="0" w:after="283"/>
              <w:jc w:val="righ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4" w:type="dxa"/>
            <w:gridSpan w:val="2"/>
            <w:tcBorders/>
            <w:vAlign w:val="center"/>
          </w:tcPr>
          <w:p>
            <w:pPr>
              <w:pStyle w:val="TableContents"/>
              <w:bidi w:val="0"/>
              <w:spacing w:before="0" w:after="283"/>
              <w:jc w:val="right"/>
              <w:rPr/>
            </w:pPr>
            <w:r>
              <w:rPr/>
              <w:t> </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r>
      <w:tr>
        <w:trPr/>
        <w:tc>
          <w:tcPr>
            <w:tcW w:w="1890" w:type="dxa"/>
            <w:tcBorders/>
            <w:shd w:fill="CCEEFF" w:val="clear"/>
            <w:vAlign w:val="center"/>
          </w:tcPr>
          <w:p>
            <w:pPr>
              <w:pStyle w:val="TableContents"/>
              <w:bidi w:val="0"/>
              <w:spacing w:before="0" w:after="283"/>
              <w:jc w:val="left"/>
              <w:rPr/>
            </w:pPr>
            <w:r>
              <w:rPr/>
              <w:t>Commercial papers</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872" w:type="dxa"/>
            <w:tcBorders/>
            <w:shd w:fill="CCEEFF" w:val="clear"/>
            <w:vAlign w:val="center"/>
          </w:tcPr>
          <w:p>
            <w:pPr>
              <w:pStyle w:val="TableContents"/>
              <w:bidi w:val="0"/>
              <w:spacing w:before="0" w:after="283"/>
              <w:jc w:val="right"/>
              <w:rPr/>
            </w:pPr>
            <w:r>
              <w:rPr/>
              <w:t>18,199</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w:t>
            </w:r>
          </w:p>
        </w:tc>
        <w:tc>
          <w:tcPr>
            <w:tcW w:w="1026" w:type="dxa"/>
            <w:tcBorders/>
            <w:shd w:fill="CCEEFF" w:val="clear"/>
            <w:vAlign w:val="center"/>
          </w:tcPr>
          <w:p>
            <w:pPr>
              <w:pStyle w:val="TableContents"/>
              <w:bidi w:val="0"/>
              <w:spacing w:before="0" w:after="283"/>
              <w:jc w:val="right"/>
              <w:rPr/>
            </w:pPr>
            <w:r>
              <w:rPr/>
              <w:t>(3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left"/>
              <w:rPr/>
            </w:pPr>
            <w:r>
              <w:rPr/>
              <w:t>$</w:t>
            </w:r>
          </w:p>
        </w:tc>
        <w:tc>
          <w:tcPr>
            <w:tcW w:w="450" w:type="dxa"/>
            <w:tcBorders/>
            <w:shd w:fill="CCEEFF" w:val="clear"/>
            <w:vAlign w:val="center"/>
          </w:tcPr>
          <w:p>
            <w:pPr>
              <w:pStyle w:val="TableContents"/>
              <w:bidi w:val="0"/>
              <w:spacing w:before="0" w:after="0"/>
              <w:jc w:val="right"/>
              <w:rPr/>
            </w:pPr>
            <w:r>
              <w:rPr/>
              <w:t>—</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left"/>
              <w:rPr/>
            </w:pPr>
            <w:r>
              <w:rPr/>
              <w:t>$</w:t>
            </w:r>
          </w:p>
        </w:tc>
        <w:tc>
          <w:tcPr>
            <w:tcW w:w="874"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867" w:type="dxa"/>
            <w:tcBorders/>
            <w:shd w:fill="CCEEFF" w:val="clear"/>
            <w:vAlign w:val="center"/>
          </w:tcPr>
          <w:p>
            <w:pPr>
              <w:pStyle w:val="TableContents"/>
              <w:bidi w:val="0"/>
              <w:spacing w:before="0" w:after="283"/>
              <w:jc w:val="right"/>
              <w:rPr/>
            </w:pPr>
            <w:r>
              <w:rPr/>
              <w:t>18,199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w:t>
            </w:r>
          </w:p>
        </w:tc>
        <w:tc>
          <w:tcPr>
            <w:tcW w:w="1026" w:type="dxa"/>
            <w:tcBorders/>
            <w:shd w:fill="CCEEFF" w:val="clear"/>
            <w:vAlign w:val="center"/>
          </w:tcPr>
          <w:p>
            <w:pPr>
              <w:pStyle w:val="TableContents"/>
              <w:bidi w:val="0"/>
              <w:spacing w:before="0" w:after="283"/>
              <w:jc w:val="right"/>
              <w:rPr/>
            </w:pPr>
            <w:r>
              <w:rPr/>
              <w:t>(3</w:t>
            </w:r>
          </w:p>
        </w:tc>
        <w:tc>
          <w:tcPr>
            <w:tcW w:w="179" w:type="dxa"/>
            <w:tcBorders/>
            <w:shd w:fill="CCEEFF" w:val="clear"/>
            <w:vAlign w:val="center"/>
          </w:tcPr>
          <w:p>
            <w:pPr>
              <w:pStyle w:val="TableContents"/>
              <w:bidi w:val="0"/>
              <w:spacing w:before="0" w:after="283"/>
              <w:jc w:val="left"/>
              <w:rPr/>
            </w:pPr>
            <w:r>
              <w:rPr/>
              <w:t>)</w:t>
            </w:r>
          </w:p>
        </w:tc>
      </w:tr>
      <w:tr>
        <w:trPr/>
        <w:tc>
          <w:tcPr>
            <w:tcW w:w="1890" w:type="dxa"/>
            <w:tcBorders/>
            <w:vAlign w:val="center"/>
          </w:tcPr>
          <w:p>
            <w:pPr>
              <w:pStyle w:val="TableContents"/>
              <w:bidi w:val="0"/>
              <w:spacing w:before="0" w:after="283"/>
              <w:jc w:val="left"/>
              <w:rPr/>
            </w:pPr>
            <w:r>
              <w:rPr/>
              <w:t>Marketable securities</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right"/>
              <w:rPr/>
            </w:pPr>
            <w:r>
              <w:rPr/>
              <w:t> </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874"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right"/>
              <w:rPr/>
            </w:pPr>
            <w:r>
              <w:rPr/>
              <w:t> </w:t>
            </w:r>
          </w:p>
        </w:tc>
        <w:tc>
          <w:tcPr>
            <w:tcW w:w="179" w:type="dxa"/>
            <w:tcBorders/>
            <w:vAlign w:val="center"/>
          </w:tcPr>
          <w:p>
            <w:pPr>
              <w:pStyle w:val="TableContents"/>
              <w:bidi w:val="0"/>
              <w:spacing w:before="0" w:after="283"/>
              <w:jc w:val="left"/>
              <w:rPr/>
            </w:pPr>
            <w:r>
              <w:rPr/>
              <w:t> </w:t>
            </w:r>
          </w:p>
        </w:tc>
      </w:tr>
      <w:tr>
        <w:trPr/>
        <w:tc>
          <w:tcPr>
            <w:tcW w:w="1890" w:type="dxa"/>
            <w:tcBorders/>
            <w:shd w:fill="CCEEFF" w:val="clear"/>
            <w:vAlign w:val="center"/>
          </w:tcPr>
          <w:p>
            <w:pPr>
              <w:pStyle w:val="TableContents"/>
              <w:bidi w:val="0"/>
              <w:spacing w:before="0" w:after="283"/>
              <w:jc w:val="left"/>
              <w:rPr/>
            </w:pPr>
            <w:r>
              <w:rPr/>
              <w:t>Marketable securities, current</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 </w:t>
            </w:r>
          </w:p>
        </w:tc>
        <w:tc>
          <w:tcPr>
            <w:tcW w:w="179" w:type="dxa"/>
            <w:tcBorders/>
            <w:shd w:fill="CCEEFF" w:val="clear"/>
            <w:vAlign w:val="center"/>
          </w:tcPr>
          <w:p>
            <w:pPr>
              <w:pStyle w:val="TableContents"/>
              <w:bidi w:val="0"/>
              <w:spacing w:before="0" w:after="283"/>
              <w:jc w:val="left"/>
              <w:rPr/>
            </w:pPr>
            <w:r>
              <w:rPr/>
              <w:t> </w:t>
            </w:r>
          </w:p>
        </w:tc>
      </w:tr>
      <w:tr>
        <w:trPr/>
        <w:tc>
          <w:tcPr>
            <w:tcW w:w="1890" w:type="dxa"/>
            <w:tcBorders/>
            <w:vAlign w:val="center"/>
          </w:tcPr>
          <w:p>
            <w:pPr>
              <w:pStyle w:val="TableContents"/>
              <w:bidi w:val="0"/>
              <w:spacing w:before="0" w:after="283"/>
              <w:jc w:val="left"/>
              <w:rPr/>
            </w:pPr>
            <w:r>
              <w:rPr/>
              <w:t>U.S. treasury securities</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49,904</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right"/>
              <w:rPr/>
            </w:pPr>
            <w:r>
              <w:rPr/>
              <w:t>(11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0"/>
              <w:jc w:val="right"/>
              <w:rPr/>
            </w:pPr>
            <w:r>
              <w:rPr/>
              <w:t>—</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87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right"/>
              <w:rPr/>
            </w:pPr>
            <w:r>
              <w:rPr/>
              <w:t>49,904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right"/>
              <w:rPr/>
            </w:pPr>
            <w:r>
              <w:rPr/>
              <w:t>(11</w:t>
            </w:r>
          </w:p>
        </w:tc>
        <w:tc>
          <w:tcPr>
            <w:tcW w:w="179" w:type="dxa"/>
            <w:tcBorders/>
            <w:vAlign w:val="center"/>
          </w:tcPr>
          <w:p>
            <w:pPr>
              <w:pStyle w:val="TableContents"/>
              <w:bidi w:val="0"/>
              <w:spacing w:before="0" w:after="283"/>
              <w:jc w:val="left"/>
              <w:rPr/>
            </w:pPr>
            <w:r>
              <w:rPr/>
              <w:t>)</w:t>
            </w:r>
          </w:p>
        </w:tc>
      </w:tr>
      <w:tr>
        <w:trPr/>
        <w:tc>
          <w:tcPr>
            <w:tcW w:w="1890" w:type="dxa"/>
            <w:tcBorders/>
            <w:shd w:fill="CCEEFF" w:val="clear"/>
            <w:vAlign w:val="center"/>
          </w:tcPr>
          <w:p>
            <w:pPr>
              <w:pStyle w:val="TableContents"/>
              <w:bidi w:val="0"/>
              <w:spacing w:before="0" w:after="283"/>
              <w:jc w:val="left"/>
              <w:rPr/>
            </w:pPr>
            <w:r>
              <w:rPr/>
              <w:t>U.S. government agency securities</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4,713</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0"/>
              <w:jc w:val="right"/>
              <w:rPr/>
            </w:pPr>
            <w:r>
              <w:rPr/>
              <w:t>—</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4,713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(2</w:t>
            </w:r>
          </w:p>
        </w:tc>
        <w:tc>
          <w:tcPr>
            <w:tcW w:w="179" w:type="dxa"/>
            <w:tcBorders/>
            <w:shd w:fill="CCEEFF" w:val="clear"/>
            <w:vAlign w:val="center"/>
          </w:tcPr>
          <w:p>
            <w:pPr>
              <w:pStyle w:val="TableContents"/>
              <w:bidi w:val="0"/>
              <w:spacing w:before="0" w:after="283"/>
              <w:jc w:val="left"/>
              <w:rPr/>
            </w:pPr>
            <w:r>
              <w:rPr/>
              <w:t>)</w:t>
            </w:r>
          </w:p>
        </w:tc>
      </w:tr>
      <w:tr>
        <w:trPr/>
        <w:tc>
          <w:tcPr>
            <w:tcW w:w="1890" w:type="dxa"/>
            <w:tcBorders/>
            <w:vAlign w:val="center"/>
          </w:tcPr>
          <w:p>
            <w:pPr>
              <w:pStyle w:val="TableContents"/>
              <w:bidi w:val="0"/>
              <w:spacing w:before="0" w:after="283"/>
              <w:jc w:val="left"/>
              <w:rPr/>
            </w:pPr>
            <w:r>
              <w:rPr/>
              <w:t>Corporate debt securities</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39,468</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right"/>
              <w:rPr/>
            </w:pPr>
            <w:r>
              <w:rPr/>
              <w:t>(40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0"/>
              <w:jc w:val="right"/>
              <w:rPr/>
            </w:pPr>
            <w:r>
              <w:rPr/>
              <w:t>—</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87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right"/>
              <w:rPr/>
            </w:pPr>
            <w:r>
              <w:rPr/>
              <w:t>39,468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right"/>
              <w:rPr/>
            </w:pPr>
            <w:r>
              <w:rPr/>
              <w:t>(40</w:t>
            </w:r>
          </w:p>
        </w:tc>
        <w:tc>
          <w:tcPr>
            <w:tcW w:w="179" w:type="dxa"/>
            <w:tcBorders/>
            <w:vAlign w:val="center"/>
          </w:tcPr>
          <w:p>
            <w:pPr>
              <w:pStyle w:val="TableContents"/>
              <w:bidi w:val="0"/>
              <w:spacing w:before="0" w:after="283"/>
              <w:jc w:val="left"/>
              <w:rPr/>
            </w:pPr>
            <w:r>
              <w:rPr/>
              <w:t>)</w:t>
            </w:r>
          </w:p>
        </w:tc>
      </w:tr>
      <w:tr>
        <w:trPr/>
        <w:tc>
          <w:tcPr>
            <w:tcW w:w="1890" w:type="dxa"/>
            <w:tcBorders/>
            <w:shd w:fill="CCEEFF" w:val="clear"/>
            <w:vAlign w:val="center"/>
          </w:tcPr>
          <w:p>
            <w:pPr>
              <w:pStyle w:val="TableContents"/>
              <w:bidi w:val="0"/>
              <w:spacing w:before="0" w:after="283"/>
              <w:jc w:val="left"/>
              <w:rPr/>
            </w:pPr>
            <w:r>
              <w:rPr/>
              <w:t>Marketable securities, long-term</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left"/>
              <w:rPr>
                <w:sz w:val="4"/>
                <w:szCs w:val="4"/>
              </w:rPr>
            </w:pPr>
            <w:r>
              <w:rPr>
                <w:sz w:val="4"/>
                <w:szCs w:val="4"/>
              </w:rPr>
            </w:r>
          </w:p>
        </w:tc>
        <w:tc>
          <w:tcPr>
            <w:tcW w:w="179" w:type="dxa"/>
            <w:tcBorders/>
            <w:shd w:fill="CCEEFF" w:val="clear"/>
            <w:vAlign w:val="center"/>
          </w:tcPr>
          <w:p>
            <w:pPr>
              <w:pStyle w:val="TableContents"/>
              <w:bidi w:val="0"/>
              <w:spacing w:before="0" w:after="283"/>
              <w:jc w:val="left"/>
              <w:rPr/>
            </w:pPr>
            <w:r>
              <w:rPr/>
              <w:t> </w:t>
            </w:r>
          </w:p>
        </w:tc>
      </w:tr>
      <w:tr>
        <w:trPr/>
        <w:tc>
          <w:tcPr>
            <w:tcW w:w="1890" w:type="dxa"/>
            <w:tcBorders/>
            <w:vAlign w:val="center"/>
          </w:tcPr>
          <w:p>
            <w:pPr>
              <w:pStyle w:val="TableContents"/>
              <w:bidi w:val="0"/>
              <w:spacing w:before="0" w:after="283"/>
              <w:jc w:val="left"/>
              <w:rPr/>
            </w:pPr>
            <w:r>
              <w:rPr/>
              <w:t>U.S. treasury securities</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13,607</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right"/>
              <w:rPr/>
            </w:pPr>
            <w:r>
              <w:rPr/>
              <w:t>(32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0"/>
              <w:jc w:val="right"/>
              <w:rPr/>
            </w:pPr>
            <w:r>
              <w:rPr/>
              <w:t>—</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87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right"/>
              <w:rPr/>
            </w:pPr>
            <w:r>
              <w:rPr/>
              <w:t>13,607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right"/>
              <w:rPr/>
            </w:pPr>
            <w:r>
              <w:rPr/>
              <w:t>(32</w:t>
            </w:r>
          </w:p>
        </w:tc>
        <w:tc>
          <w:tcPr>
            <w:tcW w:w="179" w:type="dxa"/>
            <w:tcBorders/>
            <w:vAlign w:val="center"/>
          </w:tcPr>
          <w:p>
            <w:pPr>
              <w:pStyle w:val="TableContents"/>
              <w:bidi w:val="0"/>
              <w:spacing w:before="0" w:after="283"/>
              <w:jc w:val="left"/>
              <w:rPr/>
            </w:pPr>
            <w:r>
              <w:rPr/>
              <w:t>)</w:t>
            </w:r>
          </w:p>
        </w:tc>
      </w:tr>
      <w:tr>
        <w:trPr/>
        <w:tc>
          <w:tcPr>
            <w:tcW w:w="1890" w:type="dxa"/>
            <w:tcBorders/>
            <w:shd w:fill="CCEEFF" w:val="clear"/>
            <w:vAlign w:val="center"/>
          </w:tcPr>
          <w:p>
            <w:pPr>
              <w:pStyle w:val="TableContents"/>
              <w:bidi w:val="0"/>
              <w:spacing w:before="0" w:after="283"/>
              <w:jc w:val="left"/>
              <w:rPr/>
            </w:pPr>
            <w:r>
              <w:rPr/>
              <w:t>U.S. government agency securities</w:t>
            </w:r>
          </w:p>
        </w:tc>
        <w:tc>
          <w:tcPr>
            <w:tcW w:w="9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2" w:type="dxa"/>
            <w:tcBorders>
              <w:bottom w:val="single" w:sz="12" w:space="0" w:color="000000"/>
            </w:tcBorders>
            <w:shd w:fill="CCEEFF" w:val="clear"/>
            <w:tcMar>
              <w:bottom w:w="28" w:type="dxa"/>
            </w:tcMar>
            <w:vAlign w:val="center"/>
          </w:tcPr>
          <w:p>
            <w:pPr>
              <w:pStyle w:val="TableContents"/>
              <w:bidi w:val="0"/>
              <w:spacing w:before="0" w:after="283"/>
              <w:jc w:val="right"/>
              <w:rPr/>
            </w:pPr>
            <w:r>
              <w:rPr/>
              <w:t>4,462</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3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6" w:type="dxa"/>
            <w:tcBorders>
              <w:bottom w:val="single" w:sz="12" w:space="0" w:color="000000"/>
            </w:tcBorders>
            <w:shd w:fill="CCEEFF" w:val="clear"/>
            <w:tcMar>
              <w:bottom w:w="28" w:type="dxa"/>
            </w:tcMar>
            <w:vAlign w:val="center"/>
          </w:tcPr>
          <w:p>
            <w:pPr>
              <w:pStyle w:val="TableContents"/>
              <w:bidi w:val="0"/>
              <w:spacing w:before="0" w:after="283"/>
              <w:jc w:val="right"/>
              <w:rPr/>
            </w:pPr>
            <w:r>
              <w:rPr/>
              <w:t>(23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7" w:type="dxa"/>
            <w:tcBorders>
              <w:bottom w:val="single" w:sz="12" w:space="0" w:color="000000"/>
            </w:tcBorders>
            <w:shd w:fill="CCEEFF" w:val="clear"/>
            <w:tcMar>
              <w:bottom w:w="28" w:type="dxa"/>
            </w:tcMar>
            <w:vAlign w:val="center"/>
          </w:tcPr>
          <w:p>
            <w:pPr>
              <w:pStyle w:val="TableContents"/>
              <w:bidi w:val="0"/>
              <w:spacing w:before="0" w:after="283"/>
              <w:jc w:val="right"/>
              <w:rPr/>
            </w:pPr>
            <w:r>
              <w:rPr/>
              <w:t>4,462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6" w:type="dxa"/>
            <w:tcBorders>
              <w:bottom w:val="single" w:sz="12" w:space="0" w:color="000000"/>
            </w:tcBorders>
            <w:shd w:fill="CCEEFF" w:val="clear"/>
            <w:tcMar>
              <w:bottom w:w="28" w:type="dxa"/>
            </w:tcMar>
            <w:vAlign w:val="center"/>
          </w:tcPr>
          <w:p>
            <w:pPr>
              <w:pStyle w:val="TableContents"/>
              <w:bidi w:val="0"/>
              <w:spacing w:before="0" w:after="283"/>
              <w:jc w:val="right"/>
              <w:rPr/>
            </w:pPr>
            <w:r>
              <w:rPr/>
              <w:t>(23</w:t>
            </w:r>
          </w:p>
        </w:tc>
        <w:tc>
          <w:tcPr>
            <w:tcW w:w="179" w:type="dxa"/>
            <w:tcBorders/>
            <w:shd w:fill="CCEEFF" w:val="clear"/>
            <w:vAlign w:val="center"/>
          </w:tcPr>
          <w:p>
            <w:pPr>
              <w:pStyle w:val="TableContents"/>
              <w:bidi w:val="0"/>
              <w:spacing w:before="0" w:after="283"/>
              <w:jc w:val="left"/>
              <w:rPr/>
            </w:pPr>
            <w:r>
              <w:rPr/>
              <w:t>)</w:t>
            </w:r>
          </w:p>
        </w:tc>
      </w:tr>
      <w:tr>
        <w:trPr/>
        <w:tc>
          <w:tcPr>
            <w:tcW w:w="1890"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178" w:type="dxa"/>
            <w:tcBorders>
              <w:bottom w:val="double" w:sz="10" w:space="0" w:color="000000"/>
            </w:tcBorders>
            <w:tcMar>
              <w:bottom w:w="28" w:type="dxa"/>
            </w:tcMar>
            <w:vAlign w:val="center"/>
          </w:tcPr>
          <w:p>
            <w:pPr>
              <w:pStyle w:val="TableContents"/>
              <w:bidi w:val="0"/>
              <w:spacing w:before="0" w:after="283"/>
              <w:jc w:val="left"/>
              <w:rPr/>
            </w:pPr>
            <w:r>
              <w:rPr/>
              <w:t>$</w:t>
            </w:r>
          </w:p>
        </w:tc>
        <w:tc>
          <w:tcPr>
            <w:tcW w:w="872" w:type="dxa"/>
            <w:tcBorders>
              <w:bottom w:val="double" w:sz="10" w:space="0" w:color="000000"/>
            </w:tcBorders>
            <w:tcMar>
              <w:bottom w:w="28" w:type="dxa"/>
            </w:tcMar>
            <w:vAlign w:val="center"/>
          </w:tcPr>
          <w:p>
            <w:pPr>
              <w:pStyle w:val="TableContents"/>
              <w:bidi w:val="0"/>
              <w:spacing w:before="0" w:after="283"/>
              <w:jc w:val="right"/>
              <w:rPr/>
            </w:pPr>
            <w:r>
              <w:rPr/>
              <w:t>130,353</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359" w:type="dxa"/>
            <w:tcBorders>
              <w:bottom w:val="double" w:sz="10" w:space="0" w:color="000000"/>
            </w:tcBorders>
            <w:tcMar>
              <w:bottom w:w="28" w:type="dxa"/>
            </w:tcMar>
            <w:vAlign w:val="center"/>
          </w:tcPr>
          <w:p>
            <w:pPr>
              <w:pStyle w:val="TableContents"/>
              <w:bidi w:val="0"/>
              <w:spacing w:before="0" w:after="283"/>
              <w:jc w:val="left"/>
              <w:rPr/>
            </w:pPr>
            <w:r>
              <w:rPr/>
              <w:t>$</w:t>
            </w:r>
          </w:p>
        </w:tc>
        <w:tc>
          <w:tcPr>
            <w:tcW w:w="1026" w:type="dxa"/>
            <w:tcBorders>
              <w:bottom w:val="double" w:sz="10" w:space="0" w:color="000000"/>
            </w:tcBorders>
            <w:tcMar>
              <w:bottom w:w="28" w:type="dxa"/>
            </w:tcMar>
            <w:vAlign w:val="center"/>
          </w:tcPr>
          <w:p>
            <w:pPr>
              <w:pStyle w:val="TableContents"/>
              <w:bidi w:val="0"/>
              <w:spacing w:before="0" w:after="283"/>
              <w:jc w:val="right"/>
              <w:rPr/>
            </w:pPr>
            <w:r>
              <w:rPr/>
              <w:t>(111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54" w:type="dxa"/>
            <w:tcBorders>
              <w:bottom w:val="double" w:sz="10" w:space="0" w:color="000000"/>
            </w:tcBorders>
            <w:tcMar>
              <w:bottom w:w="28" w:type="dxa"/>
            </w:tcMar>
            <w:vAlign w:val="center"/>
          </w:tcPr>
          <w:p>
            <w:pPr>
              <w:pStyle w:val="TableContents"/>
              <w:bidi w:val="0"/>
              <w:spacing w:before="0" w:after="283"/>
              <w:jc w:val="left"/>
              <w:rPr/>
            </w:pPr>
            <w:r>
              <w:rPr/>
              <w:t>$</w:t>
            </w:r>
          </w:p>
        </w:tc>
        <w:tc>
          <w:tcPr>
            <w:tcW w:w="450" w:type="dxa"/>
            <w:tcBorders>
              <w:bottom w:val="double" w:sz="10" w:space="0" w:color="000000"/>
            </w:tcBorders>
            <w:tcMar>
              <w:bottom w:w="28" w:type="dxa"/>
            </w:tcMar>
            <w:vAlign w:val="center"/>
          </w:tcPr>
          <w:p>
            <w:pPr>
              <w:pStyle w:val="TableContents"/>
              <w:bidi w:val="0"/>
              <w:spacing w:before="0" w:after="0"/>
              <w:jc w:val="right"/>
              <w:rPr/>
            </w:pPr>
            <w:r>
              <w:rPr/>
              <w:t>—</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511" w:type="dxa"/>
            <w:tcBorders>
              <w:bottom w:val="double" w:sz="10" w:space="0" w:color="000000"/>
            </w:tcBorders>
            <w:tcMar>
              <w:bottom w:w="28" w:type="dxa"/>
            </w:tcMar>
            <w:vAlign w:val="center"/>
          </w:tcPr>
          <w:p>
            <w:pPr>
              <w:pStyle w:val="TableContents"/>
              <w:bidi w:val="0"/>
              <w:spacing w:before="0" w:after="283"/>
              <w:jc w:val="left"/>
              <w:rPr/>
            </w:pPr>
            <w:r>
              <w:rPr/>
              <w:t>$</w:t>
            </w:r>
          </w:p>
        </w:tc>
        <w:tc>
          <w:tcPr>
            <w:tcW w:w="874" w:type="dxa"/>
            <w:tcBorders>
              <w:bottom w:val="double" w:sz="10"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bottom w:val="double" w:sz="10" w:space="0" w:color="000000"/>
            </w:tcBorders>
            <w:tcMar>
              <w:bottom w:w="28" w:type="dxa"/>
            </w:tcMar>
            <w:vAlign w:val="center"/>
          </w:tcPr>
          <w:p>
            <w:pPr>
              <w:pStyle w:val="TableContents"/>
              <w:bidi w:val="0"/>
              <w:spacing w:before="0" w:after="283"/>
              <w:jc w:val="left"/>
              <w:rPr/>
            </w:pPr>
            <w:r>
              <w:rPr/>
              <w:t>$</w:t>
            </w:r>
          </w:p>
        </w:tc>
        <w:tc>
          <w:tcPr>
            <w:tcW w:w="867" w:type="dxa"/>
            <w:tcBorders>
              <w:bottom w:val="double" w:sz="10" w:space="0" w:color="000000"/>
            </w:tcBorders>
            <w:tcMar>
              <w:bottom w:w="28" w:type="dxa"/>
            </w:tcMar>
            <w:vAlign w:val="center"/>
          </w:tcPr>
          <w:p>
            <w:pPr>
              <w:pStyle w:val="TableContents"/>
              <w:bidi w:val="0"/>
              <w:spacing w:before="0" w:after="283"/>
              <w:jc w:val="right"/>
              <w:rPr/>
            </w:pPr>
            <w:r>
              <w:rPr/>
              <w:t>130,353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9" w:type="dxa"/>
            <w:tcBorders>
              <w:bottom w:val="double" w:sz="10" w:space="0" w:color="000000"/>
            </w:tcBorders>
            <w:tcMar>
              <w:bottom w:w="28" w:type="dxa"/>
            </w:tcMar>
            <w:vAlign w:val="center"/>
          </w:tcPr>
          <w:p>
            <w:pPr>
              <w:pStyle w:val="TableContents"/>
              <w:bidi w:val="0"/>
              <w:spacing w:before="0" w:after="283"/>
              <w:jc w:val="left"/>
              <w:rPr/>
            </w:pPr>
            <w:r>
              <w:rPr/>
              <w:t>$</w:t>
            </w:r>
          </w:p>
        </w:tc>
        <w:tc>
          <w:tcPr>
            <w:tcW w:w="1026" w:type="dxa"/>
            <w:tcBorders>
              <w:bottom w:val="double" w:sz="10" w:space="0" w:color="000000"/>
            </w:tcBorders>
            <w:tcMar>
              <w:bottom w:w="28" w:type="dxa"/>
            </w:tcMar>
            <w:vAlign w:val="center"/>
          </w:tcPr>
          <w:p>
            <w:pPr>
              <w:pStyle w:val="TableContents"/>
              <w:bidi w:val="0"/>
              <w:spacing w:before="0" w:after="283"/>
              <w:jc w:val="right"/>
              <w:rPr/>
            </w:pPr>
            <w:r>
              <w:rPr/>
              <w:t>(111</w:t>
            </w:r>
          </w:p>
        </w:tc>
        <w:tc>
          <w:tcPr>
            <w:tcW w:w="179"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its securities for credit losses and considered the decline in market value to be primarily attributable to current economic and market conditions and not to a credit loss or other factors. Additionally, the Company does not intend to sell the securities in an unrealized loss position and it is not more likely than not that the Company will be required to sell the securities before recovery of the unamortized cost basis, which may be at maturity. There were no material realized gains or realized losses on marketable securities for the periods presented. Given the Company’s intent and ability to hold such securities until recovery, and the lack of significant change in credit risk of these investments, the Company does not consider these marketable securities to be impaired as of March 31, 2025 and December 31, 2024. As of March 31, 2025 and December 31, 2024, the Company did not record an allowance for credit losses.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contractual maturities of the Company’s marketable securities at estimated fair value (in thousands):</w:t>
      </w:r>
    </w:p>
    <w:p>
      <w:pPr>
        <w:pStyle w:val="TextBody"/>
        <w:bidi w:val="0"/>
        <w:spacing w:before="0" w:after="0"/>
        <w:ind w:left="0" w:right="0" w:hanging="0"/>
        <w:jc w:val="both"/>
        <w:rPr>
          <w:caps w:val="false"/>
          <w:smallCaps w:val="false"/>
        </w:rPr>
      </w:pPr>
      <w:r>
        <w:rPr>
          <w:caps w:val="false"/>
          <w:smallCaps w:val="false"/>
        </w:rPr>
        <w:t> </w:t>
      </w:r>
    </w:p>
    <w:tbl>
      <w:tblPr>
        <w:tblW w:w="5308" w:type="dxa"/>
        <w:jc w:val="left"/>
        <w:tblInd w:w="0" w:type="dxa"/>
        <w:tblLayout w:type="fixed"/>
        <w:tblCellMar>
          <w:top w:w="0" w:type="dxa"/>
          <w:left w:w="0" w:type="dxa"/>
          <w:bottom w:w="0" w:type="dxa"/>
          <w:right w:w="0" w:type="dxa"/>
        </w:tblCellMar>
      </w:tblPr>
      <w:tblGrid>
        <w:gridCol w:w="2240"/>
        <w:gridCol w:w="90"/>
        <w:gridCol w:w="197"/>
        <w:gridCol w:w="962"/>
        <w:gridCol w:w="90"/>
        <w:gridCol w:w="90"/>
        <w:gridCol w:w="255"/>
        <w:gridCol w:w="1249"/>
        <w:gridCol w:w="135"/>
      </w:tblGrid>
      <w:tr>
        <w:trPr/>
        <w:tc>
          <w:tcPr>
            <w:tcW w:w="22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March 31, </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35" w:type="dxa"/>
            <w:tcBorders/>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283"/>
              <w:jc w:val="left"/>
              <w:rPr/>
            </w:pPr>
            <w:r>
              <w:rPr/>
              <w:t>Due in one year or less</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265,522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314,073</w:t>
            </w:r>
          </w:p>
        </w:tc>
        <w:tc>
          <w:tcPr>
            <w:tcW w:w="135" w:type="dxa"/>
            <w:tcBorders/>
            <w:shd w:fill="CCEEFF" w:val="clear"/>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Due in 1-2 years</w:t>
            </w:r>
          </w:p>
        </w:tc>
        <w:tc>
          <w:tcPr>
            <w:tcW w:w="90" w:type="dxa"/>
            <w:tcBorders/>
            <w:vAlign w:val="center"/>
          </w:tcPr>
          <w:p>
            <w:pPr>
              <w:pStyle w:val="TableContents"/>
              <w:bidi w:val="0"/>
              <w:spacing w:before="0" w:after="283"/>
              <w:jc w:val="left"/>
              <w:rPr/>
            </w:pPr>
            <w:r>
              <w:rPr/>
              <w:t> </w:t>
            </w:r>
          </w:p>
        </w:tc>
        <w:tc>
          <w:tcPr>
            <w:tcW w:w="197" w:type="dxa"/>
            <w:tcBorders>
              <w:bottom w:val="single" w:sz="12" w:space="0" w:color="000000"/>
            </w:tcBorders>
            <w:tcMar>
              <w:bottom w:w="28" w:type="dxa"/>
            </w:tcMar>
            <w:vAlign w:val="center"/>
          </w:tcPr>
          <w:p>
            <w:pPr>
              <w:pStyle w:val="TableContents"/>
              <w:bidi w:val="0"/>
              <w:spacing w:before="0" w:after="283"/>
              <w:jc w:val="left"/>
              <w:rPr/>
            </w:pPr>
            <w:r>
              <w:rPr/>
              <w:t> </w:t>
            </w:r>
          </w:p>
        </w:tc>
        <w:tc>
          <w:tcPr>
            <w:tcW w:w="962" w:type="dxa"/>
            <w:tcBorders>
              <w:bottom w:val="single" w:sz="12" w:space="0" w:color="000000"/>
            </w:tcBorders>
            <w:tcMar>
              <w:bottom w:w="28" w:type="dxa"/>
            </w:tcMar>
            <w:vAlign w:val="center"/>
          </w:tcPr>
          <w:p>
            <w:pPr>
              <w:pStyle w:val="TableContents"/>
              <w:bidi w:val="0"/>
              <w:spacing w:before="0" w:after="283"/>
              <w:jc w:val="right"/>
              <w:rPr/>
            </w:pPr>
            <w:r>
              <w:rPr/>
              <w:t>23,953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tcMar>
              <w:bottom w:w="28" w:type="dxa"/>
            </w:tcMar>
            <w:vAlign w:val="center"/>
          </w:tcPr>
          <w:p>
            <w:pPr>
              <w:pStyle w:val="TableContents"/>
              <w:bidi w:val="0"/>
              <w:spacing w:before="0" w:after="283"/>
              <w:jc w:val="right"/>
              <w:rPr/>
            </w:pPr>
            <w:r>
              <w:rPr/>
              <w:t>18,069</w:t>
            </w:r>
          </w:p>
        </w:tc>
        <w:tc>
          <w:tcPr>
            <w:tcW w:w="135" w:type="dxa"/>
            <w:tcBorders/>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19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62" w:type="dxa"/>
            <w:tcBorders>
              <w:bottom w:val="double" w:sz="10" w:space="0" w:color="000000"/>
            </w:tcBorders>
            <w:shd w:fill="CCEEFF" w:val="clear"/>
            <w:tcMar>
              <w:bottom w:w="28" w:type="dxa"/>
            </w:tcMar>
            <w:vAlign w:val="center"/>
          </w:tcPr>
          <w:p>
            <w:pPr>
              <w:pStyle w:val="TableContents"/>
              <w:bidi w:val="0"/>
              <w:spacing w:before="0" w:after="283"/>
              <w:jc w:val="right"/>
              <w:rPr/>
            </w:pPr>
            <w:r>
              <w:rPr/>
              <w:t>289,475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shd w:fill="CCEEFF" w:val="clear"/>
            <w:tcMar>
              <w:bottom w:w="28" w:type="dxa"/>
            </w:tcMar>
            <w:vAlign w:val="center"/>
          </w:tcPr>
          <w:p>
            <w:pPr>
              <w:pStyle w:val="TableContents"/>
              <w:bidi w:val="0"/>
              <w:spacing w:before="0" w:after="283"/>
              <w:jc w:val="right"/>
              <w:rPr/>
            </w:pPr>
            <w:r>
              <w:rPr/>
              <w:t>332,142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Accrued Expenses and Other Current Liabilities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7483" w:type="dxa"/>
        <w:jc w:val="left"/>
        <w:tblInd w:w="0" w:type="dxa"/>
        <w:tblLayout w:type="fixed"/>
        <w:tblCellMar>
          <w:top w:w="0" w:type="dxa"/>
          <w:left w:w="0" w:type="dxa"/>
          <w:bottom w:w="0" w:type="dxa"/>
          <w:right w:w="0" w:type="dxa"/>
        </w:tblCellMar>
      </w:tblPr>
      <w:tblGrid>
        <w:gridCol w:w="4415"/>
        <w:gridCol w:w="90"/>
        <w:gridCol w:w="259"/>
        <w:gridCol w:w="900"/>
        <w:gridCol w:w="90"/>
        <w:gridCol w:w="90"/>
        <w:gridCol w:w="336"/>
        <w:gridCol w:w="1168"/>
        <w:gridCol w:w="135"/>
      </w:tblGrid>
      <w:tr>
        <w:trPr/>
        <w:tc>
          <w:tcPr>
            <w:tcW w:w="44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March 31, </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35"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Accrued employee compensation and benefits</w:t>
            </w:r>
          </w:p>
        </w:tc>
        <w:tc>
          <w:tcPr>
            <w:tcW w:w="9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w:t>
            </w:r>
          </w:p>
        </w:tc>
        <w:tc>
          <w:tcPr>
            <w:tcW w:w="900" w:type="dxa"/>
            <w:tcBorders/>
            <w:shd w:fill="CCEEFF" w:val="clear"/>
            <w:vAlign w:val="center"/>
          </w:tcPr>
          <w:p>
            <w:pPr>
              <w:pStyle w:val="TableContents"/>
              <w:bidi w:val="0"/>
              <w:spacing w:before="0" w:after="283"/>
              <w:jc w:val="right"/>
              <w:rPr/>
            </w:pPr>
            <w:r>
              <w:rPr/>
              <w:t>818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2,041</w:t>
            </w:r>
          </w:p>
        </w:tc>
        <w:tc>
          <w:tcPr>
            <w:tcW w:w="135"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Accrued professional and consulting</w:t>
            </w:r>
          </w:p>
        </w:tc>
        <w:tc>
          <w:tcPr>
            <w:tcW w:w="9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487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221</w:t>
            </w:r>
          </w:p>
        </w:tc>
        <w:tc>
          <w:tcPr>
            <w:tcW w:w="135"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Accrued research and development</w:t>
            </w:r>
          </w:p>
        </w:tc>
        <w:tc>
          <w:tcPr>
            <w:tcW w:w="90" w:type="dxa"/>
            <w:tcBorders/>
            <w:shd w:fill="CCEEFF" w:val="clear"/>
            <w:vAlign w:val="center"/>
          </w:tcPr>
          <w:p>
            <w:pPr>
              <w:pStyle w:val="TableContents"/>
              <w:bidi w:val="0"/>
              <w:spacing w:before="0" w:after="283"/>
              <w:jc w:val="left"/>
              <w:rPr/>
            </w:pPr>
            <w:r>
              <w:rPr/>
              <w:t> </w:t>
            </w:r>
          </w:p>
        </w:tc>
        <w:tc>
          <w:tcPr>
            <w:tcW w:w="2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CCEEFF" w:val="clear"/>
            <w:tcMar>
              <w:bottom w:w="28" w:type="dxa"/>
            </w:tcMar>
            <w:vAlign w:val="center"/>
          </w:tcPr>
          <w:p>
            <w:pPr>
              <w:pStyle w:val="TableContents"/>
              <w:bidi w:val="0"/>
              <w:spacing w:before="0" w:after="283"/>
              <w:jc w:val="right"/>
              <w:rPr/>
            </w:pPr>
            <w:r>
              <w:rPr/>
              <w:t>4,358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shd w:fill="CCEEFF" w:val="clear"/>
            <w:tcMar>
              <w:bottom w:w="28" w:type="dxa"/>
            </w:tcMar>
            <w:vAlign w:val="center"/>
          </w:tcPr>
          <w:p>
            <w:pPr>
              <w:pStyle w:val="TableContents"/>
              <w:bidi w:val="0"/>
              <w:spacing w:before="0" w:after="283"/>
              <w:jc w:val="right"/>
              <w:rPr/>
            </w:pPr>
            <w:r>
              <w:rPr/>
              <w:t>1,084</w:t>
            </w:r>
          </w:p>
        </w:tc>
        <w:tc>
          <w:tcPr>
            <w:tcW w:w="135"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259" w:type="dxa"/>
            <w:tcBorders>
              <w:bottom w:val="double" w:sz="10" w:space="0" w:color="000000"/>
            </w:tcBorders>
            <w:tcMar>
              <w:bottom w:w="28" w:type="dxa"/>
            </w:tcMar>
            <w:vAlign w:val="center"/>
          </w:tcPr>
          <w:p>
            <w:pPr>
              <w:pStyle w:val="TableContents"/>
              <w:bidi w:val="0"/>
              <w:spacing w:before="0" w:after="283"/>
              <w:jc w:val="left"/>
              <w:rPr/>
            </w:pPr>
            <w:r>
              <w:rPr/>
              <w:t>$</w:t>
            </w:r>
          </w:p>
        </w:tc>
        <w:tc>
          <w:tcPr>
            <w:tcW w:w="900" w:type="dxa"/>
            <w:tcBorders>
              <w:bottom w:val="double" w:sz="10" w:space="0" w:color="000000"/>
            </w:tcBorders>
            <w:tcMar>
              <w:bottom w:w="28" w:type="dxa"/>
            </w:tcMar>
            <w:vAlign w:val="center"/>
          </w:tcPr>
          <w:p>
            <w:pPr>
              <w:pStyle w:val="TableContents"/>
              <w:bidi w:val="0"/>
              <w:spacing w:before="0" w:after="283"/>
              <w:jc w:val="right"/>
              <w:rPr/>
            </w:pPr>
            <w:r>
              <w:rPr/>
              <w:t>5,663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bottom w:val="double" w:sz="10" w:space="0" w:color="000000"/>
            </w:tcBorders>
            <w:tcMar>
              <w:bottom w:w="28" w:type="dxa"/>
            </w:tcMar>
            <w:vAlign w:val="center"/>
          </w:tcPr>
          <w:p>
            <w:pPr>
              <w:pStyle w:val="TableContents"/>
              <w:bidi w:val="0"/>
              <w:spacing w:before="0" w:after="283"/>
              <w:jc w:val="left"/>
              <w:rPr/>
            </w:pPr>
            <w:r>
              <w:rPr/>
              <w:t>$</w:t>
            </w:r>
          </w:p>
        </w:tc>
        <w:tc>
          <w:tcPr>
            <w:tcW w:w="1168" w:type="dxa"/>
            <w:tcBorders>
              <w:bottom w:val="double" w:sz="10" w:space="0" w:color="000000"/>
            </w:tcBorders>
            <w:tcMar>
              <w:bottom w:w="28" w:type="dxa"/>
            </w:tcMar>
            <w:vAlign w:val="center"/>
          </w:tcPr>
          <w:p>
            <w:pPr>
              <w:pStyle w:val="TableContents"/>
              <w:bidi w:val="0"/>
              <w:spacing w:before="0" w:after="283"/>
              <w:jc w:val="right"/>
              <w:rPr/>
            </w:pPr>
            <w:r>
              <w:rPr/>
              <w:t>3,346</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Note Payable with Related Party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Pre-Merger Oruka entered into a Series A Preferred Stock and Convertible Note Purchase Agreement (the “Purchase Agreement”) with Fairmount Healthcare Fund II, L.P. (“Fairmount”), whereby Pre-Merger Oruka issued a convertible note (the “Convertible Note”), with an initial principal amount of $25.0 million that, at the time of issuance, could be converted into Pre-Merger Oruka Series A Preferred Stock (or a series of preferred shares that is identical in respect to the shares of preferred shares issued in its next equity financing) or shares of Pre-Merger Oruka Common Stock in exchange for aggregate proceeds of $25.0 million. The Convertible Note accrued interest at a rate of 12.0% per annum. Immediately prior to the completion of the Merger (see Note 1), the Convertible Note was converted into shares of Pre-Merger Oruka Common Stock based on the aggregate principal amount of $25.0 million, plus unpaid accrued interest of $1.5 million divided by the conversion price which was determined based upon the Company’s fully-diluted capitalization immediately prior to the Merger. At the effective time of the Merger, the Pre-Merger Oruka Common Stock issued upon the conversion of the Convertible Note (including accrued interest) automatically converted into 2,722,207 shares of Company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assessed all terms and features of the Convertible Note in order to identify any potential embedded features that would require bifurcation. As part of this analysis, the Company assessed the economic characteristics and risks of the embedded features. The Company determined that the share settled redemption feature was clearly and closely related to the debt host and did not require separate accounting. The Company determined that the conversion options of the Convertible Note were not clearly and closely associated with a debt host. However, these features did not meet the definition of a derivative under ASC 815, Derivatives and Hedging, and as a result, did not require separate accounting as a derivative liability.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paid debt issuance costs of less than $0.1 million in relation to the Convertible Note. The debt issuance costs were reflected as a reduction of the carrying value of Convertible Note on the consolidated balance sheet and were being amortized as interest expense over the term of the Convertible Note using the effective interest method. For the three months ended March 31, 2025 and the period from February 6, 2024 (inception) to March 31, 2024, the Company recognized interest expenses related to the Convertible Note of nil and $0.2 million, respectively, which included non-cash interest expense related to the amortization of debt issuance of less than $0.1 million. As of December 31, 2024 and March 31, 2025, the Convertible Note is not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Convertible Preferred Stock and Stockholders’ Equity</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Pre-Funded Warrants</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2024, pursuant to the Subscription Agreement and immediately prior to the Closing, certain new and current investors purchased pre-funded warrants, which, at the effective time of the Merger, were exercisable for 5,522,207 shares of Company Common Stock at a purchase price of approximately $9.70 per warrant and after the Closing, are now exercisable for 5,522,207 shares of the Company Common Stock at an exercise price of $0.01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in connection with the PIPE Financing, the Company issued and sold 680,000 pre-funded warrants, at a purchase price of $22.999 per warrant, exercisable for 680,000 shares of Company Common Stock at an exercise price of $0.001 per share.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were recorded as a component of stockholders’ equity within additional paid-in-capital and have no expiration date. Collectively, 6,202,207 pre-funded warrants are outstanding as of March 31, 2025 and December 31, 2024.</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Warrants</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Agreement provided for, among other things, the issuance of warrants to certain of Pre-Merger Oruka’s employees and directors immediately prior to the closing of the Merger. During the period from February 6, 2024 (inception) to December 31, 2024, 3,054,358 employee warrants were issued at an exercise price of $7.80 per warrant. These warrants vest over a period of four years. The Company recognizes compensation cost related to warrants on a straight-line basis over the requisite service period, which is the period in which the related services are received. 3,054,358 warrants are outstanding as of March 31, 2025 and December 31, 2024.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Preferred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Pre-Merger Oruka issued and sold an aggregate of 20,000,000 shares of Pre-Merger Oruka Series A Preferred Stock to Fairmount (see Note 13), at a purchase price of approximately $0.15 per share, for aggregate gross proceeds of $3.0 million. Pre-Merger Oruka incurred less than $0.1 million of issuance costs in connection with this transaction. Upon the issuance of the Pre-Merger Oruka Series A Preferred Stock, the Company assessed the embedded conversion and liquidation features of the securities as described below and determined that such features did not require the Company to separately account for these features.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2024, upon Closing, the Pre-Merger Oruka Series A Preferred Stock converted to 137,138 shares of Company Series B Preferred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in connection with the PIPE Financing, the Company issued and sold an aggregate of 2,439 shares of the Company Series A Preferred Stock at a purchase price of $23,000.00 per share. In November 2024, the 2,439 shares of the Company Series A Preferred Stock were converted to 2,439,000 shares of Company Common Stock. As of December 31, 2024 and March 31, 2025, there are no outstanding shares of Company Series A Preferred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Company Series B Preferred Stock consisted of the following (in thousands, except share data):</w:t>
      </w:r>
    </w:p>
    <w:p>
      <w:pPr>
        <w:pStyle w:val="TextBody"/>
        <w:bidi w:val="0"/>
        <w:spacing w:before="0" w:after="0"/>
        <w:ind w:left="0" w:right="0" w:hanging="0"/>
        <w:jc w:val="left"/>
        <w:rPr>
          <w:caps w:val="false"/>
          <w:smallCaps w:val="false"/>
        </w:rPr>
      </w:pPr>
      <w:r>
        <w:rPr>
          <w:caps w:val="false"/>
          <w:smallCaps w:val="false"/>
        </w:rPr>
        <w:t> </w:t>
      </w:r>
    </w:p>
    <w:tbl>
      <w:tblPr>
        <w:tblW w:w="9233" w:type="dxa"/>
        <w:jc w:val="left"/>
        <w:tblInd w:w="0" w:type="dxa"/>
        <w:tblLayout w:type="fixed"/>
        <w:tblCellMar>
          <w:top w:w="0" w:type="dxa"/>
          <w:left w:w="0" w:type="dxa"/>
          <w:bottom w:w="0" w:type="dxa"/>
          <w:right w:w="0" w:type="dxa"/>
        </w:tblCellMar>
      </w:tblPr>
      <w:tblGrid>
        <w:gridCol w:w="3380"/>
        <w:gridCol w:w="90"/>
        <w:gridCol w:w="117"/>
        <w:gridCol w:w="1088"/>
        <w:gridCol w:w="90"/>
        <w:gridCol w:w="90"/>
        <w:gridCol w:w="135"/>
        <w:gridCol w:w="1249"/>
        <w:gridCol w:w="90"/>
        <w:gridCol w:w="90"/>
        <w:gridCol w:w="222"/>
        <w:gridCol w:w="773"/>
        <w:gridCol w:w="90"/>
        <w:gridCol w:w="90"/>
        <w:gridCol w:w="111"/>
        <w:gridCol w:w="1393"/>
        <w:gridCol w:w="135"/>
      </w:tblGrid>
      <w:tr>
        <w:trPr/>
        <w:tc>
          <w:tcPr>
            <w:tcW w:w="33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562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March 31, 2025</w:t>
            </w:r>
          </w:p>
        </w:tc>
        <w:tc>
          <w:tcPr>
            <w:tcW w:w="13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Preferred</w:t>
              <w:br/>
              <w:t>Stock</w:t>
              <w:br/>
              <w:t>Authorized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Preferred</w:t>
              <w:br/>
              <w:t xml:space="preserve">Stock Issued </w:t>
              <w:br/>
              <w:t>and</w:t>
              <w:br/>
              <w:t>Outstanding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Carrying</w:t>
              <w:br/>
              <w:t>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Common</w:t>
              <w:br/>
              <w:t>Stock Issuable</w:t>
              <w:br/>
              <w:t>Upon</w:t>
              <w:br/>
              <w:t>Conversion</w:t>
            </w:r>
          </w:p>
        </w:tc>
        <w:tc>
          <w:tcPr>
            <w:tcW w:w="13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Company Series B Preferred Stock</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pPr>
            <w:r>
              <w:rPr/>
              <w:t>251,504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137,138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773" w:type="dxa"/>
            <w:tcBorders/>
            <w:shd w:fill="CCEEFF" w:val="clear"/>
            <w:vAlign w:val="center"/>
          </w:tcPr>
          <w:p>
            <w:pPr>
              <w:pStyle w:val="TableContents"/>
              <w:bidi w:val="0"/>
              <w:spacing w:before="0" w:after="283"/>
              <w:jc w:val="right"/>
              <w:rPr/>
            </w:pPr>
            <w:r>
              <w:rPr/>
              <w:t>2,931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393" w:type="dxa"/>
            <w:tcBorders/>
            <w:shd w:fill="CCEEFF" w:val="clear"/>
            <w:vAlign w:val="center"/>
          </w:tcPr>
          <w:p>
            <w:pPr>
              <w:pStyle w:val="TableContents"/>
              <w:bidi w:val="0"/>
              <w:spacing w:before="0" w:after="283"/>
              <w:jc w:val="right"/>
              <w:rPr/>
            </w:pPr>
            <w:r>
              <w:rPr/>
              <w:t>11,428,149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Certificate of Designation of Preferences, Rights and Limitations of the Series B Non-Voting Convertible Preferred Stock (the “Series B Certificate of Designation”) filed in connection with the Merger, holders of Company Series B Preferred Stock are entitled to receive dividends on shares of Company Series B Preferred Stock equal to, on an as-if-converted-to-Company Common Stock basis, and in the same form as, dividends actually paid on shares of Company Common Stock. Except as provided in the Series B Certificate of Designation or as otherwise required by law, the Company Series B Preferred Stock does not have voting rights. The Company Series B Preferred Stock shall rank on parity with the Company Common Stock as to the distribution of assets upon any liquidation, dissolution, or winding-up of the Company. Each share of Company Series B Preferred Stock is convertible at the option of the holder, at any time, and without the payment of additional consideration by the holder. As of March 31, 2025, each outstanding share of Company Series B Preferred Stock was convertible into common stock at a ratio of approximately 83.3332:1.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Paruka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2024, the Company settled its 2024 obligations under the Paruka Warrant Obligation (defined below) by issuing Paruka Holding LLC (“Paruka”) a warrant to purchase 596,930 shares of Company Common Stock at an exercise price of $19.39 per share. The warrant has a term of 10 years, is fully vested, and is exercisable in part or full at any time during the term of the warrant. As of March 31, 2025, the warrant issued under the Paruka Warrant Obligation is outstanding and unexercised. See Note 8 for additional information on the Paruka Warrant Obligation.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the Certificate of Incorporation provides for 545,000,000 authorized shares of Company Common Stock. As of March 31, 2025, 37,440,510 shares of Company Common Stock were issued and outstanding, including 2,207,553 shares of restricted common stock awards (“RSAs”) issued and outstanding.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and December 31, 2024, the Company had common stock reserved for future issuance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79"/>
        <w:gridCol w:w="90"/>
        <w:gridCol w:w="90"/>
        <w:gridCol w:w="1130"/>
        <w:gridCol w:w="90"/>
        <w:gridCol w:w="90"/>
        <w:gridCol w:w="109"/>
        <w:gridCol w:w="1390"/>
        <w:gridCol w:w="137"/>
      </w:tblGrid>
      <w:tr>
        <w:trPr/>
        <w:tc>
          <w:tcPr>
            <w:tcW w:w="7079"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March 31, </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37" w:type="dxa"/>
            <w:tcBorders/>
            <w:vAlign w:val="center"/>
          </w:tcPr>
          <w:p>
            <w:pPr>
              <w:pStyle w:val="TableContents"/>
              <w:bidi w:val="0"/>
              <w:spacing w:before="0" w:after="283"/>
              <w:jc w:val="left"/>
              <w:rPr/>
            </w:pPr>
            <w:r>
              <w:rPr/>
              <w:t> </w:t>
            </w:r>
          </w:p>
        </w:tc>
      </w:tr>
      <w:tr>
        <w:trPr/>
        <w:tc>
          <w:tcPr>
            <w:tcW w:w="7079" w:type="dxa"/>
            <w:tcBorders/>
            <w:shd w:fill="CCEEFF" w:val="clear"/>
            <w:vAlign w:val="center"/>
          </w:tcPr>
          <w:p>
            <w:pPr>
              <w:pStyle w:val="TableContents"/>
              <w:bidi w:val="0"/>
              <w:spacing w:before="0" w:after="283"/>
              <w:jc w:val="left"/>
              <w:rPr/>
            </w:pPr>
            <w:r>
              <w:rPr/>
              <w:t>Shares issuable on conversion of Company Series B Preferred Stock</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11,428,149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11,428,149</w:t>
            </w:r>
          </w:p>
        </w:tc>
        <w:tc>
          <w:tcPr>
            <w:tcW w:w="137" w:type="dxa"/>
            <w:tcBorders/>
            <w:shd w:fill="CCEEFF" w:val="clear"/>
            <w:vAlign w:val="center"/>
          </w:tcPr>
          <w:p>
            <w:pPr>
              <w:pStyle w:val="TableContents"/>
              <w:bidi w:val="0"/>
              <w:spacing w:before="0" w:after="283"/>
              <w:jc w:val="left"/>
              <w:rPr/>
            </w:pPr>
            <w:r>
              <w:rPr/>
              <w:t> </w:t>
            </w:r>
          </w:p>
        </w:tc>
      </w:tr>
      <w:tr>
        <w:trPr/>
        <w:tc>
          <w:tcPr>
            <w:tcW w:w="7079" w:type="dxa"/>
            <w:tcBorders/>
            <w:vAlign w:val="center"/>
          </w:tcPr>
          <w:p>
            <w:pPr>
              <w:pStyle w:val="TableContents"/>
              <w:bidi w:val="0"/>
              <w:spacing w:before="0" w:after="283"/>
              <w:jc w:val="left"/>
              <w:rPr/>
            </w:pPr>
            <w:r>
              <w:rPr/>
              <w:t>Shares issuable upon exercise of pre-funded warrants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6,202,207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283"/>
              <w:jc w:val="right"/>
              <w:rPr/>
            </w:pPr>
            <w:r>
              <w:rPr/>
              <w:t>6,202,207</w:t>
            </w:r>
          </w:p>
        </w:tc>
        <w:tc>
          <w:tcPr>
            <w:tcW w:w="137" w:type="dxa"/>
            <w:tcBorders/>
            <w:vAlign w:val="center"/>
          </w:tcPr>
          <w:p>
            <w:pPr>
              <w:pStyle w:val="TableContents"/>
              <w:bidi w:val="0"/>
              <w:spacing w:before="0" w:after="283"/>
              <w:jc w:val="left"/>
              <w:rPr/>
            </w:pPr>
            <w:r>
              <w:rPr/>
              <w:t> </w:t>
            </w:r>
          </w:p>
        </w:tc>
      </w:tr>
      <w:tr>
        <w:trPr/>
        <w:tc>
          <w:tcPr>
            <w:tcW w:w="7079" w:type="dxa"/>
            <w:tcBorders/>
            <w:shd w:fill="CCEEFF" w:val="clear"/>
            <w:vAlign w:val="center"/>
          </w:tcPr>
          <w:p>
            <w:pPr>
              <w:pStyle w:val="TableContents"/>
              <w:bidi w:val="0"/>
              <w:spacing w:before="0" w:after="283"/>
              <w:jc w:val="left"/>
              <w:rPr/>
            </w:pPr>
            <w:r>
              <w:rPr/>
              <w:t>Shares issuable upon exercise of warrant under the Paruka Warrant Obligation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596,930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596,930</w:t>
            </w:r>
          </w:p>
        </w:tc>
        <w:tc>
          <w:tcPr>
            <w:tcW w:w="137" w:type="dxa"/>
            <w:tcBorders/>
            <w:shd w:fill="CCEEFF" w:val="clear"/>
            <w:vAlign w:val="center"/>
          </w:tcPr>
          <w:p>
            <w:pPr>
              <w:pStyle w:val="TableContents"/>
              <w:bidi w:val="0"/>
              <w:spacing w:before="0" w:after="283"/>
              <w:jc w:val="left"/>
              <w:rPr/>
            </w:pPr>
            <w:r>
              <w:rPr/>
              <w:t> </w:t>
            </w:r>
          </w:p>
        </w:tc>
      </w:tr>
      <w:tr>
        <w:trPr/>
        <w:tc>
          <w:tcPr>
            <w:tcW w:w="7079" w:type="dxa"/>
            <w:tcBorders/>
            <w:vAlign w:val="center"/>
          </w:tcPr>
          <w:p>
            <w:pPr>
              <w:pStyle w:val="TableContents"/>
              <w:bidi w:val="0"/>
              <w:spacing w:before="0" w:after="283"/>
              <w:jc w:val="left"/>
              <w:rPr/>
            </w:pPr>
            <w:r>
              <w:rPr/>
              <w:t>Outstanding and issued stock options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3,265,460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283"/>
              <w:jc w:val="right"/>
              <w:rPr/>
            </w:pPr>
            <w:r>
              <w:rPr/>
              <w:t>1,567,760</w:t>
            </w:r>
          </w:p>
        </w:tc>
        <w:tc>
          <w:tcPr>
            <w:tcW w:w="137" w:type="dxa"/>
            <w:tcBorders/>
            <w:vAlign w:val="center"/>
          </w:tcPr>
          <w:p>
            <w:pPr>
              <w:pStyle w:val="TableContents"/>
              <w:bidi w:val="0"/>
              <w:spacing w:before="0" w:after="283"/>
              <w:jc w:val="left"/>
              <w:rPr/>
            </w:pPr>
            <w:r>
              <w:rPr/>
              <w:t> </w:t>
            </w:r>
          </w:p>
        </w:tc>
      </w:tr>
      <w:tr>
        <w:trPr/>
        <w:tc>
          <w:tcPr>
            <w:tcW w:w="7079" w:type="dxa"/>
            <w:tcBorders/>
            <w:shd w:fill="CCEEFF" w:val="clear"/>
            <w:vAlign w:val="center"/>
          </w:tcPr>
          <w:p>
            <w:pPr>
              <w:pStyle w:val="TableContents"/>
              <w:bidi w:val="0"/>
              <w:spacing w:before="0" w:after="283"/>
              <w:jc w:val="left"/>
              <w:rPr/>
            </w:pPr>
            <w:r>
              <w:rPr/>
              <w:t>Outstanding and issued employee warrants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3,054,358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3,054,358</w:t>
            </w:r>
          </w:p>
        </w:tc>
        <w:tc>
          <w:tcPr>
            <w:tcW w:w="137" w:type="dxa"/>
            <w:tcBorders/>
            <w:shd w:fill="CCEEFF" w:val="clear"/>
            <w:vAlign w:val="center"/>
          </w:tcPr>
          <w:p>
            <w:pPr>
              <w:pStyle w:val="TableContents"/>
              <w:bidi w:val="0"/>
              <w:spacing w:before="0" w:after="283"/>
              <w:jc w:val="left"/>
              <w:rPr/>
            </w:pPr>
            <w:r>
              <w:rPr/>
              <w:t> </w:t>
            </w:r>
          </w:p>
        </w:tc>
      </w:tr>
      <w:tr>
        <w:trPr/>
        <w:tc>
          <w:tcPr>
            <w:tcW w:w="7079" w:type="dxa"/>
            <w:tcBorders/>
            <w:vAlign w:val="center"/>
          </w:tcPr>
          <w:p>
            <w:pPr>
              <w:pStyle w:val="TableContents"/>
              <w:bidi w:val="0"/>
              <w:spacing w:before="0" w:after="283"/>
              <w:jc w:val="left"/>
              <w:rPr/>
            </w:pPr>
            <w:r>
              <w:rPr/>
              <w:t>Shares available for grant under 2024 Stock Incentive Plan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5,302,167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283"/>
              <w:jc w:val="right"/>
              <w:rPr/>
            </w:pPr>
            <w:r>
              <w:rPr/>
              <w:t>4,246,324</w:t>
            </w:r>
          </w:p>
        </w:tc>
        <w:tc>
          <w:tcPr>
            <w:tcW w:w="137" w:type="dxa"/>
            <w:tcBorders/>
            <w:vAlign w:val="center"/>
          </w:tcPr>
          <w:p>
            <w:pPr>
              <w:pStyle w:val="TableContents"/>
              <w:bidi w:val="0"/>
              <w:spacing w:before="0" w:after="283"/>
              <w:jc w:val="left"/>
              <w:rPr/>
            </w:pPr>
            <w:r>
              <w:rPr/>
              <w:t> </w:t>
            </w:r>
          </w:p>
        </w:tc>
      </w:tr>
      <w:tr>
        <w:trPr/>
        <w:tc>
          <w:tcPr>
            <w:tcW w:w="7079" w:type="dxa"/>
            <w:tcBorders/>
            <w:shd w:fill="CCEEFF" w:val="clear"/>
            <w:vAlign w:val="center"/>
          </w:tcPr>
          <w:p>
            <w:pPr>
              <w:pStyle w:val="TableContents"/>
              <w:bidi w:val="0"/>
              <w:spacing w:before="0" w:after="283"/>
              <w:jc w:val="left"/>
              <w:rPr/>
            </w:pPr>
            <w:r>
              <w:rPr/>
              <w:t>Shares available for grant under 2024 Employee Stock Purchase Plan</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1,011,238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90" w:type="dxa"/>
            <w:tcBorders>
              <w:bottom w:val="single" w:sz="12" w:space="0" w:color="000000"/>
            </w:tcBorders>
            <w:shd w:fill="CCEEFF" w:val="clear"/>
            <w:tcMar>
              <w:bottom w:w="28" w:type="dxa"/>
            </w:tcMar>
            <w:vAlign w:val="center"/>
          </w:tcPr>
          <w:p>
            <w:pPr>
              <w:pStyle w:val="TableContents"/>
              <w:bidi w:val="0"/>
              <w:spacing w:before="0" w:after="283"/>
              <w:jc w:val="right"/>
              <w:rPr/>
            </w:pPr>
            <w:r>
              <w:rPr/>
              <w:t>460,529</w:t>
            </w:r>
          </w:p>
        </w:tc>
        <w:tc>
          <w:tcPr>
            <w:tcW w:w="137" w:type="dxa"/>
            <w:tcBorders/>
            <w:shd w:fill="CCEEFF" w:val="clear"/>
            <w:vAlign w:val="center"/>
          </w:tcPr>
          <w:p>
            <w:pPr>
              <w:pStyle w:val="TableContents"/>
              <w:bidi w:val="0"/>
              <w:spacing w:before="0" w:after="283"/>
              <w:jc w:val="left"/>
              <w:rPr/>
            </w:pPr>
            <w:r>
              <w:rPr/>
              <w:t> </w:t>
            </w:r>
          </w:p>
        </w:tc>
      </w:tr>
      <w:tr>
        <w:trPr/>
        <w:tc>
          <w:tcPr>
            <w:tcW w:w="7079" w:type="dxa"/>
            <w:tcBorders/>
            <w:vAlign w:val="center"/>
          </w:tcPr>
          <w:p>
            <w:pPr>
              <w:pStyle w:val="TableContents"/>
              <w:bidi w:val="0"/>
              <w:spacing w:before="0" w:after="283"/>
              <w:jc w:val="left"/>
              <w:rPr/>
            </w:pPr>
            <w:r>
              <w:rPr/>
              <w:t>Total shares of common stock reserved</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30,860,509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 w:type="dxa"/>
            <w:tcBorders>
              <w:bottom w:val="double" w:sz="10" w:space="0" w:color="000000"/>
            </w:tcBorders>
            <w:tcMar>
              <w:bottom w:w="28" w:type="dxa"/>
            </w:tcMar>
            <w:vAlign w:val="center"/>
          </w:tcPr>
          <w:p>
            <w:pPr>
              <w:pStyle w:val="TableContents"/>
              <w:bidi w:val="0"/>
              <w:spacing w:before="0" w:after="283"/>
              <w:jc w:val="left"/>
              <w:rPr/>
            </w:pPr>
            <w:r>
              <w:rPr/>
              <w:t> </w:t>
            </w:r>
          </w:p>
        </w:tc>
        <w:tc>
          <w:tcPr>
            <w:tcW w:w="1390" w:type="dxa"/>
            <w:tcBorders>
              <w:bottom w:val="double" w:sz="10" w:space="0" w:color="000000"/>
            </w:tcBorders>
            <w:tcMar>
              <w:bottom w:w="28" w:type="dxa"/>
            </w:tcMar>
            <w:vAlign w:val="center"/>
          </w:tcPr>
          <w:p>
            <w:pPr>
              <w:pStyle w:val="TableContents"/>
              <w:bidi w:val="0"/>
              <w:spacing w:before="0" w:after="283"/>
              <w:jc w:val="right"/>
              <w:rPr/>
            </w:pPr>
            <w:r>
              <w:rPr/>
              <w:t>27,556,257</w:t>
            </w:r>
          </w:p>
        </w:tc>
        <w:tc>
          <w:tcPr>
            <w:tcW w:w="13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2024 Equity Incentive Plan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2024 Equity Incentive Plan (“2024 Plan”) was adopted by the board of directors of Pre-Merger Oruka on February 6, 2024. The 2024 Plan provided for Pre-Merger Oruka to grant stock options, restricted stock awards, restricted stock units, and other stock-based awards to employees, officers, directors, consultants, and advisors. Equity incentive stock options granted under the 2024 Plan generally vest over four years, subject to the participant’s continued service, and expire after ten years, although two non-employee stock options were granted with vesting terms less than four years. As of March 31, 2025, 1,179,193 shares were subject to options outstanding under the 2024 Plan and will become available under the 2024 Stock Incentive Plan (defined below) to the extent the options are forfeited or lapse unexercised.</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2024 Stock Incentive Plan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22, 2024, the 2024 Stock Incentive Plan (“2024 Stock Plan”) was approved by the Company’s stockholders and on August 29, 2024, the board of directors of the Company (the “Board”) ratified the 2024 Stock Plan. The 2024 Stock Plan allows for the grant of stock options, stock appreciation rights, restricted stock awards, restricted stock units, other stockholder-based awards and incentive bonuses. An additional 2,753,543 shares became available for issuance under the 2024 Stock Plan on January 1, 2025 as a result of the annual increase pursuant to the evergreen provision.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7,388,434 shares were reserved for issuance under the 2024 Stock Plan, of which 5,302,167 shares were available for future grant and 2,086,267 shares were subject to outstanding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2024 Employee Stock Purchase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2024 Employee Stock Purchase Plan (the “ESPP”) became effective in August 2024. Eligible employees may purchase shares of Company Common Stock under the ESPP at 85% of the lower of the fair market value of the Company Common Stock as of the first or the last day of each offering period. Employees are limited to contributing 15% of the employee’s eligible compensation and may not purchase more than $25,000 of stock during any calendar year. The ESPP will terminate ten years from the first purchase date under the plan, unless terminated earlier by the board of directors. An additional 550,709 shares became available for issuance under the ESPP on January 1, 2025 as a result of the annual increase pursuant to the evergreen provision.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no shares during the three months ended March 31, 2025 out of the ESPP and as of March 31, 2025, there were 1,011,238 shares of Company Common Stock available in the pool for future issuances.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2025, stock-based compensation expense related to the ESPP was less than $0.1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 Valuation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weighted-average assumptions used in calculating the fair value of the awards for the three months ended March 31, 2025 and for the period from February 6, 2024 (inception) to March 31, 2024:</w:t>
      </w:r>
    </w:p>
    <w:p>
      <w:pPr>
        <w:pStyle w:val="TextBody"/>
        <w:bidi w:val="0"/>
        <w:spacing w:before="0" w:after="0"/>
        <w:ind w:left="0" w:right="0" w:hanging="0"/>
        <w:jc w:val="left"/>
        <w:rPr>
          <w:caps w:val="false"/>
          <w:smallCaps w:val="false"/>
        </w:rPr>
      </w:pPr>
      <w:r>
        <w:rPr>
          <w:caps w:val="false"/>
          <w:smallCaps w:val="false"/>
        </w:rPr>
        <w:t> </w:t>
      </w:r>
    </w:p>
    <w:tbl>
      <w:tblPr>
        <w:tblW w:w="6069" w:type="dxa"/>
        <w:jc w:val="left"/>
        <w:tblInd w:w="0" w:type="dxa"/>
        <w:tblLayout w:type="fixed"/>
        <w:tblCellMar>
          <w:top w:w="0" w:type="dxa"/>
          <w:left w:w="0" w:type="dxa"/>
          <w:bottom w:w="0" w:type="dxa"/>
          <w:right w:w="0" w:type="dxa"/>
        </w:tblCellMar>
      </w:tblPr>
      <w:tblGrid>
        <w:gridCol w:w="2375"/>
        <w:gridCol w:w="90"/>
        <w:gridCol w:w="241"/>
        <w:gridCol w:w="1264"/>
        <w:gridCol w:w="245"/>
        <w:gridCol w:w="90"/>
        <w:gridCol w:w="194"/>
        <w:gridCol w:w="1280"/>
        <w:gridCol w:w="290"/>
      </w:tblGrid>
      <w:tr>
        <w:trPr/>
        <w:tc>
          <w:tcPr>
            <w:tcW w:w="23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 Months</w:t>
              <w:br/>
              <w:t>Ended</w:t>
              <w:br/>
              <w:t>March 31,</w:t>
              <w:br/>
              <w:t>2025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Period from </w:t>
              <w:br/>
              <w:t>February 6,</w:t>
              <w:br/>
              <w:t xml:space="preserve">2024 </w:t>
              <w:br/>
              <w:t xml:space="preserve">(Inception) to </w:t>
              <w:br/>
              <w:t>March 31,</w:t>
              <w:br/>
              <w:t>2024</w:t>
            </w:r>
          </w:p>
        </w:tc>
        <w:tc>
          <w:tcPr>
            <w:tcW w:w="290"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pPr>
            <w:r>
              <w:rPr/>
              <w:t>Expected term (in years)</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6.0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6.0</w:t>
            </w:r>
          </w:p>
        </w:tc>
        <w:tc>
          <w:tcPr>
            <w:tcW w:w="290" w:type="dxa"/>
            <w:tcBorders/>
            <w:shd w:fill="CCEEFF" w:val="cle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Expected volatility</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96.0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103.0</w:t>
            </w:r>
          </w:p>
        </w:tc>
        <w:tc>
          <w:tcPr>
            <w:tcW w:w="290" w:type="dxa"/>
            <w:tcBorders/>
            <w:vAlign w:val="center"/>
          </w:tcPr>
          <w:p>
            <w:pPr>
              <w:pStyle w:val="TableContents"/>
              <w:bidi w:val="0"/>
              <w:spacing w:before="0" w:after="283"/>
              <w:jc w:val="left"/>
              <w:rPr/>
            </w:pPr>
            <w:r>
              <w:rPr/>
              <w:t>%</w:t>
            </w:r>
          </w:p>
        </w:tc>
      </w:tr>
      <w:tr>
        <w:trPr/>
        <w:tc>
          <w:tcPr>
            <w:tcW w:w="2375" w:type="dxa"/>
            <w:tcBorders/>
            <w:shd w:fill="CCEEFF" w:val="clear"/>
            <w:vAlign w:val="center"/>
          </w:tcPr>
          <w:p>
            <w:pPr>
              <w:pStyle w:val="TableContents"/>
              <w:bidi w:val="0"/>
              <w:spacing w:before="0" w:after="283"/>
              <w:jc w:val="left"/>
              <w:rPr/>
            </w:pPr>
            <w:r>
              <w:rPr/>
              <w:t>Risk-free interest rate</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4.5</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4.2</w:t>
            </w:r>
          </w:p>
        </w:tc>
        <w:tc>
          <w:tcPr>
            <w:tcW w:w="290" w:type="dxa"/>
            <w:tcBorders/>
            <w:shd w:fill="CCEEFF" w:val="clear"/>
            <w:vAlign w:val="center"/>
          </w:tcPr>
          <w:p>
            <w:pPr>
              <w:pStyle w:val="TableContents"/>
              <w:bidi w:val="0"/>
              <w:spacing w:before="0" w:after="283"/>
              <w:jc w:val="left"/>
              <w:rPr/>
            </w:pPr>
            <w:r>
              <w:rPr/>
              <w:t>%</w:t>
            </w:r>
          </w:p>
        </w:tc>
      </w:tr>
      <w:tr>
        <w:trPr/>
        <w:tc>
          <w:tcPr>
            <w:tcW w:w="2375" w:type="dxa"/>
            <w:tcBorders/>
            <w:vAlign w:val="center"/>
          </w:tcPr>
          <w:p>
            <w:pPr>
              <w:pStyle w:val="TableContents"/>
              <w:bidi w:val="0"/>
              <w:spacing w:before="0" w:after="283"/>
              <w:jc w:val="left"/>
              <w:rPr/>
            </w:pPr>
            <w:r>
              <w:rPr/>
              <w:t>Expected dividend yield</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0"/>
              <w:jc w:val="right"/>
              <w:rPr/>
            </w:pPr>
            <w:r>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0"/>
              <w:jc w:val="right"/>
              <w:rPr/>
            </w:pPr>
            <w:r>
              <w:rPr/>
              <w:t>—</w:t>
            </w:r>
          </w:p>
        </w:tc>
        <w:tc>
          <w:tcPr>
            <w:tcW w:w="2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stock option activities under the 2024 Plan and the 2024 Stock Plan for the three months ended March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37"/>
        <w:gridCol w:w="90"/>
        <w:gridCol w:w="120"/>
        <w:gridCol w:w="1362"/>
        <w:gridCol w:w="90"/>
        <w:gridCol w:w="90"/>
        <w:gridCol w:w="319"/>
        <w:gridCol w:w="1111"/>
        <w:gridCol w:w="90"/>
        <w:gridCol w:w="90"/>
        <w:gridCol w:w="270"/>
        <w:gridCol w:w="1055"/>
        <w:gridCol w:w="90"/>
        <w:gridCol w:w="90"/>
        <w:gridCol w:w="300"/>
        <w:gridCol w:w="1261"/>
        <w:gridCol w:w="140"/>
      </w:tblGrid>
      <w:tr>
        <w:trPr/>
        <w:tc>
          <w:tcPr>
            <w:tcW w:w="3637"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8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Number of </w:t>
              <w:br/>
              <w:t xml:space="preserve">Stock Options </w:t>
              <w:br/>
              <w:t>Outstanding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 xml:space="preserve"> Average </w:t>
              <w:br/>
              <w:t xml:space="preserve">Exercise Price </w:t>
              <w:br/>
              <w:t>Per Share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Weighted </w:t>
              <w:br/>
              <w:t xml:space="preserve">Average </w:t>
              <w:br/>
              <w:t xml:space="preserve">Remaining </w:t>
              <w:br/>
              <w:t xml:space="preserve">Contractual </w:t>
              <w:br/>
              <w:t>Term</w:t>
              <w:br/>
              <w:t>(in Years)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Aggregate </w:t>
              <w:br/>
              <w:t xml:space="preserve">Intrinsic </w:t>
              <w:br/>
              <w:t>Value</w:t>
              <w:br/>
              <w:t>(in Thousands)</w:t>
            </w:r>
          </w:p>
        </w:tc>
        <w:tc>
          <w:tcPr>
            <w:tcW w:w="140" w:type="dxa"/>
            <w:tcBorders/>
            <w:vAlign w:val="center"/>
          </w:tcPr>
          <w:p>
            <w:pPr>
              <w:pStyle w:val="TableContents"/>
              <w:bidi w:val="0"/>
              <w:spacing w:before="0" w:after="283"/>
              <w:jc w:val="left"/>
              <w:rPr/>
            </w:pPr>
            <w:r>
              <w:rPr/>
              <w:t> </w:t>
            </w:r>
          </w:p>
        </w:tc>
      </w:tr>
      <w:tr>
        <w:trPr/>
        <w:tc>
          <w:tcPr>
            <w:tcW w:w="3637" w:type="dxa"/>
            <w:tcBorders/>
            <w:shd w:fill="CCEEFF" w:val="clear"/>
            <w:vAlign w:val="center"/>
          </w:tcPr>
          <w:p>
            <w:pPr>
              <w:pStyle w:val="TableContents"/>
              <w:bidi w:val="0"/>
              <w:spacing w:before="0" w:after="283"/>
              <w:jc w:val="left"/>
              <w:rPr/>
            </w:pPr>
            <w:r>
              <w:rPr/>
              <w:t>Balance as of December 31, 2024</w:t>
            </w:r>
          </w:p>
        </w:tc>
        <w:tc>
          <w:tcPr>
            <w:tcW w:w="9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1,567,760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w:t>
            </w:r>
          </w:p>
        </w:tc>
        <w:tc>
          <w:tcPr>
            <w:tcW w:w="1111" w:type="dxa"/>
            <w:tcBorders/>
            <w:shd w:fill="CCEEFF" w:val="clear"/>
            <w:vAlign w:val="center"/>
          </w:tcPr>
          <w:p>
            <w:pPr>
              <w:pStyle w:val="TableContents"/>
              <w:bidi w:val="0"/>
              <w:spacing w:before="0" w:after="283"/>
              <w:jc w:val="right"/>
              <w:rPr/>
            </w:pPr>
            <w:r>
              <w:rPr/>
              <w:t>11.39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w:t>
            </w:r>
          </w:p>
        </w:tc>
        <w:tc>
          <w:tcPr>
            <w:tcW w:w="1261" w:type="dxa"/>
            <w:tcBorders/>
            <w:shd w:fill="CCEEFF" w:val="clear"/>
            <w:vAlign w:val="center"/>
          </w:tcPr>
          <w:p>
            <w:pPr>
              <w:pStyle w:val="TableContents"/>
              <w:bidi w:val="0"/>
              <w:spacing w:before="0" w:after="283"/>
              <w:jc w:val="right"/>
              <w:rPr/>
            </w:pPr>
            <w:r>
              <w:rPr/>
              <w:t>15,470</w:t>
            </w:r>
          </w:p>
        </w:tc>
        <w:tc>
          <w:tcPr>
            <w:tcW w:w="140" w:type="dxa"/>
            <w:tcBorders/>
            <w:shd w:fill="CCEEFF" w:val="clear"/>
            <w:vAlign w:val="center"/>
          </w:tcPr>
          <w:p>
            <w:pPr>
              <w:pStyle w:val="TableContents"/>
              <w:bidi w:val="0"/>
              <w:spacing w:before="0" w:after="283"/>
              <w:jc w:val="left"/>
              <w:rPr/>
            </w:pPr>
            <w:r>
              <w:rPr/>
              <w:t> </w:t>
            </w:r>
          </w:p>
        </w:tc>
      </w:tr>
      <w:tr>
        <w:trPr/>
        <w:tc>
          <w:tcPr>
            <w:tcW w:w="3637" w:type="dxa"/>
            <w:tcBorders/>
            <w:vAlign w:val="center"/>
          </w:tcPr>
          <w:p>
            <w:pPr>
              <w:pStyle w:val="TableContents"/>
              <w:bidi w:val="0"/>
              <w:spacing w:before="0" w:after="283"/>
              <w:jc w:val="left"/>
              <w:rPr/>
            </w:pPr>
            <w:r>
              <w:rPr/>
              <w:t>Granted</w:t>
            </w:r>
          </w:p>
        </w:tc>
        <w:tc>
          <w:tcPr>
            <w:tcW w:w="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2" w:type="dxa"/>
            <w:tcBorders/>
            <w:vAlign w:val="center"/>
          </w:tcPr>
          <w:p>
            <w:pPr>
              <w:pStyle w:val="TableContents"/>
              <w:bidi w:val="0"/>
              <w:spacing w:before="0" w:after="283"/>
              <w:jc w:val="right"/>
              <w:rPr/>
            </w:pPr>
            <w:r>
              <w:rPr/>
              <w:t>1,697,700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w:t>
            </w:r>
          </w:p>
        </w:tc>
        <w:tc>
          <w:tcPr>
            <w:tcW w:w="1111" w:type="dxa"/>
            <w:tcBorders/>
            <w:vAlign w:val="center"/>
          </w:tcPr>
          <w:p>
            <w:pPr>
              <w:pStyle w:val="TableContents"/>
              <w:bidi w:val="0"/>
              <w:spacing w:before="0" w:after="283"/>
              <w:jc w:val="right"/>
              <w:rPr/>
            </w:pPr>
            <w:r>
              <w:rPr/>
              <w:t>12.48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r>
      <w:tr>
        <w:trPr/>
        <w:tc>
          <w:tcPr>
            <w:tcW w:w="3637" w:type="dxa"/>
            <w:tcBorders/>
            <w:shd w:fill="CCEEFF" w:val="clear"/>
            <w:vAlign w:val="center"/>
          </w:tcPr>
          <w:p>
            <w:pPr>
              <w:pStyle w:val="TableContents"/>
              <w:bidi w:val="0"/>
              <w:spacing w:before="0" w:after="283"/>
              <w:jc w:val="left"/>
              <w:rPr/>
            </w:pPr>
            <w:r>
              <w:rPr/>
              <w:t>Exercised</w:t>
            </w:r>
          </w:p>
        </w:tc>
        <w:tc>
          <w:tcPr>
            <w:tcW w:w="9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w:t>
            </w:r>
          </w:p>
        </w:tc>
        <w:tc>
          <w:tcPr>
            <w:tcW w:w="1111"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r>
      <w:tr>
        <w:trPr/>
        <w:tc>
          <w:tcPr>
            <w:tcW w:w="3637" w:type="dxa"/>
            <w:tcBorders/>
            <w:vAlign w:val="center"/>
          </w:tcPr>
          <w:p>
            <w:pPr>
              <w:pStyle w:val="TableContents"/>
              <w:bidi w:val="0"/>
              <w:spacing w:before="0" w:after="283"/>
              <w:jc w:val="left"/>
              <w:rPr/>
            </w:pPr>
            <w:r>
              <w:rPr/>
              <w:t>Canceled/forfeited</w:t>
            </w:r>
          </w:p>
        </w:tc>
        <w:tc>
          <w:tcPr>
            <w:tcW w:w="90" w:type="dxa"/>
            <w:tcBorders/>
            <w:vAlign w:val="center"/>
          </w:tcPr>
          <w:p>
            <w:pPr>
              <w:pStyle w:val="TableContents"/>
              <w:bidi w:val="0"/>
              <w:spacing w:before="0" w:after="283"/>
              <w:jc w:val="left"/>
              <w:rPr/>
            </w:pPr>
            <w:r>
              <w:rPr/>
              <w:t> </w:t>
            </w:r>
          </w:p>
        </w:tc>
        <w:tc>
          <w:tcPr>
            <w:tcW w:w="1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62"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w:t>
            </w:r>
          </w:p>
        </w:tc>
        <w:tc>
          <w:tcPr>
            <w:tcW w:w="1111"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r>
      <w:tr>
        <w:trPr/>
        <w:tc>
          <w:tcPr>
            <w:tcW w:w="3637" w:type="dxa"/>
            <w:tcBorders/>
            <w:shd w:fill="CCEEFF" w:val="clear"/>
            <w:vAlign w:val="center"/>
          </w:tcPr>
          <w:p>
            <w:pPr>
              <w:pStyle w:val="TableContents"/>
              <w:bidi w:val="0"/>
              <w:spacing w:before="0" w:after="283"/>
              <w:jc w:val="left"/>
              <w:rPr/>
            </w:pPr>
            <w:r>
              <w:rPr/>
              <w:t>Balance as of March 31, 2025</w:t>
            </w:r>
          </w:p>
        </w:tc>
        <w:tc>
          <w:tcPr>
            <w:tcW w:w="90" w:type="dxa"/>
            <w:tcBorders/>
            <w:shd w:fill="CCEEFF" w:val="clear"/>
            <w:vAlign w:val="center"/>
          </w:tcPr>
          <w:p>
            <w:pPr>
              <w:pStyle w:val="TableContents"/>
              <w:bidi w:val="0"/>
              <w:spacing w:before="0" w:after="283"/>
              <w:jc w:val="left"/>
              <w:rPr/>
            </w:pPr>
            <w:r>
              <w:rPr/>
              <w:t> </w:t>
            </w:r>
          </w:p>
        </w:tc>
        <w:tc>
          <w:tcPr>
            <w:tcW w:w="12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62" w:type="dxa"/>
            <w:tcBorders>
              <w:bottom w:val="double" w:sz="10" w:space="0" w:color="000000"/>
            </w:tcBorders>
            <w:shd w:fill="CCEEFF" w:val="clear"/>
            <w:tcMar>
              <w:bottom w:w="28" w:type="dxa"/>
            </w:tcMar>
            <w:vAlign w:val="center"/>
          </w:tcPr>
          <w:p>
            <w:pPr>
              <w:pStyle w:val="TableContents"/>
              <w:bidi w:val="0"/>
              <w:spacing w:before="0" w:after="283"/>
              <w:jc w:val="right"/>
              <w:rPr/>
            </w:pPr>
            <w:r>
              <w:rPr/>
              <w:t>3,265,460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w:t>
            </w:r>
          </w:p>
        </w:tc>
        <w:tc>
          <w:tcPr>
            <w:tcW w:w="1111" w:type="dxa"/>
            <w:tcBorders/>
            <w:shd w:fill="CCEEFF" w:val="clear"/>
            <w:vAlign w:val="center"/>
          </w:tcPr>
          <w:p>
            <w:pPr>
              <w:pStyle w:val="TableContents"/>
              <w:bidi w:val="0"/>
              <w:spacing w:before="0" w:after="283"/>
              <w:jc w:val="right"/>
              <w:rPr/>
            </w:pPr>
            <w:r>
              <w:rPr/>
              <w:t>11.96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w:t>
            </w:r>
          </w:p>
        </w:tc>
        <w:tc>
          <w:tcPr>
            <w:tcW w:w="1261" w:type="dxa"/>
            <w:tcBorders/>
            <w:shd w:fill="CCEEFF" w:val="clear"/>
            <w:vAlign w:val="center"/>
          </w:tcPr>
          <w:p>
            <w:pPr>
              <w:pStyle w:val="TableContents"/>
              <w:bidi w:val="0"/>
              <w:spacing w:before="0" w:after="283"/>
              <w:jc w:val="right"/>
              <w:rPr/>
            </w:pPr>
            <w:r>
              <w:rPr/>
              <w:t>4,704</w:t>
            </w:r>
          </w:p>
        </w:tc>
        <w:tc>
          <w:tcPr>
            <w:tcW w:w="140" w:type="dxa"/>
            <w:tcBorders/>
            <w:shd w:fill="CCEEFF" w:val="clear"/>
            <w:vAlign w:val="center"/>
          </w:tcPr>
          <w:p>
            <w:pPr>
              <w:pStyle w:val="TableContents"/>
              <w:bidi w:val="0"/>
              <w:spacing w:before="0" w:after="283"/>
              <w:jc w:val="left"/>
              <w:rPr/>
            </w:pPr>
            <w:r>
              <w:rPr/>
              <w:t> </w:t>
            </w:r>
          </w:p>
        </w:tc>
      </w:tr>
      <w:tr>
        <w:trPr/>
        <w:tc>
          <w:tcPr>
            <w:tcW w:w="3637" w:type="dxa"/>
            <w:tcBorders/>
            <w:vAlign w:val="center"/>
          </w:tcPr>
          <w:p>
            <w:pPr>
              <w:pStyle w:val="TableContents"/>
              <w:bidi w:val="0"/>
              <w:spacing w:before="0" w:after="283"/>
              <w:jc w:val="left"/>
              <w:rPr/>
            </w:pPr>
            <w:r>
              <w:rPr/>
              <w:t>Vested and expected to vest, March 31, 2025</w:t>
            </w:r>
          </w:p>
        </w:tc>
        <w:tc>
          <w:tcPr>
            <w:tcW w:w="90" w:type="dxa"/>
            <w:tcBorders/>
            <w:vAlign w:val="center"/>
          </w:tcPr>
          <w:p>
            <w:pPr>
              <w:pStyle w:val="TableContents"/>
              <w:bidi w:val="0"/>
              <w:spacing w:before="0" w:after="283"/>
              <w:jc w:val="left"/>
              <w:rPr/>
            </w:pPr>
            <w:r>
              <w:rPr/>
              <w:t> </w:t>
            </w:r>
          </w:p>
        </w:tc>
        <w:tc>
          <w:tcPr>
            <w:tcW w:w="120" w:type="dxa"/>
            <w:tcBorders>
              <w:bottom w:val="double" w:sz="10" w:space="0" w:color="000000"/>
            </w:tcBorders>
            <w:tcMar>
              <w:bottom w:w="28" w:type="dxa"/>
            </w:tcMar>
            <w:vAlign w:val="center"/>
          </w:tcPr>
          <w:p>
            <w:pPr>
              <w:pStyle w:val="TableContents"/>
              <w:bidi w:val="0"/>
              <w:spacing w:before="0" w:after="283"/>
              <w:jc w:val="left"/>
              <w:rPr/>
            </w:pPr>
            <w:r>
              <w:rPr/>
              <w:t> </w:t>
            </w:r>
          </w:p>
        </w:tc>
        <w:tc>
          <w:tcPr>
            <w:tcW w:w="1362" w:type="dxa"/>
            <w:tcBorders>
              <w:bottom w:val="double" w:sz="10" w:space="0" w:color="000000"/>
            </w:tcBorders>
            <w:tcMar>
              <w:bottom w:w="28" w:type="dxa"/>
            </w:tcMar>
            <w:vAlign w:val="center"/>
          </w:tcPr>
          <w:p>
            <w:pPr>
              <w:pStyle w:val="TableContents"/>
              <w:bidi w:val="0"/>
              <w:spacing w:before="0" w:after="283"/>
              <w:jc w:val="right"/>
              <w:rPr/>
            </w:pPr>
            <w:r>
              <w:rPr/>
              <w:t>3,265,460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w:t>
            </w:r>
          </w:p>
        </w:tc>
        <w:tc>
          <w:tcPr>
            <w:tcW w:w="1111" w:type="dxa"/>
            <w:tcBorders/>
            <w:vAlign w:val="center"/>
          </w:tcPr>
          <w:p>
            <w:pPr>
              <w:pStyle w:val="TableContents"/>
              <w:bidi w:val="0"/>
              <w:spacing w:before="0" w:after="283"/>
              <w:jc w:val="right"/>
              <w:rPr/>
            </w:pPr>
            <w:r>
              <w:rPr/>
              <w:t>11.96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9.5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w:t>
            </w:r>
          </w:p>
        </w:tc>
        <w:tc>
          <w:tcPr>
            <w:tcW w:w="1261" w:type="dxa"/>
            <w:tcBorders/>
            <w:vAlign w:val="center"/>
          </w:tcPr>
          <w:p>
            <w:pPr>
              <w:pStyle w:val="TableContents"/>
              <w:bidi w:val="0"/>
              <w:spacing w:before="0" w:after="283"/>
              <w:jc w:val="right"/>
              <w:rPr/>
            </w:pPr>
            <w:r>
              <w:rPr/>
              <w:t>4,704</w:t>
            </w:r>
          </w:p>
        </w:tc>
        <w:tc>
          <w:tcPr>
            <w:tcW w:w="140" w:type="dxa"/>
            <w:tcBorders/>
            <w:vAlign w:val="center"/>
          </w:tcPr>
          <w:p>
            <w:pPr>
              <w:pStyle w:val="TableContents"/>
              <w:bidi w:val="0"/>
              <w:spacing w:before="0" w:after="283"/>
              <w:jc w:val="left"/>
              <w:rPr/>
            </w:pPr>
            <w:r>
              <w:rPr/>
              <w:t> </w:t>
            </w:r>
          </w:p>
        </w:tc>
      </w:tr>
      <w:tr>
        <w:trPr/>
        <w:tc>
          <w:tcPr>
            <w:tcW w:w="3637" w:type="dxa"/>
            <w:tcBorders/>
            <w:shd w:fill="CCEEFF" w:val="clear"/>
            <w:vAlign w:val="center"/>
          </w:tcPr>
          <w:p>
            <w:pPr>
              <w:pStyle w:val="TableContents"/>
              <w:bidi w:val="0"/>
              <w:spacing w:before="0" w:after="283"/>
              <w:jc w:val="left"/>
              <w:rPr/>
            </w:pPr>
            <w:r>
              <w:rPr/>
              <w:t>Exercisable, March 31, 2025</w:t>
            </w:r>
          </w:p>
        </w:tc>
        <w:tc>
          <w:tcPr>
            <w:tcW w:w="90" w:type="dxa"/>
            <w:tcBorders/>
            <w:shd w:fill="CCEEFF" w:val="clear"/>
            <w:vAlign w:val="center"/>
          </w:tcPr>
          <w:p>
            <w:pPr>
              <w:pStyle w:val="TableContents"/>
              <w:bidi w:val="0"/>
              <w:spacing w:before="0" w:after="283"/>
              <w:jc w:val="left"/>
              <w:rPr/>
            </w:pPr>
            <w:r>
              <w:rPr/>
              <w:t> </w:t>
            </w:r>
          </w:p>
        </w:tc>
        <w:tc>
          <w:tcPr>
            <w:tcW w:w="12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62" w:type="dxa"/>
            <w:tcBorders>
              <w:bottom w:val="double" w:sz="10" w:space="0" w:color="000000"/>
            </w:tcBorders>
            <w:shd w:fill="CCEEFF" w:val="clear"/>
            <w:tcMar>
              <w:bottom w:w="28" w:type="dxa"/>
            </w:tcMar>
            <w:vAlign w:val="center"/>
          </w:tcPr>
          <w:p>
            <w:pPr>
              <w:pStyle w:val="TableContents"/>
              <w:bidi w:val="0"/>
              <w:spacing w:before="0" w:after="283"/>
              <w:jc w:val="right"/>
              <w:rPr/>
            </w:pPr>
            <w:r>
              <w:rPr/>
              <w:t>161,539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w:t>
            </w:r>
          </w:p>
        </w:tc>
        <w:tc>
          <w:tcPr>
            <w:tcW w:w="1111" w:type="dxa"/>
            <w:tcBorders/>
            <w:shd w:fill="CCEEFF" w:val="clear"/>
            <w:vAlign w:val="center"/>
          </w:tcPr>
          <w:p>
            <w:pPr>
              <w:pStyle w:val="TableContents"/>
              <w:bidi w:val="0"/>
              <w:spacing w:before="0" w:after="283"/>
              <w:jc w:val="right"/>
              <w:rPr/>
            </w:pPr>
            <w:r>
              <w:rPr/>
              <w:t>7.77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w:t>
            </w:r>
          </w:p>
        </w:tc>
        <w:tc>
          <w:tcPr>
            <w:tcW w:w="1261" w:type="dxa"/>
            <w:tcBorders/>
            <w:shd w:fill="CCEEFF" w:val="clear"/>
            <w:vAlign w:val="center"/>
          </w:tcPr>
          <w:p>
            <w:pPr>
              <w:pStyle w:val="TableContents"/>
              <w:bidi w:val="0"/>
              <w:spacing w:before="0" w:after="283"/>
              <w:jc w:val="right"/>
              <w:rPr/>
            </w:pPr>
            <w:r>
              <w:rPr/>
              <w:t>521</w:t>
            </w:r>
          </w:p>
        </w:tc>
        <w:tc>
          <w:tcPr>
            <w:tcW w:w="14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grant-date fair value per share of stock options granted during the three months ended March 31, 2025 was $9.88 per share. Aggregate intrinsic value represents the difference between the estimated fair value of the underlying Company Common Stock and the exercise price of outstanding, in-the-money employee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Awards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2024 and March 2024, the Company issued 2,207,553 shares of RSAs to certain employees, directors, and consultants at a price of $0.0001 per share, the then par value of Pre-Merger Oruka Common Stock. Such RSAs have service-based vesting conditions only and vest over a four-year period, during which time all unvested shares are subject to forfeiture in the event the holder’s service with the Company voluntarily or involuntarily terminates. 576,571 RSAs vested during the three months ended March 31, 2025 and as of March 31, 2025, 1,630,982 of the RSAs remain unvested. For each of the three months ended March 31, 2025 and from February 6, 2024 (inception) to March 31, 2024, stock-based compensation expense related to RSAs was less than $0.1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RSA activity for the three months ended March 31, 2025:</w:t>
      </w:r>
    </w:p>
    <w:p>
      <w:pPr>
        <w:pStyle w:val="TextBody"/>
        <w:bidi w:val="0"/>
        <w:spacing w:before="0" w:after="0"/>
        <w:ind w:left="0" w:right="0" w:hanging="0"/>
        <w:jc w:val="left"/>
        <w:rPr>
          <w:caps w:val="false"/>
          <w:smallCaps w:val="false"/>
        </w:rPr>
      </w:pPr>
      <w:r>
        <w:rPr>
          <w:caps w:val="false"/>
          <w:smallCaps w:val="false"/>
        </w:rPr>
        <w:t> </w:t>
      </w:r>
    </w:p>
    <w:tbl>
      <w:tblPr>
        <w:tblW w:w="8433" w:type="dxa"/>
        <w:jc w:val="left"/>
        <w:tblInd w:w="0" w:type="dxa"/>
        <w:tblLayout w:type="fixed"/>
        <w:tblCellMar>
          <w:top w:w="0" w:type="dxa"/>
          <w:left w:w="0" w:type="dxa"/>
          <w:bottom w:w="0" w:type="dxa"/>
          <w:right w:w="0" w:type="dxa"/>
        </w:tblCellMar>
      </w:tblPr>
      <w:tblGrid>
        <w:gridCol w:w="4190"/>
        <w:gridCol w:w="90"/>
        <w:gridCol w:w="147"/>
        <w:gridCol w:w="1657"/>
        <w:gridCol w:w="125"/>
        <w:gridCol w:w="90"/>
        <w:gridCol w:w="737"/>
        <w:gridCol w:w="1262"/>
        <w:gridCol w:w="135"/>
      </w:tblGrid>
      <w:tr>
        <w:trPr/>
        <w:tc>
          <w:tcPr>
            <w:tcW w:w="41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8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RSAs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Weighted Average </w:t>
              <w:br/>
              <w:t xml:space="preserve">Grant Date Fair </w:t>
              <w:br/>
              <w:t>Value</w:t>
            </w:r>
          </w:p>
        </w:tc>
        <w:tc>
          <w:tcPr>
            <w:tcW w:w="135" w:type="dxa"/>
            <w:tcBorders/>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pPr>
            <w:r>
              <w:rPr/>
              <w:t>Unvested balance as of December 31, 2024</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657" w:type="dxa"/>
            <w:tcBorders/>
            <w:shd w:fill="CCEEFF" w:val="clear"/>
            <w:vAlign w:val="center"/>
          </w:tcPr>
          <w:p>
            <w:pPr>
              <w:pStyle w:val="TableContents"/>
              <w:bidi w:val="0"/>
              <w:spacing w:before="0" w:after="283"/>
              <w:jc w:val="right"/>
              <w:rPr/>
            </w:pPr>
            <w:r>
              <w:rPr/>
              <w:t>2,207,553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left"/>
              <w:rPr/>
            </w:pPr>
            <w:r>
              <w:rPr/>
              <w:t>$</w:t>
            </w:r>
          </w:p>
        </w:tc>
        <w:tc>
          <w:tcPr>
            <w:tcW w:w="1262"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left"/>
              <w:rPr/>
            </w:pPr>
            <w:r>
              <w:rPr/>
              <w:t>Granted</w:t>
            </w:r>
          </w:p>
        </w:tc>
        <w:tc>
          <w:tcPr>
            <w:tcW w:w="9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657"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pPr>
            <w:r>
              <w:rPr/>
              <w:t>Vested</w:t>
            </w:r>
          </w:p>
        </w:tc>
        <w:tc>
          <w:tcPr>
            <w:tcW w:w="9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57" w:type="dxa"/>
            <w:tcBorders>
              <w:bottom w:val="single" w:sz="12" w:space="0" w:color="000000"/>
            </w:tcBorders>
            <w:shd w:fill="CCEEFF" w:val="clear"/>
            <w:tcMar>
              <w:bottom w:w="28" w:type="dxa"/>
            </w:tcMar>
            <w:vAlign w:val="center"/>
          </w:tcPr>
          <w:p>
            <w:pPr>
              <w:pStyle w:val="TableContents"/>
              <w:bidi w:val="0"/>
              <w:spacing w:before="0" w:after="283"/>
              <w:jc w:val="right"/>
              <w:rPr/>
            </w:pPr>
            <w:r>
              <w:rPr/>
              <w:t>(576,571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left"/>
              <w:rPr/>
            </w:pPr>
            <w:r>
              <w:rPr/>
              <w:t>$</w:t>
            </w:r>
          </w:p>
        </w:tc>
        <w:tc>
          <w:tcPr>
            <w:tcW w:w="1262"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left"/>
              <w:rPr/>
            </w:pPr>
            <w:r>
              <w:rPr/>
              <w:t>Unvested balance as of March 31, 2025</w:t>
            </w:r>
          </w:p>
        </w:tc>
        <w:tc>
          <w:tcPr>
            <w:tcW w:w="90" w:type="dxa"/>
            <w:tcBorders/>
            <w:vAlign w:val="center"/>
          </w:tcPr>
          <w:p>
            <w:pPr>
              <w:pStyle w:val="TableContents"/>
              <w:bidi w:val="0"/>
              <w:spacing w:before="0" w:after="283"/>
              <w:jc w:val="left"/>
              <w:rPr/>
            </w:pPr>
            <w:r>
              <w:rPr/>
              <w:t> </w:t>
            </w:r>
          </w:p>
        </w:tc>
        <w:tc>
          <w:tcPr>
            <w:tcW w:w="147" w:type="dxa"/>
            <w:tcBorders>
              <w:bottom w:val="double" w:sz="10" w:space="0" w:color="000000"/>
            </w:tcBorders>
            <w:tcMar>
              <w:bottom w:w="28" w:type="dxa"/>
            </w:tcMar>
            <w:vAlign w:val="center"/>
          </w:tcPr>
          <w:p>
            <w:pPr>
              <w:pStyle w:val="TableContents"/>
              <w:bidi w:val="0"/>
              <w:spacing w:before="0" w:after="283"/>
              <w:jc w:val="left"/>
              <w:rPr/>
            </w:pPr>
            <w:r>
              <w:rPr/>
              <w:t> </w:t>
            </w:r>
          </w:p>
        </w:tc>
        <w:tc>
          <w:tcPr>
            <w:tcW w:w="1657" w:type="dxa"/>
            <w:tcBorders>
              <w:bottom w:val="double" w:sz="10" w:space="0" w:color="000000"/>
            </w:tcBorders>
            <w:tcMar>
              <w:bottom w:w="28" w:type="dxa"/>
            </w:tcMar>
            <w:vAlign w:val="center"/>
          </w:tcPr>
          <w:p>
            <w:pPr>
              <w:pStyle w:val="TableContents"/>
              <w:bidi w:val="0"/>
              <w:spacing w:before="0" w:after="283"/>
              <w:jc w:val="right"/>
              <w:rPr/>
            </w:pPr>
            <w:r>
              <w:rPr/>
              <w:t>1,630,982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Option Agreements and Paruka Warrant Obligation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Option Agreements, (defined in Note 10 below) on December 31, 2024 the Company granted, and on December 31, 2025, will grant, Paruka a warrant to purchase a number of shares equal to 1.00% of outstanding shares as of the date of the grant on a fully-diluted basis, with an exercise price equal to the fair market value of the underlying shares on the grant date (the “Paruka Warrant Obligation”).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 dates for the issuance of warrants were expected to be December 31, 2024 and December 31, 2025 as all terms of the award, including number of shares and exercise price, will be known by all parties. The Company determined that the 2024 and 2025 grants are two separate grants, as there would be no obligation for the 2025 grant had the Company exercised or terminated all of the options under the Option Agreements prior to December 31, 2024. The service inception period for the grant precedes the grant date, with the full award being vested as of the grant date with no post-grant date service requirement. Accordingly, the warrant expected to be granted to Paruka was accounted for as a liability on the balance sheet on the service inception date and, after the initial recognition, the liability is adjusted to fair value at the end of each reporting period, with changes in fair value recorded in the condensed consolidated statement of operations and comprehensive loss as stock-based compensation expenses under research and development expenses. For the period from February 6, 2024 (inception) to March 31, 2024, less than $0.1 million was recognized as stock-based compensation expenses related to the December 31, 2024 Paruka Warrant Obligation. On issuance of the warrant to Paruka on December 31, 2024, the fair value of the warrant issued on December 31, 2024 of $10.4 million was reclassified from liability to equity on the condensed consolidated balance sheet as of December 31,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the estimated fair value of the warrant to be granted on December 31, 2025 was $5.6 million. For the three months ended March 31, 2025 $1.4 million was recognized as stock-based compensation expenses related to the December 31, 2025 Paruka Warrant Obligation. As of March 31, 2025, there was $4.2 million in unamortized expense related to the December 31, 2025 Paruka Warrant Obligation.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Warrants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stated above, in July 2024, the Subscription Agreement was amended and restated, among other things, for employee warrants to be issued to certain Pre-Merger Oruka employees and directors prior to the Closing. During the period from February 6, 2024 (inception) to December 31, 2024, the Company issued 3,054,358 warrants at an exercise price of $7.80 per warrant, which are accounted as equity in the condensed consolidated financial statements. The employee warrants were subject to performance and service based vesting requirements and upon completion of the Merger the performance-based requirements had been achieved. During the three months ended March 31, 2025, no employee warrants were granted.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employee warrant activity during the three months ended March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80"/>
        <w:gridCol w:w="90"/>
        <w:gridCol w:w="107"/>
        <w:gridCol w:w="1203"/>
        <w:gridCol w:w="90"/>
        <w:gridCol w:w="90"/>
        <w:gridCol w:w="386"/>
        <w:gridCol w:w="1068"/>
        <w:gridCol w:w="90"/>
        <w:gridCol w:w="90"/>
        <w:gridCol w:w="270"/>
        <w:gridCol w:w="1057"/>
        <w:gridCol w:w="90"/>
        <w:gridCol w:w="90"/>
        <w:gridCol w:w="301"/>
        <w:gridCol w:w="1264"/>
        <w:gridCol w:w="139"/>
      </w:tblGrid>
      <w:tr>
        <w:trPr/>
        <w:tc>
          <w:tcPr>
            <w:tcW w:w="37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Number of </w:t>
              <w:br/>
              <w:t xml:space="preserve">Employee </w:t>
              <w:br/>
              <w:t xml:space="preserve">Warrants </w:t>
              <w:br/>
              <w:t>Outstanding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Weighted </w:t>
              <w:br/>
              <w:t xml:space="preserve">Average </w:t>
              <w:br/>
              <w:t xml:space="preserve">Exercise Price </w:t>
              <w:br/>
              <w:t>Per Share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Weighted </w:t>
              <w:br/>
              <w:t xml:space="preserve">Average </w:t>
              <w:br/>
              <w:t xml:space="preserve">Remaining </w:t>
              <w:br/>
              <w:t xml:space="preserve">Contractual </w:t>
              <w:br/>
              <w:t>Term</w:t>
              <w:br/>
              <w:t>(in Years)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Aggregate </w:t>
              <w:br/>
              <w:t xml:space="preserve">Intrinsic </w:t>
              <w:br/>
              <w:t>Value</w:t>
              <w:br/>
              <w:t>(in Thousands)</w:t>
            </w:r>
          </w:p>
        </w:tc>
        <w:tc>
          <w:tcPr>
            <w:tcW w:w="139" w:type="dxa"/>
            <w:tcBorders/>
            <w:vAlign w:val="center"/>
          </w:tcPr>
          <w:p>
            <w:pPr>
              <w:pStyle w:val="TableContents"/>
              <w:bidi w:val="0"/>
              <w:spacing w:before="0" w:after="283"/>
              <w:jc w:val="left"/>
              <w:rPr/>
            </w:pPr>
            <w:r>
              <w:rPr/>
              <w:t> </w:t>
            </w:r>
          </w:p>
        </w:tc>
      </w:tr>
      <w:tr>
        <w:trPr/>
        <w:tc>
          <w:tcPr>
            <w:tcW w:w="3780" w:type="dxa"/>
            <w:tcBorders/>
            <w:shd w:fill="CCEEFF" w:val="clear"/>
            <w:vAlign w:val="center"/>
          </w:tcPr>
          <w:p>
            <w:pPr>
              <w:pStyle w:val="TableContents"/>
              <w:bidi w:val="0"/>
              <w:spacing w:before="0" w:after="283"/>
              <w:jc w:val="left"/>
              <w:rPr/>
            </w:pPr>
            <w:r>
              <w:rPr/>
              <w:t>Balance as of December 31, 2024</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3,054,358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w:t>
            </w:r>
          </w:p>
        </w:tc>
        <w:tc>
          <w:tcPr>
            <w:tcW w:w="1068" w:type="dxa"/>
            <w:tcBorders/>
            <w:shd w:fill="CCEEFF" w:val="clear"/>
            <w:vAlign w:val="center"/>
          </w:tcPr>
          <w:p>
            <w:pPr>
              <w:pStyle w:val="TableContents"/>
              <w:bidi w:val="0"/>
              <w:spacing w:before="0" w:after="283"/>
              <w:jc w:val="right"/>
              <w:rPr/>
            </w:pPr>
            <w:r>
              <w:rPr/>
              <w:t>7.80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9.5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1264" w:type="dxa"/>
            <w:tcBorders/>
            <w:shd w:fill="CCEEFF" w:val="clear"/>
            <w:vAlign w:val="center"/>
          </w:tcPr>
          <w:p>
            <w:pPr>
              <w:pStyle w:val="TableContents"/>
              <w:bidi w:val="0"/>
              <w:spacing w:before="0" w:after="283"/>
              <w:jc w:val="right"/>
              <w:rPr/>
            </w:pPr>
            <w:r>
              <w:rPr/>
              <w:t>35,400</w:t>
            </w:r>
          </w:p>
        </w:tc>
        <w:tc>
          <w:tcPr>
            <w:tcW w:w="139" w:type="dxa"/>
            <w:tcBorders/>
            <w:shd w:fill="CCEEFF" w:val="clear"/>
            <w:vAlign w:val="center"/>
          </w:tcPr>
          <w:p>
            <w:pPr>
              <w:pStyle w:val="TableContents"/>
              <w:bidi w:val="0"/>
              <w:spacing w:before="0" w:after="283"/>
              <w:jc w:val="left"/>
              <w:rPr/>
            </w:pPr>
            <w:r>
              <w:rPr/>
              <w:t> </w:t>
            </w:r>
          </w:p>
        </w:tc>
      </w:tr>
      <w:tr>
        <w:trPr/>
        <w:tc>
          <w:tcPr>
            <w:tcW w:w="3780" w:type="dxa"/>
            <w:tcBorders/>
            <w:vAlign w:val="center"/>
          </w:tcPr>
          <w:p>
            <w:pPr>
              <w:pStyle w:val="TableContents"/>
              <w:bidi w:val="0"/>
              <w:spacing w:before="0" w:after="283"/>
              <w:jc w:val="left"/>
              <w:rPr/>
            </w:pPr>
            <w:r>
              <w:rPr/>
              <w:t>Granted</w:t>
            </w:r>
          </w:p>
        </w:tc>
        <w:tc>
          <w:tcPr>
            <w:tcW w:w="9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w:t>
            </w:r>
          </w:p>
        </w:tc>
        <w:tc>
          <w:tcPr>
            <w:tcW w:w="1068"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 </w:t>
            </w:r>
          </w:p>
        </w:tc>
        <w:tc>
          <w:tcPr>
            <w:tcW w:w="139" w:type="dxa"/>
            <w:tcBorders/>
            <w:vAlign w:val="center"/>
          </w:tcPr>
          <w:p>
            <w:pPr>
              <w:pStyle w:val="TableContents"/>
              <w:bidi w:val="0"/>
              <w:spacing w:before="0" w:after="283"/>
              <w:jc w:val="left"/>
              <w:rPr/>
            </w:pPr>
            <w:r>
              <w:rPr/>
              <w:t> </w:t>
            </w:r>
          </w:p>
        </w:tc>
      </w:tr>
      <w:tr>
        <w:trPr/>
        <w:tc>
          <w:tcPr>
            <w:tcW w:w="3780" w:type="dxa"/>
            <w:tcBorders/>
            <w:shd w:fill="CCEEFF" w:val="clear"/>
            <w:vAlign w:val="center"/>
          </w:tcPr>
          <w:p>
            <w:pPr>
              <w:pStyle w:val="TableContents"/>
              <w:bidi w:val="0"/>
              <w:spacing w:before="0" w:after="283"/>
              <w:jc w:val="left"/>
              <w:rPr/>
            </w:pPr>
            <w:r>
              <w:rPr/>
              <w:t>Exercised</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w:t>
            </w:r>
          </w:p>
        </w:tc>
        <w:tc>
          <w:tcPr>
            <w:tcW w:w="1068"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139" w:type="dxa"/>
            <w:tcBorders/>
            <w:shd w:fill="CCEEFF" w:val="clear"/>
            <w:vAlign w:val="center"/>
          </w:tcPr>
          <w:p>
            <w:pPr>
              <w:pStyle w:val="TableContents"/>
              <w:bidi w:val="0"/>
              <w:spacing w:before="0" w:after="283"/>
              <w:jc w:val="left"/>
              <w:rPr/>
            </w:pPr>
            <w:r>
              <w:rPr/>
              <w:t> </w:t>
            </w:r>
          </w:p>
        </w:tc>
      </w:tr>
      <w:tr>
        <w:trPr/>
        <w:tc>
          <w:tcPr>
            <w:tcW w:w="3780" w:type="dxa"/>
            <w:tcBorders/>
            <w:vAlign w:val="center"/>
          </w:tcPr>
          <w:p>
            <w:pPr>
              <w:pStyle w:val="TableContents"/>
              <w:bidi w:val="0"/>
              <w:spacing w:before="0" w:after="283"/>
              <w:jc w:val="left"/>
              <w:rPr/>
            </w:pPr>
            <w:r>
              <w:rPr/>
              <w:t>Canceled/forfeited</w:t>
            </w:r>
          </w:p>
        </w:tc>
        <w:tc>
          <w:tcPr>
            <w:tcW w:w="90" w:type="dxa"/>
            <w:tcBorders/>
            <w:vAlign w:val="center"/>
          </w:tcPr>
          <w:p>
            <w:pPr>
              <w:pStyle w:val="TableContents"/>
              <w:bidi w:val="0"/>
              <w:spacing w:before="0" w:after="283"/>
              <w:jc w:val="left"/>
              <w:rPr/>
            </w:pPr>
            <w:r>
              <w:rPr/>
              <w:t> </w:t>
            </w:r>
          </w:p>
        </w:tc>
        <w:tc>
          <w:tcPr>
            <w:tcW w:w="10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w:t>
            </w:r>
          </w:p>
        </w:tc>
        <w:tc>
          <w:tcPr>
            <w:tcW w:w="1068"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 </w:t>
            </w:r>
          </w:p>
        </w:tc>
        <w:tc>
          <w:tcPr>
            <w:tcW w:w="139" w:type="dxa"/>
            <w:tcBorders/>
            <w:vAlign w:val="center"/>
          </w:tcPr>
          <w:p>
            <w:pPr>
              <w:pStyle w:val="TableContents"/>
              <w:bidi w:val="0"/>
              <w:spacing w:before="0" w:after="283"/>
              <w:jc w:val="left"/>
              <w:rPr/>
            </w:pPr>
            <w:r>
              <w:rPr/>
              <w:t> </w:t>
            </w:r>
          </w:p>
        </w:tc>
      </w:tr>
      <w:tr>
        <w:trPr/>
        <w:tc>
          <w:tcPr>
            <w:tcW w:w="3780" w:type="dxa"/>
            <w:tcBorders/>
            <w:shd w:fill="CCEEFF" w:val="clear"/>
            <w:vAlign w:val="center"/>
          </w:tcPr>
          <w:p>
            <w:pPr>
              <w:pStyle w:val="TableContents"/>
              <w:bidi w:val="0"/>
              <w:spacing w:before="0" w:after="283"/>
              <w:jc w:val="left"/>
              <w:rPr/>
            </w:pPr>
            <w:r>
              <w:rPr/>
              <w:t>Balance as of March 31, 2025</w:t>
            </w:r>
          </w:p>
        </w:tc>
        <w:tc>
          <w:tcPr>
            <w:tcW w:w="90" w:type="dxa"/>
            <w:tcBorders/>
            <w:shd w:fill="CCEEFF" w:val="clear"/>
            <w:vAlign w:val="center"/>
          </w:tcPr>
          <w:p>
            <w:pPr>
              <w:pStyle w:val="TableContents"/>
              <w:bidi w:val="0"/>
              <w:spacing w:before="0" w:after="283"/>
              <w:jc w:val="left"/>
              <w:rPr/>
            </w:pPr>
            <w:r>
              <w:rPr/>
              <w:t> </w:t>
            </w:r>
          </w:p>
        </w:tc>
        <w:tc>
          <w:tcPr>
            <w:tcW w:w="10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double" w:sz="10" w:space="0" w:color="000000"/>
            </w:tcBorders>
            <w:shd w:fill="CCEEFF" w:val="clear"/>
            <w:tcMar>
              <w:bottom w:w="28" w:type="dxa"/>
            </w:tcMar>
            <w:vAlign w:val="center"/>
          </w:tcPr>
          <w:p>
            <w:pPr>
              <w:pStyle w:val="TableContents"/>
              <w:bidi w:val="0"/>
              <w:spacing w:before="0" w:after="283"/>
              <w:jc w:val="right"/>
              <w:rPr/>
            </w:pPr>
            <w:r>
              <w:rPr/>
              <w:t>3,054,358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w:t>
            </w:r>
          </w:p>
        </w:tc>
        <w:tc>
          <w:tcPr>
            <w:tcW w:w="1068" w:type="dxa"/>
            <w:tcBorders/>
            <w:shd w:fill="CCEEFF" w:val="clear"/>
            <w:vAlign w:val="center"/>
          </w:tcPr>
          <w:p>
            <w:pPr>
              <w:pStyle w:val="TableContents"/>
              <w:bidi w:val="0"/>
              <w:spacing w:before="0" w:after="283"/>
              <w:jc w:val="right"/>
              <w:rPr/>
            </w:pPr>
            <w:r>
              <w:rPr/>
              <w:t>7.80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1264" w:type="dxa"/>
            <w:tcBorders/>
            <w:shd w:fill="CCEEFF" w:val="clear"/>
            <w:vAlign w:val="center"/>
          </w:tcPr>
          <w:p>
            <w:pPr>
              <w:pStyle w:val="TableContents"/>
              <w:bidi w:val="0"/>
              <w:spacing w:before="0" w:after="283"/>
              <w:jc w:val="right"/>
              <w:rPr/>
            </w:pPr>
            <w:r>
              <w:rPr/>
              <w:t>7,514</w:t>
            </w:r>
          </w:p>
        </w:tc>
        <w:tc>
          <w:tcPr>
            <w:tcW w:w="139" w:type="dxa"/>
            <w:tcBorders/>
            <w:shd w:fill="CCEEFF" w:val="clear"/>
            <w:vAlign w:val="center"/>
          </w:tcPr>
          <w:p>
            <w:pPr>
              <w:pStyle w:val="TableContents"/>
              <w:bidi w:val="0"/>
              <w:spacing w:before="0" w:after="283"/>
              <w:jc w:val="left"/>
              <w:rPr/>
            </w:pPr>
            <w:r>
              <w:rPr/>
              <w:t> </w:t>
            </w:r>
          </w:p>
        </w:tc>
      </w:tr>
      <w:tr>
        <w:trPr/>
        <w:tc>
          <w:tcPr>
            <w:tcW w:w="3780" w:type="dxa"/>
            <w:tcBorders/>
            <w:vAlign w:val="center"/>
          </w:tcPr>
          <w:p>
            <w:pPr>
              <w:pStyle w:val="TableContents"/>
              <w:bidi w:val="0"/>
              <w:spacing w:before="0" w:after="283"/>
              <w:jc w:val="left"/>
              <w:rPr/>
            </w:pPr>
            <w:r>
              <w:rPr/>
              <w:t>Vested and expected to vest, March 31, 2025</w:t>
            </w:r>
          </w:p>
        </w:tc>
        <w:tc>
          <w:tcPr>
            <w:tcW w:w="90" w:type="dxa"/>
            <w:tcBorders/>
            <w:vAlign w:val="center"/>
          </w:tcPr>
          <w:p>
            <w:pPr>
              <w:pStyle w:val="TableContents"/>
              <w:bidi w:val="0"/>
              <w:spacing w:before="0" w:after="283"/>
              <w:jc w:val="left"/>
              <w:rPr/>
            </w:pPr>
            <w:r>
              <w:rPr/>
              <w:t> </w:t>
            </w:r>
          </w:p>
        </w:tc>
        <w:tc>
          <w:tcPr>
            <w:tcW w:w="107" w:type="dxa"/>
            <w:tcBorders>
              <w:bottom w:val="double" w:sz="10" w:space="0" w:color="000000"/>
            </w:tcBorders>
            <w:tcMar>
              <w:bottom w:w="28" w:type="dxa"/>
            </w:tcMar>
            <w:vAlign w:val="center"/>
          </w:tcPr>
          <w:p>
            <w:pPr>
              <w:pStyle w:val="TableContents"/>
              <w:bidi w:val="0"/>
              <w:spacing w:before="0" w:after="283"/>
              <w:jc w:val="left"/>
              <w:rPr/>
            </w:pPr>
            <w:r>
              <w:rPr/>
              <w:t> </w:t>
            </w:r>
          </w:p>
        </w:tc>
        <w:tc>
          <w:tcPr>
            <w:tcW w:w="1203" w:type="dxa"/>
            <w:tcBorders>
              <w:bottom w:val="double" w:sz="10" w:space="0" w:color="000000"/>
            </w:tcBorders>
            <w:tcMar>
              <w:bottom w:w="28" w:type="dxa"/>
            </w:tcMar>
            <w:vAlign w:val="center"/>
          </w:tcPr>
          <w:p>
            <w:pPr>
              <w:pStyle w:val="TableContents"/>
              <w:bidi w:val="0"/>
              <w:spacing w:before="0" w:after="283"/>
              <w:jc w:val="right"/>
              <w:rPr/>
            </w:pPr>
            <w:r>
              <w:rPr/>
              <w:t>3,054,358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w:t>
            </w:r>
          </w:p>
        </w:tc>
        <w:tc>
          <w:tcPr>
            <w:tcW w:w="1068" w:type="dxa"/>
            <w:tcBorders/>
            <w:vAlign w:val="center"/>
          </w:tcPr>
          <w:p>
            <w:pPr>
              <w:pStyle w:val="TableContents"/>
              <w:bidi w:val="0"/>
              <w:spacing w:before="0" w:after="283"/>
              <w:jc w:val="right"/>
              <w:rPr/>
            </w:pPr>
            <w:r>
              <w:rPr/>
              <w:t>7.80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right"/>
              <w:rPr/>
            </w:pPr>
            <w:r>
              <w:rPr/>
              <w:t>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w:t>
            </w:r>
          </w:p>
        </w:tc>
        <w:tc>
          <w:tcPr>
            <w:tcW w:w="1264" w:type="dxa"/>
            <w:tcBorders/>
            <w:vAlign w:val="center"/>
          </w:tcPr>
          <w:p>
            <w:pPr>
              <w:pStyle w:val="TableContents"/>
              <w:bidi w:val="0"/>
              <w:spacing w:before="0" w:after="283"/>
              <w:jc w:val="right"/>
              <w:rPr/>
            </w:pPr>
            <w:r>
              <w:rPr/>
              <w:t>7,514</w:t>
            </w:r>
          </w:p>
        </w:tc>
        <w:tc>
          <w:tcPr>
            <w:tcW w:w="139" w:type="dxa"/>
            <w:tcBorders/>
            <w:vAlign w:val="center"/>
          </w:tcPr>
          <w:p>
            <w:pPr>
              <w:pStyle w:val="TableContents"/>
              <w:bidi w:val="0"/>
              <w:spacing w:before="0" w:after="283"/>
              <w:jc w:val="left"/>
              <w:rPr/>
            </w:pPr>
            <w:r>
              <w:rPr/>
              <w:t> </w:t>
            </w:r>
          </w:p>
        </w:tc>
      </w:tr>
      <w:tr>
        <w:trPr/>
        <w:tc>
          <w:tcPr>
            <w:tcW w:w="3780" w:type="dxa"/>
            <w:tcBorders/>
            <w:shd w:fill="CCEEFF" w:val="clear"/>
            <w:vAlign w:val="center"/>
          </w:tcPr>
          <w:p>
            <w:pPr>
              <w:pStyle w:val="TableContents"/>
              <w:bidi w:val="0"/>
              <w:spacing w:before="0" w:after="283"/>
              <w:jc w:val="left"/>
              <w:rPr/>
            </w:pPr>
            <w:r>
              <w:rPr/>
              <w:t>Exercisable, March 31, 2025</w:t>
            </w:r>
          </w:p>
        </w:tc>
        <w:tc>
          <w:tcPr>
            <w:tcW w:w="90" w:type="dxa"/>
            <w:tcBorders/>
            <w:shd w:fill="CCEEFF" w:val="clear"/>
            <w:vAlign w:val="center"/>
          </w:tcPr>
          <w:p>
            <w:pPr>
              <w:pStyle w:val="TableContents"/>
              <w:bidi w:val="0"/>
              <w:spacing w:before="0" w:after="283"/>
              <w:jc w:val="left"/>
              <w:rPr/>
            </w:pPr>
            <w:r>
              <w:rPr/>
              <w:t> </w:t>
            </w:r>
          </w:p>
        </w:tc>
        <w:tc>
          <w:tcPr>
            <w:tcW w:w="10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w:t>
            </w:r>
          </w:p>
        </w:tc>
        <w:tc>
          <w:tcPr>
            <w:tcW w:w="1068"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1264" w:type="dxa"/>
            <w:tcBorders/>
            <w:shd w:fill="CCEEFF" w:val="clear"/>
            <w:vAlign w:val="center"/>
          </w:tcPr>
          <w:p>
            <w:pPr>
              <w:pStyle w:val="TableContents"/>
              <w:bidi w:val="0"/>
              <w:spacing w:before="0" w:after="0"/>
              <w:jc w:val="right"/>
              <w:rPr/>
            </w:pPr>
            <w:r>
              <w:rPr/>
              <w:t>—</w:t>
            </w:r>
          </w:p>
        </w:tc>
        <w:tc>
          <w:tcPr>
            <w:tcW w:w="13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 Expense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classification of the Company’s stock-based compensation expense in the condensed consolidated statements of operations and comprehensive loss (in thousands):</w:t>
      </w:r>
    </w:p>
    <w:p>
      <w:pPr>
        <w:pStyle w:val="TextBody"/>
        <w:bidi w:val="0"/>
        <w:spacing w:before="0" w:after="0"/>
        <w:ind w:left="0" w:right="0" w:hanging="0"/>
        <w:jc w:val="left"/>
        <w:rPr>
          <w:caps w:val="false"/>
          <w:smallCaps w:val="false"/>
        </w:rPr>
      </w:pPr>
      <w:r>
        <w:rPr>
          <w:caps w:val="false"/>
          <w:smallCaps w:val="false"/>
        </w:rPr>
        <w:t> </w:t>
      </w:r>
    </w:p>
    <w:tbl>
      <w:tblPr>
        <w:tblW w:w="6058" w:type="dxa"/>
        <w:jc w:val="left"/>
        <w:tblInd w:w="0" w:type="dxa"/>
        <w:tblLayout w:type="fixed"/>
        <w:tblCellMar>
          <w:top w:w="0" w:type="dxa"/>
          <w:left w:w="0" w:type="dxa"/>
          <w:bottom w:w="0" w:type="dxa"/>
          <w:right w:w="0" w:type="dxa"/>
        </w:tblCellMar>
      </w:tblPr>
      <w:tblGrid>
        <w:gridCol w:w="2615"/>
        <w:gridCol w:w="90"/>
        <w:gridCol w:w="349"/>
        <w:gridCol w:w="1215"/>
        <w:gridCol w:w="90"/>
        <w:gridCol w:w="90"/>
        <w:gridCol w:w="544"/>
        <w:gridCol w:w="930"/>
        <w:gridCol w:w="135"/>
      </w:tblGrid>
      <w:tr>
        <w:trPr/>
        <w:tc>
          <w:tcPr>
            <w:tcW w:w="26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w:t>
              <w:br/>
              <w:t>Ended</w:t>
              <w:br/>
              <w:t>March 31,</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Period from </w:t>
              <w:br/>
              <w:t>February 6,</w:t>
              <w:br/>
              <w:t xml:space="preserve">2024 </w:t>
              <w:br/>
              <w:t xml:space="preserve">(Inception) to </w:t>
              <w:br/>
              <w:t>March 31,</w:t>
              <w:br/>
              <w:t>2024</w:t>
            </w:r>
          </w:p>
        </w:tc>
        <w:tc>
          <w:tcPr>
            <w:tcW w:w="13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pPr>
            <w:r>
              <w:rPr/>
              <w:t>Research and development</w:t>
            </w:r>
          </w:p>
        </w:tc>
        <w:tc>
          <w:tcPr>
            <w:tcW w:w="9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w:t>
            </w:r>
          </w:p>
        </w:tc>
        <w:tc>
          <w:tcPr>
            <w:tcW w:w="1215" w:type="dxa"/>
            <w:tcBorders/>
            <w:shd w:fill="CCEEFF" w:val="clear"/>
            <w:vAlign w:val="center"/>
          </w:tcPr>
          <w:p>
            <w:pPr>
              <w:pStyle w:val="TableContents"/>
              <w:bidi w:val="0"/>
              <w:spacing w:before="0" w:after="283"/>
              <w:jc w:val="right"/>
              <w:rPr/>
            </w:pPr>
            <w:r>
              <w:rPr/>
              <w:t>3,003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left"/>
              <w:rPr/>
            </w:pPr>
            <w:r>
              <w:rPr/>
              <w:t>$</w:t>
            </w:r>
          </w:p>
        </w:tc>
        <w:tc>
          <w:tcPr>
            <w:tcW w:w="930" w:type="dxa"/>
            <w:tcBorders/>
            <w:shd w:fill="CCEEFF" w:val="clear"/>
            <w:vAlign w:val="center"/>
          </w:tcPr>
          <w:p>
            <w:pPr>
              <w:pStyle w:val="TableContents"/>
              <w:bidi w:val="0"/>
              <w:spacing w:before="0" w:after="283"/>
              <w:jc w:val="right"/>
              <w:rPr/>
            </w:pPr>
            <w:r>
              <w:rPr/>
              <w:t>70</w:t>
            </w:r>
          </w:p>
        </w:tc>
        <w:tc>
          <w:tcPr>
            <w:tcW w:w="135" w:type="dxa"/>
            <w:tcBorders/>
            <w:shd w:fill="CCEEFF" w:val="cle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General and administrative</w:t>
            </w:r>
          </w:p>
        </w:tc>
        <w:tc>
          <w:tcPr>
            <w:tcW w:w="90" w:type="dxa"/>
            <w:tcBorders/>
            <w:vAlign w:val="center"/>
          </w:tcPr>
          <w:p>
            <w:pPr>
              <w:pStyle w:val="TableContents"/>
              <w:bidi w:val="0"/>
              <w:spacing w:before="0" w:after="283"/>
              <w:jc w:val="left"/>
              <w:rPr/>
            </w:pPr>
            <w:r>
              <w:rPr/>
              <w:t> </w:t>
            </w:r>
          </w:p>
        </w:tc>
        <w:tc>
          <w:tcPr>
            <w:tcW w:w="34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tcMar>
              <w:bottom w:w="28" w:type="dxa"/>
            </w:tcMar>
            <w:vAlign w:val="center"/>
          </w:tcPr>
          <w:p>
            <w:pPr>
              <w:pStyle w:val="TableContents"/>
              <w:bidi w:val="0"/>
              <w:spacing w:before="0" w:after="283"/>
              <w:jc w:val="right"/>
              <w:rPr/>
            </w:pPr>
            <w:r>
              <w:rPr/>
              <w:t>1,880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4" w:type="dxa"/>
            <w:tcBorders>
              <w:bottom w:val="single" w:sz="12" w:space="0" w:color="000000"/>
            </w:tcBorders>
            <w:tcMar>
              <w:bottom w:w="28" w:type="dxa"/>
            </w:tcMar>
            <w:vAlign w:val="center"/>
          </w:tcPr>
          <w:p>
            <w:pPr>
              <w:pStyle w:val="TableContents"/>
              <w:bidi w:val="0"/>
              <w:spacing w:before="0" w:after="283"/>
              <w:jc w:val="left"/>
              <w:rPr/>
            </w:pPr>
            <w:r>
              <w:rPr/>
              <w:t> </w:t>
            </w:r>
          </w:p>
        </w:tc>
        <w:tc>
          <w:tcPr>
            <w:tcW w:w="930" w:type="dxa"/>
            <w:tcBorders>
              <w:bottom w:val="single" w:sz="12" w:space="0" w:color="000000"/>
            </w:tcBorders>
            <w:tcMar>
              <w:bottom w:w="28" w:type="dxa"/>
            </w:tcMar>
            <w:vAlign w:val="center"/>
          </w:tcPr>
          <w:p>
            <w:pPr>
              <w:pStyle w:val="TableContents"/>
              <w:bidi w:val="0"/>
              <w:spacing w:before="0" w:after="283"/>
              <w:jc w:val="right"/>
              <w:rPr/>
            </w:pPr>
            <w:r>
              <w:rPr/>
              <w:t>15</w:t>
            </w:r>
          </w:p>
        </w:tc>
        <w:tc>
          <w:tcPr>
            <w:tcW w:w="13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34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15" w:type="dxa"/>
            <w:tcBorders>
              <w:bottom w:val="double" w:sz="10" w:space="0" w:color="000000"/>
            </w:tcBorders>
            <w:shd w:fill="CCEEFF" w:val="clear"/>
            <w:tcMar>
              <w:bottom w:w="28" w:type="dxa"/>
            </w:tcMar>
            <w:vAlign w:val="center"/>
          </w:tcPr>
          <w:p>
            <w:pPr>
              <w:pStyle w:val="TableContents"/>
              <w:bidi w:val="0"/>
              <w:spacing w:before="0" w:after="283"/>
              <w:jc w:val="right"/>
              <w:rPr/>
            </w:pPr>
            <w:r>
              <w:rPr/>
              <w:t>4,883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30" w:type="dxa"/>
            <w:tcBorders>
              <w:bottom w:val="double" w:sz="10" w:space="0" w:color="000000"/>
            </w:tcBorders>
            <w:shd w:fill="CCEEFF" w:val="clear"/>
            <w:tcMar>
              <w:bottom w:w="28" w:type="dxa"/>
            </w:tcMar>
            <w:vAlign w:val="center"/>
          </w:tcPr>
          <w:p>
            <w:pPr>
              <w:pStyle w:val="TableContents"/>
              <w:bidi w:val="0"/>
              <w:spacing w:before="0" w:after="283"/>
              <w:jc w:val="right"/>
              <w:rPr/>
            </w:pPr>
            <w:r>
              <w:rPr/>
              <w:t>85</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total unrecognized compensation cost related to the unvested stock options was $27.6 million, which is expected to be recognized over a weighted average period of approximately 3.4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total unrecognized compensation cost related to the unvested RSAs was less than $0.1 million, which is expected to be recognized over a weighted average period of 2.9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the unrecognized compensation cost related to the employee warrants was $14.7 million, which is expected to be recognized over a weighted average period of 3.1 years.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award types of the Company’s stock-based compensation expense in the condensed consolidated statements of operations and comprehensive loss (in thousands): </w:t>
      </w:r>
    </w:p>
    <w:p>
      <w:pPr>
        <w:pStyle w:val="TextBody"/>
        <w:bidi w:val="0"/>
        <w:spacing w:before="0" w:after="0"/>
        <w:ind w:left="0" w:right="0" w:hanging="0"/>
        <w:jc w:val="left"/>
        <w:rPr>
          <w:caps w:val="false"/>
          <w:smallCaps w:val="false"/>
        </w:rPr>
      </w:pPr>
      <w:r>
        <w:rPr>
          <w:caps w:val="false"/>
          <w:smallCaps w:val="false"/>
        </w:rPr>
        <w:t> </w:t>
      </w:r>
    </w:p>
    <w:tbl>
      <w:tblPr>
        <w:tblW w:w="6329" w:type="dxa"/>
        <w:jc w:val="left"/>
        <w:tblInd w:w="0" w:type="dxa"/>
        <w:tblLayout w:type="fixed"/>
        <w:tblCellMar>
          <w:top w:w="0" w:type="dxa"/>
          <w:left w:w="0" w:type="dxa"/>
          <w:bottom w:w="0" w:type="dxa"/>
          <w:right w:w="0" w:type="dxa"/>
        </w:tblCellMar>
      </w:tblPr>
      <w:tblGrid>
        <w:gridCol w:w="2945"/>
        <w:gridCol w:w="90"/>
        <w:gridCol w:w="336"/>
        <w:gridCol w:w="1169"/>
        <w:gridCol w:w="90"/>
        <w:gridCol w:w="90"/>
        <w:gridCol w:w="544"/>
        <w:gridCol w:w="930"/>
        <w:gridCol w:w="135"/>
      </w:tblGrid>
      <w:tr>
        <w:trPr/>
        <w:tc>
          <w:tcPr>
            <w:tcW w:w="29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 Months</w:t>
              <w:br/>
              <w:t>Ended</w:t>
              <w:br/>
              <w:t>March 31,</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Period from </w:t>
              <w:br/>
              <w:t>February 6,</w:t>
              <w:br/>
              <w:t xml:space="preserve">2024 </w:t>
              <w:br/>
              <w:t xml:space="preserve">(Inception) to </w:t>
              <w:br/>
              <w:t>March 31,</w:t>
              <w:br/>
              <w:t>2024</w:t>
            </w:r>
          </w:p>
        </w:tc>
        <w:tc>
          <w:tcPr>
            <w:tcW w:w="13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Paruka Warrant Obligation</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p>
        </w:tc>
        <w:tc>
          <w:tcPr>
            <w:tcW w:w="1169" w:type="dxa"/>
            <w:tcBorders/>
            <w:shd w:fill="CCEEFF" w:val="clear"/>
            <w:vAlign w:val="center"/>
          </w:tcPr>
          <w:p>
            <w:pPr>
              <w:pStyle w:val="TableContents"/>
              <w:bidi w:val="0"/>
              <w:spacing w:before="0" w:after="283"/>
              <w:jc w:val="right"/>
              <w:rPr/>
            </w:pPr>
            <w:r>
              <w:rPr/>
              <w:t>1,415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left"/>
              <w:rPr/>
            </w:pPr>
            <w:r>
              <w:rPr/>
              <w:t>$</w:t>
            </w:r>
          </w:p>
        </w:tc>
        <w:tc>
          <w:tcPr>
            <w:tcW w:w="930" w:type="dxa"/>
            <w:tcBorders/>
            <w:shd w:fill="CCEEFF" w:val="clear"/>
            <w:vAlign w:val="center"/>
          </w:tcPr>
          <w:p>
            <w:pPr>
              <w:pStyle w:val="TableContents"/>
              <w:bidi w:val="0"/>
              <w:spacing w:before="0" w:after="283"/>
              <w:jc w:val="right"/>
              <w:rPr/>
            </w:pPr>
            <w:r>
              <w:rPr/>
              <w:t>68</w:t>
            </w:r>
          </w:p>
        </w:tc>
        <w:tc>
          <w:tcPr>
            <w:tcW w:w="135" w:type="dxa"/>
            <w:tcBorders/>
            <w:shd w:fill="CCEEFF" w:val="clear"/>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Employee warrants</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1,551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4" w:type="dxa"/>
            <w:tcBorders/>
            <w:vAlign w:val="center"/>
          </w:tcPr>
          <w:p>
            <w:pPr>
              <w:pStyle w:val="TableContents"/>
              <w:bidi w:val="0"/>
              <w:spacing w:before="0" w:after="283"/>
              <w:jc w:val="left"/>
              <w:rPr/>
            </w:pPr>
            <w:r>
              <w:rPr/>
              <w:t> </w:t>
            </w:r>
          </w:p>
        </w:tc>
        <w:tc>
          <w:tcPr>
            <w:tcW w:w="930"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pPr>
            <w:r>
              <w:rPr/>
              <w:t>Stock options</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1,889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17</w:t>
            </w:r>
          </w:p>
        </w:tc>
        <w:tc>
          <w:tcPr>
            <w:tcW w:w="135" w:type="dxa"/>
            <w:tcBorders/>
            <w:shd w:fill="CCEEFF" w:val="clear"/>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Employee stock purchase plan</w:t>
            </w:r>
          </w:p>
        </w:tc>
        <w:tc>
          <w:tcPr>
            <w:tcW w:w="90" w:type="dxa"/>
            <w:tcBorders/>
            <w:vAlign w:val="center"/>
          </w:tcPr>
          <w:p>
            <w:pPr>
              <w:pStyle w:val="TableContents"/>
              <w:bidi w:val="0"/>
              <w:spacing w:before="0" w:after="283"/>
              <w:jc w:val="left"/>
              <w:rPr/>
            </w:pPr>
            <w:r>
              <w:rPr/>
              <w:t> </w:t>
            </w:r>
          </w:p>
        </w:tc>
        <w:tc>
          <w:tcPr>
            <w:tcW w:w="33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tcMar>
              <w:bottom w:w="28" w:type="dxa"/>
            </w:tcMar>
            <w:vAlign w:val="center"/>
          </w:tcPr>
          <w:p>
            <w:pPr>
              <w:pStyle w:val="TableContents"/>
              <w:bidi w:val="0"/>
              <w:spacing w:before="0" w:after="283"/>
              <w:jc w:val="right"/>
              <w:rPr/>
            </w:pPr>
            <w:r>
              <w:rPr/>
              <w:t>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4" w:type="dxa"/>
            <w:tcBorders>
              <w:bottom w:val="single" w:sz="12" w:space="0" w:color="000000"/>
            </w:tcBorders>
            <w:tcMar>
              <w:bottom w:w="28" w:type="dxa"/>
            </w:tcMar>
            <w:vAlign w:val="center"/>
          </w:tcPr>
          <w:p>
            <w:pPr>
              <w:pStyle w:val="TableContents"/>
              <w:bidi w:val="0"/>
              <w:spacing w:before="0" w:after="283"/>
              <w:jc w:val="left"/>
              <w:rPr/>
            </w:pPr>
            <w:r>
              <w:rPr/>
              <w:t> </w:t>
            </w:r>
          </w:p>
        </w:tc>
        <w:tc>
          <w:tcPr>
            <w:tcW w:w="930"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33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9" w:type="dxa"/>
            <w:tcBorders>
              <w:bottom w:val="double" w:sz="10" w:space="0" w:color="000000"/>
            </w:tcBorders>
            <w:shd w:fill="CCEEFF" w:val="clear"/>
            <w:tcMar>
              <w:bottom w:w="28" w:type="dxa"/>
            </w:tcMar>
            <w:vAlign w:val="center"/>
          </w:tcPr>
          <w:p>
            <w:pPr>
              <w:pStyle w:val="TableContents"/>
              <w:bidi w:val="0"/>
              <w:spacing w:before="0" w:after="283"/>
              <w:jc w:val="right"/>
              <w:rPr/>
            </w:pPr>
            <w:r>
              <w:rPr/>
              <w:t>4,883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30" w:type="dxa"/>
            <w:tcBorders>
              <w:bottom w:val="double" w:sz="10" w:space="0" w:color="000000"/>
            </w:tcBorders>
            <w:shd w:fill="CCEEFF" w:val="clear"/>
            <w:tcMar>
              <w:bottom w:w="28" w:type="dxa"/>
            </w:tcMar>
            <w:vAlign w:val="center"/>
          </w:tcPr>
          <w:p>
            <w:pPr>
              <w:pStyle w:val="TableContents"/>
              <w:bidi w:val="0"/>
              <w:spacing w:before="0" w:after="283"/>
              <w:jc w:val="right"/>
              <w:rPr/>
            </w:pPr>
            <w:r>
              <w:rPr/>
              <w:t>85</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Segment Disclosures</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and manages its business activities on a consolidated basis and operates in one reportable segment.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as a single reportable and operating segment. Its Chief Executive Officer, serving as the Chief Operating Decision Maker (“CODM”), oversees operations on an aggregated basis to allocate resources effectively. In assessing the Company’s financial performance, the CODM regularly reviews total operating expenses and consolidated net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 of segment assets is reported on the balance sheet as total consolidated assets. The Company’s long-lived assets consist primarily of property and equipment, net. As of March 31, 2025 and December 31, 2024 all of long-lived assets were in the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is a summary of the segment loss from operations, including significant segment expenses (in thousands):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80"/>
        <w:gridCol w:w="90"/>
        <w:gridCol w:w="246"/>
        <w:gridCol w:w="1141"/>
        <w:gridCol w:w="125"/>
        <w:gridCol w:w="90"/>
        <w:gridCol w:w="297"/>
        <w:gridCol w:w="1164"/>
        <w:gridCol w:w="172"/>
      </w:tblGrid>
      <w:tr>
        <w:trPr/>
        <w:tc>
          <w:tcPr>
            <w:tcW w:w="68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 Months</w:t>
              <w:br/>
              <w:t>Ended</w:t>
              <w:br/>
              <w:t>March 31,</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Period from</w:t>
              <w:br/>
              <w:t xml:space="preserve">February 6, </w:t>
              <w:br/>
              <w:t>2024</w:t>
              <w:br/>
              <w:t xml:space="preserve">(Inception) to </w:t>
              <w:br/>
              <w:t>March 31,</w:t>
              <w:br/>
              <w:t>2024</w:t>
            </w:r>
          </w:p>
        </w:tc>
        <w:tc>
          <w:tcPr>
            <w:tcW w:w="172" w:type="dxa"/>
            <w:tcBorders/>
            <w:vAlign w:val="center"/>
          </w:tcPr>
          <w:p>
            <w:pPr>
              <w:pStyle w:val="TableContents"/>
              <w:bidi w:val="0"/>
              <w:spacing w:before="0" w:after="283"/>
              <w:jc w:val="left"/>
              <w:rPr/>
            </w:pPr>
            <w:r>
              <w:rPr/>
              <w:t> </w:t>
            </w:r>
          </w:p>
        </w:tc>
      </w:tr>
      <w:tr>
        <w:trPr/>
        <w:tc>
          <w:tcPr>
            <w:tcW w:w="6880" w:type="dxa"/>
            <w:tcBorders/>
            <w:shd w:fill="CCEEFF" w:val="clear"/>
            <w:vAlign w:val="center"/>
          </w:tcPr>
          <w:p>
            <w:pPr>
              <w:pStyle w:val="TableContents"/>
              <w:bidi w:val="0"/>
              <w:spacing w:before="0" w:after="283"/>
              <w:jc w:val="left"/>
              <w:rPr/>
            </w:pPr>
            <w:r>
              <w:rPr/>
              <w:t>Research and development personnel-related (excluding stock-based compensation)</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1141" w:type="dxa"/>
            <w:tcBorders/>
            <w:shd w:fill="CCEEFF" w:val="clear"/>
            <w:vAlign w:val="center"/>
          </w:tcPr>
          <w:p>
            <w:pPr>
              <w:pStyle w:val="TableContents"/>
              <w:bidi w:val="0"/>
              <w:spacing w:before="0" w:after="283"/>
              <w:jc w:val="right"/>
              <w:rPr/>
            </w:pPr>
            <w:r>
              <w:rPr/>
              <w:t>2,463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w:t>
            </w:r>
          </w:p>
        </w:tc>
        <w:tc>
          <w:tcPr>
            <w:tcW w:w="1164" w:type="dxa"/>
            <w:tcBorders/>
            <w:shd w:fill="CCEEFF" w:val="clear"/>
            <w:vAlign w:val="center"/>
          </w:tcPr>
          <w:p>
            <w:pPr>
              <w:pStyle w:val="TableContents"/>
              <w:bidi w:val="0"/>
              <w:spacing w:before="0" w:after="283"/>
              <w:jc w:val="right"/>
              <w:rPr/>
            </w:pPr>
            <w:r>
              <w:rPr/>
              <w:t>194</w:t>
            </w:r>
          </w:p>
        </w:tc>
        <w:tc>
          <w:tcPr>
            <w:tcW w:w="172" w:type="dxa"/>
            <w:tcBorders/>
            <w:shd w:fill="CCEEFF" w:val="clear"/>
            <w:vAlign w:val="center"/>
          </w:tcPr>
          <w:p>
            <w:pPr>
              <w:pStyle w:val="TableContents"/>
              <w:bidi w:val="0"/>
              <w:spacing w:before="0" w:after="283"/>
              <w:jc w:val="left"/>
              <w:rPr/>
            </w:pPr>
            <w:r>
              <w:rPr/>
              <w:t> </w:t>
            </w:r>
          </w:p>
        </w:tc>
      </w:tr>
      <w:tr>
        <w:trPr/>
        <w:tc>
          <w:tcPr>
            <w:tcW w:w="6880" w:type="dxa"/>
            <w:tcBorders/>
            <w:vAlign w:val="center"/>
          </w:tcPr>
          <w:p>
            <w:pPr>
              <w:pStyle w:val="TableContents"/>
              <w:bidi w:val="0"/>
              <w:spacing w:before="0" w:after="283"/>
              <w:jc w:val="left"/>
              <w:rPr/>
            </w:pPr>
            <w:r>
              <w:rPr/>
              <w:t>General and administrative personnel-related (excluding stock-based compensation)</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1,694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766</w:t>
            </w:r>
          </w:p>
        </w:tc>
        <w:tc>
          <w:tcPr>
            <w:tcW w:w="172" w:type="dxa"/>
            <w:tcBorders/>
            <w:vAlign w:val="center"/>
          </w:tcPr>
          <w:p>
            <w:pPr>
              <w:pStyle w:val="TableContents"/>
              <w:bidi w:val="0"/>
              <w:spacing w:before="0" w:after="283"/>
              <w:jc w:val="left"/>
              <w:rPr/>
            </w:pPr>
            <w:r>
              <w:rPr/>
              <w:t> </w:t>
            </w:r>
          </w:p>
        </w:tc>
      </w:tr>
      <w:tr>
        <w:trPr/>
        <w:tc>
          <w:tcPr>
            <w:tcW w:w="6880" w:type="dxa"/>
            <w:tcBorders/>
            <w:shd w:fill="CCEEFF" w:val="clear"/>
            <w:vAlign w:val="center"/>
          </w:tcPr>
          <w:p>
            <w:pPr>
              <w:pStyle w:val="TableContents"/>
              <w:bidi w:val="0"/>
              <w:spacing w:before="0" w:after="283"/>
              <w:jc w:val="left"/>
              <w:rPr/>
            </w:pPr>
            <w:r>
              <w:rPr/>
              <w:t>Research and development stock-based compensation</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3,003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70</w:t>
            </w:r>
          </w:p>
        </w:tc>
        <w:tc>
          <w:tcPr>
            <w:tcW w:w="172" w:type="dxa"/>
            <w:tcBorders/>
            <w:shd w:fill="CCEEFF" w:val="clear"/>
            <w:vAlign w:val="center"/>
          </w:tcPr>
          <w:p>
            <w:pPr>
              <w:pStyle w:val="TableContents"/>
              <w:bidi w:val="0"/>
              <w:spacing w:before="0" w:after="283"/>
              <w:jc w:val="left"/>
              <w:rPr/>
            </w:pPr>
            <w:r>
              <w:rPr/>
              <w:t> </w:t>
            </w:r>
          </w:p>
        </w:tc>
      </w:tr>
      <w:tr>
        <w:trPr/>
        <w:tc>
          <w:tcPr>
            <w:tcW w:w="6880" w:type="dxa"/>
            <w:tcBorders/>
            <w:vAlign w:val="center"/>
          </w:tcPr>
          <w:p>
            <w:pPr>
              <w:pStyle w:val="TableContents"/>
              <w:bidi w:val="0"/>
              <w:spacing w:before="0" w:after="283"/>
              <w:jc w:val="left"/>
              <w:rPr/>
            </w:pPr>
            <w:r>
              <w:rPr/>
              <w:t>General and administrative stock-based compensation</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1,880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15</w:t>
            </w:r>
          </w:p>
        </w:tc>
        <w:tc>
          <w:tcPr>
            <w:tcW w:w="172" w:type="dxa"/>
            <w:tcBorders/>
            <w:vAlign w:val="center"/>
          </w:tcPr>
          <w:p>
            <w:pPr>
              <w:pStyle w:val="TableContents"/>
              <w:bidi w:val="0"/>
              <w:spacing w:before="0" w:after="283"/>
              <w:jc w:val="left"/>
              <w:rPr/>
            </w:pPr>
            <w:r>
              <w:rPr/>
              <w:t> </w:t>
            </w:r>
          </w:p>
        </w:tc>
      </w:tr>
      <w:tr>
        <w:trPr/>
        <w:tc>
          <w:tcPr>
            <w:tcW w:w="6880" w:type="dxa"/>
            <w:tcBorders/>
            <w:shd w:fill="CCEEFF" w:val="clear"/>
            <w:vAlign w:val="center"/>
          </w:tcPr>
          <w:p>
            <w:pPr>
              <w:pStyle w:val="TableContents"/>
              <w:bidi w:val="0"/>
              <w:spacing w:before="0" w:after="283"/>
              <w:jc w:val="left"/>
              <w:rPr/>
            </w:pPr>
            <w:r>
              <w:rPr/>
              <w:t>External research and development</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13,610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4,905</w:t>
            </w:r>
          </w:p>
        </w:tc>
        <w:tc>
          <w:tcPr>
            <w:tcW w:w="172" w:type="dxa"/>
            <w:tcBorders/>
            <w:shd w:fill="CCEEFF" w:val="clear"/>
            <w:vAlign w:val="center"/>
          </w:tcPr>
          <w:p>
            <w:pPr>
              <w:pStyle w:val="TableContents"/>
              <w:bidi w:val="0"/>
              <w:spacing w:before="0" w:after="283"/>
              <w:jc w:val="left"/>
              <w:rPr/>
            </w:pPr>
            <w:r>
              <w:rPr/>
              <w:t> </w:t>
            </w:r>
          </w:p>
        </w:tc>
      </w:tr>
      <w:tr>
        <w:trPr/>
        <w:tc>
          <w:tcPr>
            <w:tcW w:w="6880" w:type="dxa"/>
            <w:tcBorders/>
            <w:vAlign w:val="center"/>
          </w:tcPr>
          <w:p>
            <w:pPr>
              <w:pStyle w:val="TableContents"/>
              <w:bidi w:val="0"/>
              <w:spacing w:before="0" w:after="283"/>
              <w:jc w:val="left"/>
              <w:rPr/>
            </w:pPr>
            <w:r>
              <w:rPr/>
              <w:t>Other research and development</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849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24</w:t>
            </w:r>
          </w:p>
        </w:tc>
        <w:tc>
          <w:tcPr>
            <w:tcW w:w="172" w:type="dxa"/>
            <w:tcBorders/>
            <w:vAlign w:val="center"/>
          </w:tcPr>
          <w:p>
            <w:pPr>
              <w:pStyle w:val="TableContents"/>
              <w:bidi w:val="0"/>
              <w:spacing w:before="0" w:after="283"/>
              <w:jc w:val="left"/>
              <w:rPr/>
            </w:pPr>
            <w:r>
              <w:rPr/>
              <w:t> </w:t>
            </w:r>
          </w:p>
        </w:tc>
      </w:tr>
      <w:tr>
        <w:trPr/>
        <w:tc>
          <w:tcPr>
            <w:tcW w:w="6880" w:type="dxa"/>
            <w:tcBorders/>
            <w:shd w:fill="CCEEFF" w:val="clear"/>
            <w:vAlign w:val="center"/>
          </w:tcPr>
          <w:p>
            <w:pPr>
              <w:pStyle w:val="TableContents"/>
              <w:bidi w:val="0"/>
              <w:spacing w:before="0" w:after="283"/>
              <w:jc w:val="left"/>
              <w:rPr/>
            </w:pPr>
            <w:r>
              <w:rPr/>
              <w:t>General and administrative, excluding personnel-related and stock-based compensation</w:t>
            </w:r>
          </w:p>
        </w:tc>
        <w:tc>
          <w:tcPr>
            <w:tcW w:w="9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1" w:type="dxa"/>
            <w:tcBorders>
              <w:bottom w:val="single" w:sz="12" w:space="0" w:color="000000"/>
            </w:tcBorders>
            <w:shd w:fill="CCEEFF" w:val="clear"/>
            <w:tcMar>
              <w:bottom w:w="28" w:type="dxa"/>
            </w:tcMar>
            <w:vAlign w:val="center"/>
          </w:tcPr>
          <w:p>
            <w:pPr>
              <w:pStyle w:val="TableContents"/>
              <w:bidi w:val="0"/>
              <w:spacing w:before="0" w:after="283"/>
              <w:jc w:val="right"/>
              <w:rPr/>
            </w:pPr>
            <w:r>
              <w:rPr/>
              <w:t>1,587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shd w:fill="CCEEFF" w:val="clear"/>
            <w:tcMar>
              <w:bottom w:w="28" w:type="dxa"/>
            </w:tcMar>
            <w:vAlign w:val="center"/>
          </w:tcPr>
          <w:p>
            <w:pPr>
              <w:pStyle w:val="TableContents"/>
              <w:bidi w:val="0"/>
              <w:spacing w:before="0" w:after="283"/>
              <w:jc w:val="right"/>
              <w:rPr/>
            </w:pPr>
            <w:r>
              <w:rPr/>
              <w:t>889</w:t>
            </w:r>
          </w:p>
        </w:tc>
        <w:tc>
          <w:tcPr>
            <w:tcW w:w="172" w:type="dxa"/>
            <w:tcBorders/>
            <w:shd w:fill="CCEEFF" w:val="clear"/>
            <w:vAlign w:val="center"/>
          </w:tcPr>
          <w:p>
            <w:pPr>
              <w:pStyle w:val="TableContents"/>
              <w:bidi w:val="0"/>
              <w:spacing w:before="0" w:after="283"/>
              <w:jc w:val="left"/>
              <w:rPr/>
            </w:pPr>
            <w:r>
              <w:rPr/>
              <w:t> </w:t>
            </w:r>
          </w:p>
        </w:tc>
      </w:tr>
      <w:tr>
        <w:trPr/>
        <w:tc>
          <w:tcPr>
            <w:tcW w:w="6880" w:type="dxa"/>
            <w:tcBorders/>
            <w:vAlign w:val="center"/>
          </w:tcPr>
          <w:p>
            <w:pPr>
              <w:pStyle w:val="TableContents"/>
              <w:bidi w:val="0"/>
              <w:spacing w:before="0" w:after="283"/>
              <w:jc w:val="left"/>
              <w:rPr/>
            </w:pPr>
            <w:r>
              <w:rPr/>
              <w:t>Total operating expenses</w:t>
            </w:r>
          </w:p>
        </w:tc>
        <w:tc>
          <w:tcPr>
            <w:tcW w:w="90" w:type="dxa"/>
            <w:tcBorders/>
            <w:vAlign w:val="center"/>
          </w:tcPr>
          <w:p>
            <w:pPr>
              <w:pStyle w:val="TableContents"/>
              <w:bidi w:val="0"/>
              <w:spacing w:before="0" w:after="283"/>
              <w:jc w:val="left"/>
              <w:rPr/>
            </w:pPr>
            <w:r>
              <w:rPr/>
              <w:t> </w:t>
            </w:r>
          </w:p>
        </w:tc>
        <w:tc>
          <w:tcPr>
            <w:tcW w:w="24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1" w:type="dxa"/>
            <w:tcBorders>
              <w:bottom w:val="single" w:sz="12" w:space="0" w:color="000000"/>
            </w:tcBorders>
            <w:tcMar>
              <w:bottom w:w="28" w:type="dxa"/>
            </w:tcMar>
            <w:vAlign w:val="center"/>
          </w:tcPr>
          <w:p>
            <w:pPr>
              <w:pStyle w:val="TableContents"/>
              <w:bidi w:val="0"/>
              <w:spacing w:before="0" w:after="283"/>
              <w:jc w:val="right"/>
              <w:rPr/>
            </w:pPr>
            <w:r>
              <w:rPr/>
              <w:t>25,086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tcMar>
              <w:bottom w:w="28" w:type="dxa"/>
            </w:tcMar>
            <w:vAlign w:val="center"/>
          </w:tcPr>
          <w:p>
            <w:pPr>
              <w:pStyle w:val="TableContents"/>
              <w:bidi w:val="0"/>
              <w:spacing w:before="0" w:after="283"/>
              <w:jc w:val="right"/>
              <w:rPr/>
            </w:pPr>
            <w:r>
              <w:rPr/>
              <w:t>6,863</w:t>
            </w:r>
          </w:p>
        </w:tc>
        <w:tc>
          <w:tcPr>
            <w:tcW w:w="172" w:type="dxa"/>
            <w:tcBorders/>
            <w:vAlign w:val="center"/>
          </w:tcPr>
          <w:p>
            <w:pPr>
              <w:pStyle w:val="TableContents"/>
              <w:bidi w:val="0"/>
              <w:spacing w:before="0" w:after="283"/>
              <w:jc w:val="left"/>
              <w:rPr/>
            </w:pPr>
            <w:r>
              <w:rPr/>
              <w:t> </w:t>
            </w:r>
          </w:p>
        </w:tc>
      </w:tr>
      <w:tr>
        <w:trPr/>
        <w:tc>
          <w:tcPr>
            <w:tcW w:w="6880" w:type="dxa"/>
            <w:tcBorders/>
            <w:shd w:fill="CCEEFF" w:val="clear"/>
            <w:vAlign w:val="center"/>
          </w:tcPr>
          <w:p>
            <w:pPr>
              <w:pStyle w:val="TableContents"/>
              <w:bidi w:val="0"/>
              <w:spacing w:before="0" w:after="283"/>
              <w:jc w:val="left"/>
              <w:rPr/>
            </w:pPr>
            <w:r>
              <w:rPr/>
              <w:t>Loss from operations</w:t>
            </w:r>
          </w:p>
        </w:tc>
        <w:tc>
          <w:tcPr>
            <w:tcW w:w="90" w:type="dxa"/>
            <w:tcBorders/>
            <w:shd w:fill="CCEEFF" w:val="clear"/>
            <w:vAlign w:val="center"/>
          </w:tcPr>
          <w:p>
            <w:pPr>
              <w:pStyle w:val="TableContents"/>
              <w:bidi w:val="0"/>
              <w:spacing w:before="0" w:after="283"/>
              <w:jc w:val="left"/>
              <w:rPr/>
            </w:pPr>
            <w:r>
              <w:rPr/>
              <w:t> </w:t>
            </w:r>
          </w:p>
        </w:tc>
        <w:tc>
          <w:tcPr>
            <w:tcW w:w="24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41" w:type="dxa"/>
            <w:tcBorders>
              <w:bottom w:val="double" w:sz="10" w:space="0" w:color="000000"/>
            </w:tcBorders>
            <w:shd w:fill="CCEEFF" w:val="clear"/>
            <w:tcMar>
              <w:bottom w:w="28" w:type="dxa"/>
            </w:tcMar>
            <w:vAlign w:val="center"/>
          </w:tcPr>
          <w:p>
            <w:pPr>
              <w:pStyle w:val="TableContents"/>
              <w:bidi w:val="0"/>
              <w:spacing w:before="0" w:after="283"/>
              <w:jc w:val="right"/>
              <w:rPr/>
            </w:pPr>
            <w:r>
              <w:rPr/>
              <w:t>(25,086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9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4" w:type="dxa"/>
            <w:tcBorders>
              <w:bottom w:val="double" w:sz="10" w:space="0" w:color="000000"/>
            </w:tcBorders>
            <w:shd w:fill="CCEEFF" w:val="clear"/>
            <w:tcMar>
              <w:bottom w:w="28" w:type="dxa"/>
            </w:tcMar>
            <w:vAlign w:val="center"/>
          </w:tcPr>
          <w:p>
            <w:pPr>
              <w:pStyle w:val="TableContents"/>
              <w:bidi w:val="0"/>
              <w:spacing w:before="0" w:after="283"/>
              <w:jc w:val="right"/>
              <w:rPr/>
            </w:pPr>
            <w:r>
              <w:rPr/>
              <w:t>(6,863</w:t>
            </w:r>
          </w:p>
        </w:tc>
        <w:tc>
          <w:tcPr>
            <w:tcW w:w="172"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Option Agreements and License Agreements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Option Agreements – Paragon Therapeutics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the Company entered into two antibody discovery and option agreements (“Option Agreements”) with Paragon Therapeutics, Inc. (“Paragon”) and Paruka. Under the terms of each agreement, Paragon identifies, evaluates, and develops antibodies directed against certain mutually agreed therapeutic targets of interest to the Company. From time to time, the Company can choose to add additional targets to the collaboration upon agreement with Paragon and Paruka. Under the Option Agreements, the Company has the exclusive option to, on a research program-by-research program basis, be granted an exclusive, worldwide license to all of Paragon’s right, title, and interest in and to the intellectual property resulting from the applicable research program to develop, manufacture, and commercialize the antibodies and products directed to the selected target(s). The Company has initiated certain research programs with Paragon that generally focus on discovering, generating, identifying and/or characterizing antibodies directed to a particular target (each, a “Research Program”), including for IL-23 and IL-17A/F for ORKA-001 and ORKA-002, respectively. The exclusive option with respect to each Research Program is exercisable at the Company’s sole discretion at such time as specified in the Option Agreements (the “Option Period”). There is no payment due upon exercise of an Option pursuant to the Option Agreements. For each of these agreements, once the Company enters into the corresponding license agreements, it will be required to make non-refundable milestone payments to Paragon of up to $12.0 million under each respective agreement upon the achievement of certain clinical development milestones, up to $10.0 million under each respective agreement upon the achievement of certain regulatory milestones, as well as a low single-digit percentage royalty for antibody products beginning on the first commercial sale in each program.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terminate any Option Agreement or any Research Program at any time for any or no reason upon 30 days’ prior written notice to Paragon, provided that it must pay certain unpaid fees due to Paragon upon such termination, as well as any non-cancellable obligations reasonably incurred by Paragon in connection with its activities under any terminated Research Program. Paragon may terminate any Option Agreement or a Research Program immediately upon written notice to the Company if, as a result of any action or failure to act by the Company or its affiliates, such Research Program or all material activities under the applicable Research Plan are suspended, discontinued or otherwise delayed for a certain consecutive number of months. Each party has the right to terminate the Option Agreements or any Research Program upon material breach that remains uncured or the other party’s bankruptcy.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License Agreements – Paragon Therapeutics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the Company exercised its exclusive option to acquire certain rights to ORKA-001, and in December 2024, it entered into a corresponding license agreement with Paragon (the “ORKA-001 License Agreement”), pursuant to which Paragon granted the Company a royalty-bearing, world-wide, exclusive license to develop, manufacture, commercialize or otherwise exploit certain antibodies and products targeting IL-23 in all fields other than the field of inflammatory bowel disease (“ORKA-001 Field”). In December 2024, the Company exercised its exclusive option to acquire certain rights to ORKA-002, and in February 2025, it entered into the corresponding license agreement with Paragon (the “ORKA-002 License Agreement” and together with the ORKA-001 License Agreement, the “License Agreements”), pursuant to which Paragon granted the Company a royalty-bearing, world-wide, exclusive license to develop, manufacture, commercialize or otherwise exploit certain antibodies and products targeting IL-17A/F in all fields (“ORKA-002 Field” and together with the ORKA-001 Field, the “Fields”). Pursuant to each of the two License Agreements, Paragon has agreed not to conduct any new campaigns that generate anti-IL-23 monospecific antibodies or anti-IL-17A/F monospecific antibodies in the respective agreed-upon fields.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License Agreements provide the Company with exclusive licenses in the Fields to Paragon’s patent applications covering the related antibodies, their method of use and their method of manufacture and Paragon has agreed not to conduct any new campaigns that generate anti-IL-23 monospecific antibodies or anti-IL-17A/F monospecific antibodies for the ORKA-001 Field or the ORKA-002 Field, respectively, for at least five years. Each of the License Agreements may be terminated on 60 days’ notice to Paragon, on material breach without cure, and on a party’s insolvency or bankruptcy to the extent permitted by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each of the License Agreements, the Company is obligated to pay Paragon non-refundable milestone payments of up to $12.0 million under each respective agreement upon the achievement of certain clinical development milestones and up to $10.0 million under each respective agreement upon the achievement of certain regulatory milestones. In addition, the Company is obligated to pay Paragon a low single-digit percentage royalty for antibody products for each of ORKA-001 and ORKA-002. For each of the License Agreements, the royalty term ends on the later of (i) the last-to-expire licensed patent or our patent directed to the manufacture, use or sale of a licensed antibody in the country at issue or (ii) 12 years from the date of first sale of a Company product. There is also a royalty step-down if there is no Paragon patent in effect during the royalty term for each program. Each of the License Agreements may be terminated on 60 days’ notice to Paragon, on material breach without cure, and on a party’s insolvency or bankruptcy to the extent permitted by law. As of March 31, 2025, the Company has incurred and expensed milestone payments of $4.0 million and $1.5 million for ORKA-001 License Agreement and ORKA-002 License Agreement,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as part of the Option Agreements, on December 31, 2024 the Company granted and on December 31, 2025, will grant Paruka a warrant to purchase a number of shares equal to 1.00% of outstanding shares as of the date of the grant on a fully-diluted basis, with an exercise price equal to the fair market value of the underlying shares on the grant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Option Agreements, on a research program-by-research program basis following the finalization of the research plan for each respective research program, the Company is required to pay certain initiation fees, development costs and milestone payments to Paragon. For the ORKA-001 program, the Company recognized research and development expenses related to the following milestones during the period from February 6, 2024 (inception) to December 31, 2024: a one-time, nonrefundable research initiation fee of $0.8 million; $1.5 million related to exercising its option and achievement of development candidate; and $2.5 million related to completing the first dosing of a human subject in a Phase 1 trial. The Company was responsible for 50% of the development costs incurred through the completion of the IL-23 selection process which was completed in June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ORKA-002 program, the Company recognized research and development expenses related to the following milestones during the period from February 6, 2024 (inception) to December 31, 2024: a one-time, nonrefundable research initiation fee of $0.8 million and $1.5 million related to exercising its option and achievement of development candidate. The Company was responsible for the development costs incurred through the completion of the IL-23 selection process which was completed in December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Option Agreements, during the three months ended March 31, 2025 and the period from February 6, 2024 (inception) to March 31, 2024, the Company’s share of development costs incurred for ORKA-001 program for the periods were nil and $0.8 million, respectively, which were recorded as research and development expenses. As of March 31, 2025 and December 31, 2024, nil and $2.8 million, respectively, related to ORKA-001 were included in related party accounts payable and other current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Option Agreements, the Company recognized $0.1 million and $4.2 million as research and development expenses for ORKA-002 program during the three months ended March 31, 2025 and the period from February 6, 2024 (inception) to March 31, 2024, respectively. As of March 31, 2025 and December 31, 2024, $0.1 million and $2.7 million, respectively, related to ORKA-002 were included in related party accounts payable and other current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2025 and the period from February 6, 2024 (inception) to March 31, 2024, the Company recognized $1.5 million and $5.0 million, respectively, of expenses in connection with services provided by Paragon and Paruka under the Option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the service fees as the associated costs are incurred when the underlying services are rendered. Such amounts are classified within research and development expenses in the accompanying condensed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concluded that the rights obtained under the Option Agreements represent an asset acquisition whereby the underlying assets comprise in-process research and development assets with no alternative future use. The Option Agreements did not qualify as a business combination because substantially all of the fair value of the assets acquired was concentrated in the exclusive license options, which represent a group of similar identifiable assets. The research initiation fee represents a one-time cost on a research program-by-research program basis for accessing research services or resources with benefits that are expected to be consumed in the near term, therefore the amounts paid are expensed as part of research and development costs immediately. Amounts paid as reimbursements of ongoing development cost, monthly development cost fee and additional development expenses incurred by Paragon due to work completed for selected targets prior to the effective date of the Option Agreements that is associated with services being rendered under the related Research Programs are recognized as research and development expense when incurred.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Commitment and Contingencies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2024, the Company entered into an operating lease agreement for the Company’s headquarters in Menlo Park, California, which commenced on June 15, 2024 with an initial term of 39.5 months. The Company leases office space under this noncancelable operating lease agreement. Lease liabilities are based on the net present value of the remaining lease payments over the remaining lease term. In determining the present value of lease payments, the Company used its incremental borrowing rate when measuring operating lease liabilities as discount rates were not implicit or readily determinable.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the operating lease arrangement had a remaining lease term of 30 months and a discount rate of 17.95%. For the three months ended March 31, 2025, the Company recorded operating and variable lease expense of $0.1 million in general and administrative expenses in its condensed consolidated statement of operations and comprehensive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Company’s supplemental cash flow information related to leases (in thousands):</w:t>
      </w:r>
    </w:p>
    <w:p>
      <w:pPr>
        <w:pStyle w:val="TextBody"/>
        <w:bidi w:val="0"/>
        <w:spacing w:before="0" w:after="0"/>
        <w:ind w:left="0" w:right="0" w:hanging="0"/>
        <w:jc w:val="both"/>
        <w:rPr>
          <w:caps w:val="false"/>
          <w:smallCaps w:val="false"/>
        </w:rPr>
      </w:pPr>
      <w:r>
        <w:rPr>
          <w:caps w:val="false"/>
          <w:smallCaps w:val="false"/>
        </w:rPr>
        <w:t> </w:t>
      </w:r>
    </w:p>
    <w:tbl>
      <w:tblPr>
        <w:tblW w:w="8424" w:type="dxa"/>
        <w:jc w:val="left"/>
        <w:tblInd w:w="0" w:type="dxa"/>
        <w:tblLayout w:type="fixed"/>
        <w:tblCellMar>
          <w:top w:w="0" w:type="dxa"/>
          <w:left w:w="0" w:type="dxa"/>
          <w:bottom w:w="0" w:type="dxa"/>
          <w:right w:w="0" w:type="dxa"/>
        </w:tblCellMar>
      </w:tblPr>
      <w:tblGrid>
        <w:gridCol w:w="6635"/>
        <w:gridCol w:w="90"/>
        <w:gridCol w:w="577"/>
        <w:gridCol w:w="987"/>
        <w:gridCol w:w="135"/>
      </w:tblGrid>
      <w:tr>
        <w:trPr/>
        <w:tc>
          <w:tcPr>
            <w:tcW w:w="66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w:t>
              <w:br/>
              <w:t>Ended</w:t>
              <w:br/>
              <w:t>March 31,</w:t>
              <w:br/>
              <w:t>2025</w:t>
            </w:r>
          </w:p>
        </w:tc>
        <w:tc>
          <w:tcPr>
            <w:tcW w:w="135" w:type="dxa"/>
            <w:tcBorders/>
            <w:vAlign w:val="center"/>
          </w:tcPr>
          <w:p>
            <w:pPr>
              <w:pStyle w:val="TableContents"/>
              <w:bidi w:val="0"/>
              <w:spacing w:before="0" w:after="283"/>
              <w:jc w:val="left"/>
              <w:rPr/>
            </w:pPr>
            <w:r>
              <w:rPr/>
              <w:t> </w:t>
            </w:r>
          </w:p>
        </w:tc>
      </w:tr>
      <w:tr>
        <w:trPr/>
        <w:tc>
          <w:tcPr>
            <w:tcW w:w="6635" w:type="dxa"/>
            <w:tcBorders/>
            <w:shd w:fill="CCEEFF" w:val="clear"/>
            <w:vAlign w:val="center"/>
          </w:tcPr>
          <w:p>
            <w:pPr>
              <w:pStyle w:val="TableContents"/>
              <w:bidi w:val="0"/>
              <w:spacing w:before="0" w:after="283"/>
              <w:jc w:val="left"/>
              <w:rPr/>
            </w:pPr>
            <w:r>
              <w:rPr/>
              <w:t>Cash paid for amounts included in the measurement of lease liabilities</w:t>
            </w:r>
          </w:p>
        </w:tc>
        <w:tc>
          <w:tcPr>
            <w:tcW w:w="90"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left"/>
              <w:rPr/>
            </w:pPr>
            <w:r>
              <w:rPr/>
              <w:t>$</w:t>
            </w:r>
          </w:p>
        </w:tc>
        <w:tc>
          <w:tcPr>
            <w:tcW w:w="987" w:type="dxa"/>
            <w:tcBorders/>
            <w:shd w:fill="CCEEFF" w:val="clear"/>
            <w:vAlign w:val="center"/>
          </w:tcPr>
          <w:p>
            <w:pPr>
              <w:pStyle w:val="TableContents"/>
              <w:bidi w:val="0"/>
              <w:spacing w:before="0" w:after="283"/>
              <w:jc w:val="right"/>
              <w:rPr/>
            </w:pPr>
            <w:r>
              <w:rPr/>
              <w:t>63</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a maturity analysis of the Company’s operating lease liabilities showing the aggregate lease payments as of March 31, 2025 (in thousands): </w:t>
      </w:r>
    </w:p>
    <w:p>
      <w:pPr>
        <w:pStyle w:val="TextBody"/>
        <w:bidi w:val="0"/>
        <w:spacing w:before="0" w:after="0"/>
        <w:ind w:left="0" w:right="0" w:hanging="0"/>
        <w:jc w:val="left"/>
        <w:rPr>
          <w:caps w:val="false"/>
          <w:smallCaps w:val="false"/>
        </w:rPr>
      </w:pPr>
      <w:r>
        <w:rPr>
          <w:caps w:val="false"/>
          <w:smallCaps w:val="false"/>
        </w:rPr>
        <w:t> </w:t>
      </w:r>
    </w:p>
    <w:tbl>
      <w:tblPr>
        <w:tblW w:w="4710" w:type="dxa"/>
        <w:jc w:val="left"/>
        <w:tblInd w:w="0" w:type="dxa"/>
        <w:tblLayout w:type="fixed"/>
        <w:tblCellMar>
          <w:top w:w="0" w:type="dxa"/>
          <w:left w:w="0" w:type="dxa"/>
          <w:bottom w:w="28" w:type="dxa"/>
          <w:right w:w="0" w:type="dxa"/>
        </w:tblCellMar>
      </w:tblPr>
      <w:tblGrid>
        <w:gridCol w:w="3560"/>
        <w:gridCol w:w="90"/>
        <w:gridCol w:w="199"/>
        <w:gridCol w:w="691"/>
        <w:gridCol w:w="170"/>
      </w:tblGrid>
      <w:tr>
        <w:trPr/>
        <w:tc>
          <w:tcPr>
            <w:tcW w:w="3560" w:type="dxa"/>
            <w:tcBorders>
              <w:bottom w:val="single" w:sz="12" w:space="0" w:color="000000"/>
            </w:tcBorders>
            <w:vAlign w:val="center"/>
          </w:tcPr>
          <w:p>
            <w:pPr>
              <w:pStyle w:val="TableContents"/>
              <w:bidi w:val="0"/>
              <w:spacing w:before="0" w:after="283"/>
              <w:jc w:val="left"/>
              <w:rPr>
                <w:b/>
                <w:strike w:val="false"/>
                <w:dstrike w:val="false"/>
                <w:u w:val="none"/>
                <w:effect w:val="none"/>
              </w:rPr>
            </w:pPr>
            <w:r>
              <w:rPr>
                <w:b/>
                <w:strike w:val="false"/>
                <w:dstrike w:val="false"/>
                <w:u w:val="none"/>
                <w:effect w:val="none"/>
              </w:rPr>
              <w:t>Year ending December 31,</w:t>
            </w:r>
          </w:p>
        </w:tc>
        <w:tc>
          <w:tcPr>
            <w:tcW w:w="90" w:type="dxa"/>
            <w:tcBorders/>
            <w:tcMar>
              <w:bottom w:w="0" w:type="dxa"/>
            </w:tcMar>
            <w:vAlign w:val="center"/>
          </w:tcPr>
          <w:p>
            <w:pPr>
              <w:pStyle w:val="TableContents"/>
              <w:bidi w:val="0"/>
              <w:spacing w:before="0" w:after="283"/>
              <w:jc w:val="left"/>
              <w:rPr/>
            </w:pPr>
            <w:r>
              <w:rPr/>
              <w:t> </w:t>
            </w:r>
          </w:p>
        </w:tc>
        <w:tc>
          <w:tcPr>
            <w:tcW w:w="890"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170" w:type="dxa"/>
            <w:tcBorders/>
            <w:tcMar>
              <w:bottom w:w="0" w:type="dxa"/>
            </w:tcMar>
            <w:vAlign w:val="center"/>
          </w:tcPr>
          <w:p>
            <w:pPr>
              <w:pStyle w:val="TableContents"/>
              <w:bidi w:val="0"/>
              <w:spacing w:before="0" w:after="283"/>
              <w:jc w:val="left"/>
              <w:rPr/>
            </w:pPr>
            <w:r>
              <w:rPr/>
              <w:t> </w:t>
            </w:r>
          </w:p>
        </w:tc>
      </w:tr>
      <w:tr>
        <w:trPr/>
        <w:tc>
          <w:tcPr>
            <w:tcW w:w="3560" w:type="dxa"/>
            <w:tcBorders/>
            <w:shd w:fill="CCEEFF" w:val="clear"/>
            <w:tcMar>
              <w:bottom w:w="0" w:type="dxa"/>
            </w:tcMar>
            <w:vAlign w:val="center"/>
          </w:tcPr>
          <w:p>
            <w:pPr>
              <w:pStyle w:val="TableContents"/>
              <w:bidi w:val="0"/>
              <w:spacing w:before="0" w:after="283"/>
              <w:jc w:val="left"/>
              <w:rPr/>
            </w:pPr>
            <w:r>
              <w:rPr/>
              <w:t>2025 (remainder of the year)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w:t>
            </w:r>
          </w:p>
        </w:tc>
        <w:tc>
          <w:tcPr>
            <w:tcW w:w="691" w:type="dxa"/>
            <w:tcBorders/>
            <w:shd w:fill="CCEEFF" w:val="clear"/>
            <w:tcMar>
              <w:bottom w:w="0" w:type="dxa"/>
            </w:tcMar>
            <w:vAlign w:val="center"/>
          </w:tcPr>
          <w:p>
            <w:pPr>
              <w:pStyle w:val="TableContents"/>
              <w:bidi w:val="0"/>
              <w:spacing w:before="0" w:after="283"/>
              <w:jc w:val="right"/>
              <w:rPr/>
            </w:pPr>
            <w:r>
              <w:rPr/>
              <w:t>306</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560" w:type="dxa"/>
            <w:tcBorders/>
            <w:tcMar>
              <w:bottom w:w="0" w:type="dxa"/>
            </w:tcMar>
            <w:vAlign w:val="center"/>
          </w:tcPr>
          <w:p>
            <w:pPr>
              <w:pStyle w:val="TableContents"/>
              <w:bidi w:val="0"/>
              <w:spacing w:before="0" w:after="283"/>
              <w:jc w:val="left"/>
              <w:rPr/>
            </w:pPr>
            <w:r>
              <w:rPr/>
              <w:t>2026</w:t>
            </w:r>
          </w:p>
        </w:tc>
        <w:tc>
          <w:tcPr>
            <w:tcW w:w="90" w:type="dxa"/>
            <w:tcBorders/>
            <w:tcMar>
              <w:bottom w:w="0" w:type="dxa"/>
            </w:tcMar>
            <w:vAlign w:val="center"/>
          </w:tcPr>
          <w:p>
            <w:pPr>
              <w:pStyle w:val="TableContents"/>
              <w:bidi w:val="0"/>
              <w:spacing w:before="0" w:after="283"/>
              <w:jc w:val="left"/>
              <w:rPr/>
            </w:pPr>
            <w:r>
              <w:rPr/>
              <w:t> </w:t>
            </w:r>
          </w:p>
        </w:tc>
        <w:tc>
          <w:tcPr>
            <w:tcW w:w="199" w:type="dxa"/>
            <w:tcBorders/>
            <w:tcMar>
              <w:bottom w:w="0" w:type="dxa"/>
            </w:tcMar>
            <w:vAlign w:val="center"/>
          </w:tcPr>
          <w:p>
            <w:pPr>
              <w:pStyle w:val="TableContents"/>
              <w:bidi w:val="0"/>
              <w:spacing w:before="0" w:after="283"/>
              <w:jc w:val="left"/>
              <w:rPr/>
            </w:pPr>
            <w:r>
              <w:rPr/>
              <w:t> </w:t>
            </w:r>
          </w:p>
        </w:tc>
        <w:tc>
          <w:tcPr>
            <w:tcW w:w="691" w:type="dxa"/>
            <w:tcBorders/>
            <w:tcMar>
              <w:bottom w:w="0" w:type="dxa"/>
            </w:tcMar>
            <w:vAlign w:val="center"/>
          </w:tcPr>
          <w:p>
            <w:pPr>
              <w:pStyle w:val="TableContents"/>
              <w:bidi w:val="0"/>
              <w:spacing w:before="0" w:after="283"/>
              <w:jc w:val="right"/>
              <w:rPr/>
            </w:pPr>
            <w:r>
              <w:rPr/>
              <w:t>494</w:t>
            </w:r>
          </w:p>
        </w:tc>
        <w:tc>
          <w:tcPr>
            <w:tcW w:w="170" w:type="dxa"/>
            <w:tcBorders/>
            <w:tcMar>
              <w:bottom w:w="0" w:type="dxa"/>
            </w:tcMar>
            <w:vAlign w:val="center"/>
          </w:tcPr>
          <w:p>
            <w:pPr>
              <w:pStyle w:val="TableContents"/>
              <w:bidi w:val="0"/>
              <w:spacing w:before="0" w:after="283"/>
              <w:jc w:val="left"/>
              <w:rPr/>
            </w:pPr>
            <w:r>
              <w:rPr/>
              <w:t> </w:t>
            </w:r>
          </w:p>
        </w:tc>
      </w:tr>
      <w:tr>
        <w:trPr/>
        <w:tc>
          <w:tcPr>
            <w:tcW w:w="3560" w:type="dxa"/>
            <w:tcBorders/>
            <w:shd w:fill="CCEEFF" w:val="clear"/>
            <w:tcMar>
              <w:bottom w:w="0" w:type="dxa"/>
            </w:tcMar>
            <w:vAlign w:val="center"/>
          </w:tcPr>
          <w:p>
            <w:pPr>
              <w:pStyle w:val="TableContents"/>
              <w:bidi w:val="0"/>
              <w:spacing w:before="0" w:after="283"/>
              <w:jc w:val="left"/>
              <w:rPr/>
            </w:pPr>
            <w:r>
              <w:rPr/>
              <w:t>2027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9" w:type="dxa"/>
            <w:tcBorders>
              <w:bottom w:val="single" w:sz="12" w:space="0" w:color="000000"/>
            </w:tcBorders>
            <w:shd w:fill="CCEEFF" w:val="clear"/>
            <w:vAlign w:val="center"/>
          </w:tcPr>
          <w:p>
            <w:pPr>
              <w:pStyle w:val="TableContents"/>
              <w:bidi w:val="0"/>
              <w:spacing w:before="0" w:after="283"/>
              <w:jc w:val="left"/>
              <w:rPr/>
            </w:pPr>
            <w:r>
              <w:rPr/>
              <w:t> </w:t>
            </w:r>
          </w:p>
        </w:tc>
        <w:tc>
          <w:tcPr>
            <w:tcW w:w="691" w:type="dxa"/>
            <w:tcBorders>
              <w:bottom w:val="single" w:sz="12" w:space="0" w:color="000000"/>
            </w:tcBorders>
            <w:shd w:fill="CCEEFF" w:val="clear"/>
            <w:vAlign w:val="center"/>
          </w:tcPr>
          <w:p>
            <w:pPr>
              <w:pStyle w:val="TableContents"/>
              <w:bidi w:val="0"/>
              <w:spacing w:before="0" w:after="283"/>
              <w:jc w:val="right"/>
              <w:rPr/>
            </w:pPr>
            <w:r>
              <w:rPr/>
              <w:t>380</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560" w:type="dxa"/>
            <w:tcBorders/>
            <w:tcMar>
              <w:bottom w:w="0" w:type="dxa"/>
            </w:tcMar>
            <w:vAlign w:val="center"/>
          </w:tcPr>
          <w:p>
            <w:pPr>
              <w:pStyle w:val="TableContents"/>
              <w:bidi w:val="0"/>
              <w:spacing w:before="0" w:after="283"/>
              <w:jc w:val="left"/>
              <w:rPr/>
            </w:pPr>
            <w:r>
              <w:rPr/>
              <w:t>Total undiscounted lease payments</w:t>
            </w:r>
          </w:p>
        </w:tc>
        <w:tc>
          <w:tcPr>
            <w:tcW w:w="90" w:type="dxa"/>
            <w:tcBorders/>
            <w:tcMar>
              <w:bottom w:w="0" w:type="dxa"/>
            </w:tcMar>
            <w:vAlign w:val="center"/>
          </w:tcPr>
          <w:p>
            <w:pPr>
              <w:pStyle w:val="TableContents"/>
              <w:bidi w:val="0"/>
              <w:spacing w:before="0" w:after="283"/>
              <w:jc w:val="left"/>
              <w:rPr/>
            </w:pPr>
            <w:r>
              <w:rPr/>
              <w:t> </w:t>
            </w:r>
          </w:p>
        </w:tc>
        <w:tc>
          <w:tcPr>
            <w:tcW w:w="199" w:type="dxa"/>
            <w:tcBorders/>
            <w:tcMar>
              <w:bottom w:w="0" w:type="dxa"/>
            </w:tcMar>
            <w:vAlign w:val="center"/>
          </w:tcPr>
          <w:p>
            <w:pPr>
              <w:pStyle w:val="TableContents"/>
              <w:bidi w:val="0"/>
              <w:spacing w:before="0" w:after="283"/>
              <w:jc w:val="left"/>
              <w:rPr/>
            </w:pPr>
            <w:r>
              <w:rPr/>
              <w:t> </w:t>
            </w:r>
          </w:p>
        </w:tc>
        <w:tc>
          <w:tcPr>
            <w:tcW w:w="691" w:type="dxa"/>
            <w:tcBorders/>
            <w:tcMar>
              <w:bottom w:w="0" w:type="dxa"/>
            </w:tcMar>
            <w:vAlign w:val="center"/>
          </w:tcPr>
          <w:p>
            <w:pPr>
              <w:pStyle w:val="TableContents"/>
              <w:bidi w:val="0"/>
              <w:spacing w:before="0" w:after="283"/>
              <w:jc w:val="right"/>
              <w:rPr/>
            </w:pPr>
            <w:r>
              <w:rPr/>
              <w:t>1,180</w:t>
            </w:r>
          </w:p>
        </w:tc>
        <w:tc>
          <w:tcPr>
            <w:tcW w:w="170" w:type="dxa"/>
            <w:tcBorders/>
            <w:tcMar>
              <w:bottom w:w="0" w:type="dxa"/>
            </w:tcMar>
            <w:vAlign w:val="center"/>
          </w:tcPr>
          <w:p>
            <w:pPr>
              <w:pStyle w:val="TableContents"/>
              <w:bidi w:val="0"/>
              <w:spacing w:before="0" w:after="283"/>
              <w:jc w:val="left"/>
              <w:rPr/>
            </w:pPr>
            <w:r>
              <w:rPr/>
              <w:t> </w:t>
            </w:r>
          </w:p>
        </w:tc>
      </w:tr>
      <w:tr>
        <w:trPr/>
        <w:tc>
          <w:tcPr>
            <w:tcW w:w="3560" w:type="dxa"/>
            <w:tcBorders/>
            <w:shd w:fill="CCEEFF" w:val="clear"/>
            <w:tcMar>
              <w:bottom w:w="0" w:type="dxa"/>
            </w:tcMar>
            <w:vAlign w:val="center"/>
          </w:tcPr>
          <w:p>
            <w:pPr>
              <w:pStyle w:val="TableContents"/>
              <w:bidi w:val="0"/>
              <w:spacing w:before="0" w:after="283"/>
              <w:jc w:val="left"/>
              <w:rPr/>
            </w:pPr>
            <w:r>
              <w:rPr/>
              <w:t>Less: imputed interest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9" w:type="dxa"/>
            <w:tcBorders>
              <w:bottom w:val="single" w:sz="12" w:space="0" w:color="000000"/>
            </w:tcBorders>
            <w:shd w:fill="CCEEFF" w:val="clear"/>
            <w:vAlign w:val="center"/>
          </w:tcPr>
          <w:p>
            <w:pPr>
              <w:pStyle w:val="TableContents"/>
              <w:bidi w:val="0"/>
              <w:spacing w:before="0" w:after="283"/>
              <w:jc w:val="left"/>
              <w:rPr/>
            </w:pPr>
            <w:r>
              <w:rPr/>
              <w:t> </w:t>
            </w:r>
          </w:p>
        </w:tc>
        <w:tc>
          <w:tcPr>
            <w:tcW w:w="691" w:type="dxa"/>
            <w:tcBorders>
              <w:bottom w:val="single" w:sz="12" w:space="0" w:color="000000"/>
            </w:tcBorders>
            <w:shd w:fill="CCEEFF" w:val="clear"/>
            <w:vAlign w:val="center"/>
          </w:tcPr>
          <w:p>
            <w:pPr>
              <w:pStyle w:val="TableContents"/>
              <w:bidi w:val="0"/>
              <w:spacing w:before="0" w:after="283"/>
              <w:jc w:val="right"/>
              <w:rPr/>
            </w:pPr>
            <w:r>
              <w:rPr/>
              <w:t>(233</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3560" w:type="dxa"/>
            <w:tcBorders/>
            <w:tcMar>
              <w:bottom w:w="0" w:type="dxa"/>
            </w:tcMar>
            <w:vAlign w:val="center"/>
          </w:tcPr>
          <w:p>
            <w:pPr>
              <w:pStyle w:val="TableContents"/>
              <w:bidi w:val="0"/>
              <w:spacing w:before="0" w:after="283"/>
              <w:jc w:val="left"/>
              <w:rPr/>
            </w:pPr>
            <w:r>
              <w:rPr/>
              <w:t>Total discounted lease payments</w:t>
            </w:r>
          </w:p>
        </w:tc>
        <w:tc>
          <w:tcPr>
            <w:tcW w:w="90" w:type="dxa"/>
            <w:tcBorders/>
            <w:tcMar>
              <w:bottom w:w="0" w:type="dxa"/>
            </w:tcMar>
            <w:vAlign w:val="center"/>
          </w:tcPr>
          <w:p>
            <w:pPr>
              <w:pStyle w:val="TableContents"/>
              <w:bidi w:val="0"/>
              <w:spacing w:before="0" w:after="283"/>
              <w:jc w:val="left"/>
              <w:rPr/>
            </w:pPr>
            <w:r>
              <w:rPr/>
              <w:t> </w:t>
            </w:r>
          </w:p>
        </w:tc>
        <w:tc>
          <w:tcPr>
            <w:tcW w:w="199" w:type="dxa"/>
            <w:tcBorders/>
            <w:tcMar>
              <w:bottom w:w="0" w:type="dxa"/>
            </w:tcMar>
            <w:vAlign w:val="center"/>
          </w:tcPr>
          <w:p>
            <w:pPr>
              <w:pStyle w:val="TableContents"/>
              <w:bidi w:val="0"/>
              <w:spacing w:before="0" w:after="283"/>
              <w:jc w:val="left"/>
              <w:rPr/>
            </w:pPr>
            <w:r>
              <w:rPr/>
              <w:t> </w:t>
            </w:r>
          </w:p>
        </w:tc>
        <w:tc>
          <w:tcPr>
            <w:tcW w:w="691" w:type="dxa"/>
            <w:tcBorders/>
            <w:tcMar>
              <w:bottom w:w="0" w:type="dxa"/>
            </w:tcMar>
            <w:vAlign w:val="center"/>
          </w:tcPr>
          <w:p>
            <w:pPr>
              <w:pStyle w:val="TableContents"/>
              <w:bidi w:val="0"/>
              <w:spacing w:before="0" w:after="283"/>
              <w:jc w:val="right"/>
              <w:rPr/>
            </w:pPr>
            <w:r>
              <w:rPr/>
              <w:t>947</w:t>
            </w:r>
          </w:p>
        </w:tc>
        <w:tc>
          <w:tcPr>
            <w:tcW w:w="170" w:type="dxa"/>
            <w:tcBorders/>
            <w:tcMar>
              <w:bottom w:w="0" w:type="dxa"/>
            </w:tcMar>
            <w:vAlign w:val="center"/>
          </w:tcPr>
          <w:p>
            <w:pPr>
              <w:pStyle w:val="TableContents"/>
              <w:bidi w:val="0"/>
              <w:spacing w:before="0" w:after="283"/>
              <w:jc w:val="left"/>
              <w:rPr/>
            </w:pPr>
            <w:r>
              <w:rPr/>
              <w:t> </w:t>
            </w:r>
          </w:p>
        </w:tc>
      </w:tr>
      <w:tr>
        <w:trPr/>
        <w:tc>
          <w:tcPr>
            <w:tcW w:w="3560" w:type="dxa"/>
            <w:tcBorders/>
            <w:shd w:fill="CCEEFF" w:val="clear"/>
            <w:tcMar>
              <w:bottom w:w="0" w:type="dxa"/>
            </w:tcMar>
            <w:vAlign w:val="center"/>
          </w:tcPr>
          <w:p>
            <w:pPr>
              <w:pStyle w:val="TableContents"/>
              <w:bidi w:val="0"/>
              <w:spacing w:before="0" w:after="283"/>
              <w:jc w:val="left"/>
              <w:rPr/>
            </w:pPr>
            <w:r>
              <w:rPr/>
              <w:t>Less: current portion of lease liability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9" w:type="dxa"/>
            <w:tcBorders>
              <w:bottom w:val="single" w:sz="12" w:space="0" w:color="000000"/>
            </w:tcBorders>
            <w:shd w:fill="CCEEFF" w:val="clear"/>
            <w:vAlign w:val="center"/>
          </w:tcPr>
          <w:p>
            <w:pPr>
              <w:pStyle w:val="TableContents"/>
              <w:bidi w:val="0"/>
              <w:spacing w:before="0" w:after="283"/>
              <w:jc w:val="left"/>
              <w:rPr/>
            </w:pPr>
            <w:r>
              <w:rPr/>
              <w:t> </w:t>
            </w:r>
          </w:p>
        </w:tc>
        <w:tc>
          <w:tcPr>
            <w:tcW w:w="691" w:type="dxa"/>
            <w:tcBorders>
              <w:bottom w:val="single" w:sz="12" w:space="0" w:color="000000"/>
            </w:tcBorders>
            <w:shd w:fill="CCEEFF" w:val="clear"/>
            <w:vAlign w:val="center"/>
          </w:tcPr>
          <w:p>
            <w:pPr>
              <w:pStyle w:val="TableContents"/>
              <w:bidi w:val="0"/>
              <w:spacing w:before="0" w:after="283"/>
              <w:jc w:val="right"/>
              <w:rPr/>
            </w:pPr>
            <w:r>
              <w:rPr/>
              <w:t>(283</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3560" w:type="dxa"/>
            <w:tcBorders/>
            <w:tcMar>
              <w:bottom w:w="0" w:type="dxa"/>
            </w:tcMar>
            <w:vAlign w:val="center"/>
          </w:tcPr>
          <w:p>
            <w:pPr>
              <w:pStyle w:val="TableContents"/>
              <w:bidi w:val="0"/>
              <w:spacing w:before="0" w:after="283"/>
              <w:jc w:val="left"/>
              <w:rPr/>
            </w:pPr>
            <w:r>
              <w:rPr/>
              <w:t>Non-current portion of lease liability</w:t>
            </w:r>
          </w:p>
        </w:tc>
        <w:tc>
          <w:tcPr>
            <w:tcW w:w="90" w:type="dxa"/>
            <w:tcBorders/>
            <w:tcMar>
              <w:bottom w:w="0" w:type="dxa"/>
            </w:tcMar>
            <w:vAlign w:val="center"/>
          </w:tcPr>
          <w:p>
            <w:pPr>
              <w:pStyle w:val="TableContents"/>
              <w:bidi w:val="0"/>
              <w:spacing w:before="0" w:after="283"/>
              <w:jc w:val="left"/>
              <w:rPr/>
            </w:pPr>
            <w:r>
              <w:rPr/>
              <w:t> </w:t>
            </w:r>
          </w:p>
        </w:tc>
        <w:tc>
          <w:tcPr>
            <w:tcW w:w="199" w:type="dxa"/>
            <w:tcBorders>
              <w:bottom w:val="double" w:sz="10" w:space="0" w:color="000000"/>
            </w:tcBorders>
            <w:vAlign w:val="center"/>
          </w:tcPr>
          <w:p>
            <w:pPr>
              <w:pStyle w:val="TableContents"/>
              <w:bidi w:val="0"/>
              <w:spacing w:before="0" w:after="283"/>
              <w:jc w:val="left"/>
              <w:rPr/>
            </w:pPr>
            <w:r>
              <w:rPr/>
              <w:t>$</w:t>
            </w:r>
          </w:p>
        </w:tc>
        <w:tc>
          <w:tcPr>
            <w:tcW w:w="691" w:type="dxa"/>
            <w:tcBorders>
              <w:bottom w:val="double" w:sz="10" w:space="0" w:color="000000"/>
            </w:tcBorders>
            <w:vAlign w:val="center"/>
          </w:tcPr>
          <w:p>
            <w:pPr>
              <w:pStyle w:val="TableContents"/>
              <w:bidi w:val="0"/>
              <w:spacing w:before="0" w:after="283"/>
              <w:jc w:val="right"/>
              <w:rPr/>
            </w:pPr>
            <w:r>
              <w:rPr/>
              <w:t>664</w:t>
            </w:r>
          </w:p>
        </w:tc>
        <w:tc>
          <w:tcPr>
            <w:tcW w:w="17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the Company entered into a lease agreement for office space in Waltham, Massachusetts. This operating lease commenced on April 1, 2025 with an initial term of 54 months. The Company expects to pay approximately $1.6 million over the lease term.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Cell Line License Agreement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the Company entered into the Cell Line License Agreement (the “Cell Line License Agreement”) with WuXi Biologics Ireland Limited (“WuXi Biologics”). Under the Cell Line License Agreement, the Company received a non-exclusive, worldwide, sublicensable license to certain of WuXi Biologics’ know-how, cell line, biological materials (the “WuXi Biologics Licensed Technology”) and media and feeds to make, have made, use, sell and import certain therapeutic products produced through the use of the cell line licensed by WuXi Biologics under the Cell Line License Agreement (the “WuXi Biologics Licensed Products”). Specifically, the WuXi Biologics Licensed Technology is used in certain manufacturing activities in support of the ORKA-001 and ORKA-002 programs.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 license, the Company agreed to pay WuXi Biologics a non-refundable license fee of $150,000, which was recognized as a research and development expense during the period from February 6, 2024 (inception) to December 31, 2024. Additionally, to the extent that the Company manufactures its commercial supplies of bulk drug product with a manufacturer other than WuXi Biologics or its affiliates, the Company is required to make royalty payments to WuXi Biologics at a rate of less than one percent of net sales of WuXi Biologics Licensed Products manufactured by the third-party manufacturer. Pursuant to an amendment to the Cell Line License Agreement effective in November 2024, a provision was added that permits the royalties owed under the agreement to be bought out on a product-by-product basis for a lump-sum payment.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Cell Line License Agreement will continue indefinitely unless terminated (i) by the Company upon six months’ prior written notice and its payment of all undisputed amounts due to WuXi Biologics through the effective date of termination, (ii) by WuXi Biologics for a material breach by the Company that remains uncured for 60 days after written notice, (iii) by WuXi Biologics if the Company fails to make a payment and such failure continues for 30 days after receiving notice of such failure, or (iv) by either party upon the other party’s bankruptcy.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currently party to any material legal proceedings. At each reporting date, the Company evaluates whether or not a potential loss amount or a potential range of loss is probable and reasonably estimable under the provisions of FASB ASC Topic 450, Contingencies (“ASC 450”). The Company expenses as incurred the costs related to its legal proceedings.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Net Loss per Share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loss per share attributable to stockholders were calculated as follows (in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88"/>
        <w:gridCol w:w="90"/>
        <w:gridCol w:w="238"/>
        <w:gridCol w:w="1100"/>
        <w:gridCol w:w="133"/>
        <w:gridCol w:w="95"/>
        <w:gridCol w:w="102"/>
        <w:gridCol w:w="1247"/>
        <w:gridCol w:w="95"/>
        <w:gridCol w:w="95"/>
        <w:gridCol w:w="189"/>
        <w:gridCol w:w="743"/>
        <w:gridCol w:w="125"/>
        <w:gridCol w:w="90"/>
        <w:gridCol w:w="220"/>
        <w:gridCol w:w="865"/>
        <w:gridCol w:w="128"/>
        <w:gridCol w:w="92"/>
        <w:gridCol w:w="107"/>
        <w:gridCol w:w="1203"/>
        <w:gridCol w:w="92"/>
        <w:gridCol w:w="92"/>
        <w:gridCol w:w="217"/>
        <w:gridCol w:w="698"/>
        <w:gridCol w:w="161"/>
      </w:tblGrid>
      <w:tr>
        <w:trPr/>
        <w:tc>
          <w:tcPr>
            <w:tcW w:w="198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037"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Three Months Ended March 31, 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14"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Period from </w:t>
              <w:br/>
              <w:t>February 6, 2024 (Inception) to</w:t>
              <w:br/>
              <w:t>March 31, 2024</w:t>
            </w:r>
          </w:p>
        </w:tc>
        <w:tc>
          <w:tcPr>
            <w:tcW w:w="161" w:type="dxa"/>
            <w:tcBorders/>
            <w:vAlign w:val="center"/>
          </w:tcPr>
          <w:p>
            <w:pPr>
              <w:pStyle w:val="TableContents"/>
              <w:bidi w:val="0"/>
              <w:spacing w:before="0" w:after="283"/>
              <w:jc w:val="left"/>
              <w:rPr/>
            </w:pPr>
            <w:r>
              <w:rPr/>
              <w:t> </w:t>
            </w:r>
          </w:p>
        </w:tc>
      </w:tr>
      <w:tr>
        <w:trPr/>
        <w:tc>
          <w:tcPr>
            <w:tcW w:w="198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 Allocation</w:t>
            </w:r>
          </w:p>
        </w:tc>
        <w:tc>
          <w:tcPr>
            <w:tcW w:w="133"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3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Shares</w:t>
              <w:br/>
              <w:t>Outstanding</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3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 Per</w:t>
              <w:br/>
              <w:t>Share,</w:t>
              <w:br/>
              <w:t>Basic and</w:t>
              <w:br/>
              <w:t>Diluted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w:t>
              <w:br/>
              <w:t>Allocation</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Shares</w:t>
              <w:br/>
              <w:t>Outstanding</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 Per</w:t>
              <w:br/>
              <w:t>Share,</w:t>
              <w:br/>
              <w:t>Basic and</w:t>
              <w:br/>
              <w:t>Diluted</w:t>
            </w:r>
          </w:p>
        </w:tc>
        <w:tc>
          <w:tcPr>
            <w:tcW w:w="161" w:type="dxa"/>
            <w:tcBorders/>
            <w:vAlign w:val="center"/>
          </w:tcPr>
          <w:p>
            <w:pPr>
              <w:pStyle w:val="TableContents"/>
              <w:bidi w:val="0"/>
              <w:spacing w:before="0" w:after="283"/>
              <w:ind w:left="0" w:right="0" w:hanging="180"/>
              <w:jc w:val="left"/>
              <w:rPr/>
            </w:pPr>
            <w:r>
              <w:rPr/>
              <w:t> </w:t>
            </w:r>
          </w:p>
        </w:tc>
      </w:tr>
      <w:tr>
        <w:trPr/>
        <w:tc>
          <w:tcPr>
            <w:tcW w:w="1988" w:type="dxa"/>
            <w:tcBorders/>
            <w:shd w:fill="CCEEFF" w:val="clear"/>
            <w:vAlign w:val="center"/>
          </w:tcPr>
          <w:p>
            <w:pPr>
              <w:pStyle w:val="TableContents"/>
              <w:bidi w:val="0"/>
              <w:spacing w:before="0" w:after="283"/>
              <w:jc w:val="left"/>
              <w:rPr/>
            </w:pPr>
            <w:r>
              <w:rPr/>
              <w:t>Common Stock</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(16,480</w:t>
            </w:r>
          </w:p>
        </w:tc>
        <w:tc>
          <w:tcPr>
            <w:tcW w:w="133"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41,679,560</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743" w:type="dxa"/>
            <w:tcBorders/>
            <w:shd w:fill="CCEEFF" w:val="clear"/>
            <w:vAlign w:val="center"/>
          </w:tcPr>
          <w:p>
            <w:pPr>
              <w:pStyle w:val="TableContents"/>
              <w:bidi w:val="0"/>
              <w:spacing w:before="0" w:after="283"/>
              <w:jc w:val="right"/>
              <w:rPr/>
            </w:pPr>
            <w:r>
              <w:rPr/>
              <w:t>(0.40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865" w:type="dxa"/>
            <w:tcBorders/>
            <w:shd w:fill="CCEEFF" w:val="clear"/>
            <w:vAlign w:val="center"/>
          </w:tcPr>
          <w:p>
            <w:pPr>
              <w:pStyle w:val="TableContents"/>
              <w:bidi w:val="0"/>
              <w:spacing w:before="0" w:after="283"/>
              <w:jc w:val="right"/>
              <w:rPr/>
            </w:pPr>
            <w:r>
              <w:rPr/>
              <w:t>(7,077</w:t>
            </w:r>
          </w:p>
        </w:tc>
        <w:tc>
          <w:tcPr>
            <w:tcW w:w="128"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3,197,977</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698" w:type="dxa"/>
            <w:tcBorders/>
            <w:shd w:fill="CCEEFF" w:val="clear"/>
            <w:vAlign w:val="center"/>
          </w:tcPr>
          <w:p>
            <w:pPr>
              <w:pStyle w:val="TableContents"/>
              <w:bidi w:val="0"/>
              <w:spacing w:before="0" w:after="283"/>
              <w:jc w:val="right"/>
              <w:rPr/>
            </w:pPr>
            <w:r>
              <w:rPr/>
              <w:t>(2.21</w:t>
            </w:r>
          </w:p>
        </w:tc>
        <w:tc>
          <w:tcPr>
            <w:tcW w:w="161" w:type="dxa"/>
            <w:tcBorders/>
            <w:shd w:fill="CCEEFF" w:val="clear"/>
            <w:vAlign w:val="center"/>
          </w:tcPr>
          <w:p>
            <w:pPr>
              <w:pStyle w:val="TableContents"/>
              <w:bidi w:val="0"/>
              <w:spacing w:before="0" w:after="283"/>
              <w:ind w:left="0" w:right="0" w:hanging="180"/>
              <w:jc w:val="left"/>
              <w:rPr/>
            </w:pPr>
            <w:r>
              <w:rPr/>
              <w:t>)</w:t>
            </w:r>
          </w:p>
        </w:tc>
      </w:tr>
      <w:tr>
        <w:trPr/>
        <w:tc>
          <w:tcPr>
            <w:tcW w:w="19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Company Series B Preferred Stock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23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(4,519</w:t>
            </w:r>
          </w:p>
        </w:tc>
        <w:tc>
          <w:tcPr>
            <w:tcW w:w="133" w:type="dxa"/>
            <w:tcBorders/>
            <w:vAlign w:val="center"/>
          </w:tcPr>
          <w:p>
            <w:pPr>
              <w:pStyle w:val="TableContents"/>
              <w:bidi w:val="0"/>
              <w:spacing w:before="0" w:after="283"/>
              <w:jc w:val="left"/>
              <w:rPr/>
            </w:pPr>
            <w:r>
              <w:rPr/>
              <w:t>)</w:t>
            </w:r>
          </w:p>
        </w:tc>
        <w:tc>
          <w:tcPr>
            <w:tcW w:w="95"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right"/>
              <w:rPr/>
            </w:pPr>
            <w:r>
              <w:rPr/>
              <w:t>137,138</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w:t>
            </w:r>
          </w:p>
        </w:tc>
        <w:tc>
          <w:tcPr>
            <w:tcW w:w="743" w:type="dxa"/>
            <w:tcBorders/>
            <w:vAlign w:val="center"/>
          </w:tcPr>
          <w:p>
            <w:pPr>
              <w:pStyle w:val="TableContents"/>
              <w:bidi w:val="0"/>
              <w:spacing w:before="0" w:after="283"/>
              <w:jc w:val="right"/>
              <w:rPr/>
            </w:pPr>
            <w:r>
              <w:rPr/>
              <w:t>(32.95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20" w:type="dxa"/>
            <w:tcBorders>
              <w:bottom w:val="single" w:sz="12" w:space="0" w:color="000000"/>
            </w:tcBorders>
            <w:tcMar>
              <w:bottom w:w="28" w:type="dxa"/>
            </w:tcMar>
            <w:vAlign w:val="center"/>
          </w:tcPr>
          <w:p>
            <w:pPr>
              <w:pStyle w:val="TableContents"/>
              <w:bidi w:val="0"/>
              <w:spacing w:before="0" w:after="283"/>
              <w:jc w:val="left"/>
              <w:rPr/>
            </w:pPr>
            <w:r>
              <w:rPr/>
              <w:t> </w:t>
            </w:r>
          </w:p>
        </w:tc>
        <w:tc>
          <w:tcPr>
            <w:tcW w:w="865" w:type="dxa"/>
            <w:tcBorders>
              <w:bottom w:val="single" w:sz="12" w:space="0" w:color="000000"/>
            </w:tcBorders>
            <w:tcMar>
              <w:bottom w:w="28" w:type="dxa"/>
            </w:tcMar>
            <w:vAlign w:val="center"/>
          </w:tcPr>
          <w:p>
            <w:pPr>
              <w:pStyle w:val="TableContents"/>
              <w:bidi w:val="0"/>
              <w:spacing w:before="0" w:after="0"/>
              <w:jc w:val="right"/>
              <w:rPr/>
            </w:pPr>
            <w:r>
              <w:rPr/>
              <w:t>—</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0"/>
              <w:jc w:val="right"/>
              <w:rPr/>
            </w:pPr>
            <w:r>
              <w:rPr/>
              <w:t>—</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w:t>
            </w:r>
          </w:p>
        </w:tc>
        <w:tc>
          <w:tcPr>
            <w:tcW w:w="698" w:type="dxa"/>
            <w:tcBorders/>
            <w:vAlign w:val="center"/>
          </w:tcPr>
          <w:p>
            <w:pPr>
              <w:pStyle w:val="TableContents"/>
              <w:bidi w:val="0"/>
              <w:spacing w:before="0" w:after="0"/>
              <w:jc w:val="right"/>
              <w:rPr/>
            </w:pPr>
            <w:r>
              <w:rPr/>
              <w:t>—</w:t>
            </w:r>
          </w:p>
        </w:tc>
        <w:tc>
          <w:tcPr>
            <w:tcW w:w="161" w:type="dxa"/>
            <w:tcBorders/>
            <w:vAlign w:val="center"/>
          </w:tcPr>
          <w:p>
            <w:pPr>
              <w:pStyle w:val="TableContents"/>
              <w:bidi w:val="0"/>
              <w:spacing w:before="0" w:after="283"/>
              <w:ind w:left="0" w:right="0" w:hanging="180"/>
              <w:jc w:val="left"/>
              <w:rPr/>
            </w:pPr>
            <w:r>
              <w:rPr/>
              <w:t> </w:t>
            </w:r>
          </w:p>
        </w:tc>
      </w:tr>
      <w:tr>
        <w:trPr/>
        <w:tc>
          <w:tcPr>
            <w:tcW w:w="1988"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23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(20,999</w:t>
            </w:r>
          </w:p>
        </w:tc>
        <w:tc>
          <w:tcPr>
            <w:tcW w:w="133"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65" w:type="dxa"/>
            <w:tcBorders>
              <w:bottom w:val="double" w:sz="10" w:space="0" w:color="000000"/>
            </w:tcBorders>
            <w:shd w:fill="CCEEFF" w:val="clear"/>
            <w:tcMar>
              <w:bottom w:w="28" w:type="dxa"/>
            </w:tcMar>
            <w:vAlign w:val="center"/>
          </w:tcPr>
          <w:p>
            <w:pPr>
              <w:pStyle w:val="TableContents"/>
              <w:bidi w:val="0"/>
              <w:spacing w:before="0" w:after="283"/>
              <w:jc w:val="right"/>
              <w:rPr/>
            </w:pPr>
            <w:r>
              <w:rPr/>
              <w:t>(7,077</w:t>
            </w:r>
          </w:p>
        </w:tc>
        <w:tc>
          <w:tcPr>
            <w:tcW w:w="128"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698" w:type="dxa"/>
            <w:tcBorders/>
            <w:shd w:fill="CCEEFF" w:val="clear"/>
            <w:vAlign w:val="center"/>
          </w:tcPr>
          <w:p>
            <w:pPr>
              <w:pStyle w:val="TableContents"/>
              <w:bidi w:val="0"/>
              <w:spacing w:before="0" w:after="283"/>
              <w:jc w:val="right"/>
              <w:rPr/>
            </w:pPr>
            <w:r>
              <w:rPr/>
              <w:t> </w:t>
            </w:r>
          </w:p>
        </w:tc>
        <w:tc>
          <w:tcPr>
            <w:tcW w:w="16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53"/>
        <w:gridCol w:w="9847"/>
      </w:tblGrid>
      <w:tr>
        <w:trPr/>
        <w:tc>
          <w:tcPr>
            <w:tcW w:w="105"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weighted-average number of shares of as-converted Company Series B Preferred Stock used in the loss allocation was 11,428,129 for the three months ended March 31, 2025.</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computation of basic net loss per share attributable to stockholders, the amount of weighted-average shares outstanding excludes all shares of unvested restricted common stock as such shares are not considered outstanding for accounting purposes until vested. The amount of weighted-average shares outstanding includes the pre-funded warrants as the exercise price is negligible and these warrants are fully vested and exercisable.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shares of common stock that were excluded from the computation of diluted net loss per share attributable to stockholders for the periods presented because including them would have had an anti-dilutive effect were as follows:</w:t>
      </w:r>
    </w:p>
    <w:p>
      <w:pPr>
        <w:pStyle w:val="TextBody"/>
        <w:bidi w:val="0"/>
        <w:spacing w:before="0" w:after="0"/>
        <w:ind w:left="0" w:right="0" w:hanging="0"/>
        <w:jc w:val="both"/>
        <w:rPr>
          <w:caps w:val="false"/>
          <w:smallCaps w:val="false"/>
        </w:rPr>
      </w:pPr>
      <w:r>
        <w:rPr>
          <w:caps w:val="false"/>
          <w:smallCaps w:val="false"/>
        </w:rPr>
        <w:t> </w:t>
      </w:r>
    </w:p>
    <w:tbl>
      <w:tblPr>
        <w:tblW w:w="8250" w:type="dxa"/>
        <w:jc w:val="left"/>
        <w:tblInd w:w="0" w:type="dxa"/>
        <w:tblLayout w:type="fixed"/>
        <w:tblCellMar>
          <w:top w:w="0" w:type="dxa"/>
          <w:left w:w="0" w:type="dxa"/>
          <w:bottom w:w="0" w:type="dxa"/>
          <w:right w:w="0" w:type="dxa"/>
        </w:tblCellMar>
      </w:tblPr>
      <w:tblGrid>
        <w:gridCol w:w="5645"/>
        <w:gridCol w:w="90"/>
        <w:gridCol w:w="90"/>
        <w:gridCol w:w="1010"/>
        <w:gridCol w:w="90"/>
        <w:gridCol w:w="90"/>
        <w:gridCol w:w="90"/>
        <w:gridCol w:w="1010"/>
        <w:gridCol w:w="135"/>
      </w:tblGrid>
      <w:tr>
        <w:trPr/>
        <w:tc>
          <w:tcPr>
            <w:tcW w:w="56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2024</w:t>
            </w:r>
          </w:p>
        </w:tc>
        <w:tc>
          <w:tcPr>
            <w:tcW w:w="135" w:type="dxa"/>
            <w:tcBorders/>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Outstanding employee warrants to purchase common stock</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3,054,358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5645" w:type="dxa"/>
            <w:tcBorders/>
            <w:vAlign w:val="center"/>
          </w:tcPr>
          <w:p>
            <w:pPr>
              <w:pStyle w:val="TableContents"/>
              <w:bidi w:val="0"/>
              <w:spacing w:before="0" w:after="283"/>
              <w:jc w:val="left"/>
              <w:rPr/>
            </w:pPr>
            <w:r>
              <w:rPr/>
              <w:t>Outstanding unvested restricted stock awards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1,630,982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2,207,553</w:t>
            </w:r>
          </w:p>
        </w:tc>
        <w:tc>
          <w:tcPr>
            <w:tcW w:w="135" w:type="dxa"/>
            <w:tcBorders/>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Outstanding and issued common stock options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3,265,460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399,222</w:t>
            </w:r>
          </w:p>
        </w:tc>
        <w:tc>
          <w:tcPr>
            <w:tcW w:w="135" w:type="dxa"/>
            <w:tcBorders/>
            <w:shd w:fill="CCEEFF" w:val="clear"/>
            <w:vAlign w:val="center"/>
          </w:tcPr>
          <w:p>
            <w:pPr>
              <w:pStyle w:val="TableContents"/>
              <w:bidi w:val="0"/>
              <w:spacing w:before="0" w:after="283"/>
              <w:jc w:val="left"/>
              <w:rPr/>
            </w:pPr>
            <w:r>
              <w:rPr/>
              <w:t> </w:t>
            </w:r>
          </w:p>
        </w:tc>
      </w:tr>
      <w:tr>
        <w:trPr/>
        <w:tc>
          <w:tcPr>
            <w:tcW w:w="5645" w:type="dxa"/>
            <w:tcBorders/>
            <w:vAlign w:val="center"/>
          </w:tcPr>
          <w:p>
            <w:pPr>
              <w:pStyle w:val="TableContents"/>
              <w:bidi w:val="0"/>
              <w:spacing w:before="0" w:after="283"/>
              <w:jc w:val="left"/>
              <w:rPr/>
            </w:pPr>
            <w:r>
              <w:rPr/>
              <w:t>Outstanding and issued warrant to Paruka</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596,930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8,547,730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2,606,775</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Related Party Transactions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Paragon and Paruka each beneficially own less than 5% of the Company’s capital stock through their respective holdings of Company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Fairmount beneficially owns more than 5% of the Company’s capital, currently has one representative appointed to the Board, and beneficially owns more than 5% of Paragon. Fairmount appointed Paragon’s board of directors and has the contractual right to approve the appointment of any executive officers of Paragon.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related party accounts payable and other current liabilities (in thousands): </w:t>
      </w:r>
    </w:p>
    <w:p>
      <w:pPr>
        <w:pStyle w:val="TextBody"/>
        <w:bidi w:val="0"/>
        <w:spacing w:before="0" w:after="0"/>
        <w:ind w:left="0" w:right="0" w:hanging="0"/>
        <w:jc w:val="both"/>
        <w:rPr>
          <w:caps w:val="false"/>
          <w:smallCaps w:val="false"/>
        </w:rPr>
      </w:pPr>
      <w:r>
        <w:rPr>
          <w:caps w:val="false"/>
          <w:smallCaps w:val="false"/>
        </w:rPr>
        <w:t> </w:t>
      </w:r>
    </w:p>
    <w:tbl>
      <w:tblPr>
        <w:tblW w:w="7875" w:type="dxa"/>
        <w:jc w:val="left"/>
        <w:tblInd w:w="0" w:type="dxa"/>
        <w:tblLayout w:type="fixed"/>
        <w:tblCellMar>
          <w:top w:w="0" w:type="dxa"/>
          <w:left w:w="0" w:type="dxa"/>
          <w:bottom w:w="0" w:type="dxa"/>
          <w:right w:w="0" w:type="dxa"/>
        </w:tblCellMar>
      </w:tblPr>
      <w:tblGrid>
        <w:gridCol w:w="4925"/>
        <w:gridCol w:w="90"/>
        <w:gridCol w:w="322"/>
        <w:gridCol w:w="778"/>
        <w:gridCol w:w="90"/>
        <w:gridCol w:w="90"/>
        <w:gridCol w:w="323"/>
        <w:gridCol w:w="1122"/>
        <w:gridCol w:w="135"/>
      </w:tblGrid>
      <w:tr>
        <w:trPr/>
        <w:tc>
          <w:tcPr>
            <w:tcW w:w="49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135" w:type="dxa"/>
            <w:tcBorders/>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Paragon reimbursable Option Agreements’ fees</w:t>
            </w:r>
          </w:p>
        </w:tc>
        <w:tc>
          <w:tcPr>
            <w:tcW w:w="9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p>
        </w:tc>
        <w:tc>
          <w:tcPr>
            <w:tcW w:w="778" w:type="dxa"/>
            <w:tcBorders/>
            <w:shd w:fill="CCEEFF" w:val="clear"/>
            <w:vAlign w:val="center"/>
          </w:tcPr>
          <w:p>
            <w:pPr>
              <w:pStyle w:val="TableContents"/>
              <w:bidi w:val="0"/>
              <w:spacing w:before="0" w:after="283"/>
              <w:jc w:val="right"/>
              <w:rPr/>
            </w:pPr>
            <w:r>
              <w:rPr/>
              <w:t>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w:t>
            </w:r>
          </w:p>
        </w:tc>
        <w:tc>
          <w:tcPr>
            <w:tcW w:w="1122" w:type="dxa"/>
            <w:tcBorders/>
            <w:shd w:fill="CCEEFF" w:val="clear"/>
            <w:vAlign w:val="center"/>
          </w:tcPr>
          <w:p>
            <w:pPr>
              <w:pStyle w:val="TableContents"/>
              <w:bidi w:val="0"/>
              <w:spacing w:before="0" w:after="283"/>
              <w:jc w:val="right"/>
              <w:rPr/>
            </w:pPr>
            <w:r>
              <w:rPr/>
              <w:t>1,482</w:t>
            </w:r>
          </w:p>
        </w:tc>
        <w:tc>
          <w:tcPr>
            <w:tcW w:w="135" w:type="dxa"/>
            <w:tcBorders/>
            <w:shd w:fill="CCEEFF" w:val="clear"/>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before="0" w:after="283"/>
              <w:jc w:val="left"/>
              <w:rPr/>
            </w:pPr>
            <w:r>
              <w:rPr/>
              <w:t>Paragon milestone payments for Option Agreement</w:t>
            </w:r>
          </w:p>
        </w:tc>
        <w:tc>
          <w:tcPr>
            <w:tcW w:w="9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4,000</w:t>
            </w:r>
          </w:p>
        </w:tc>
        <w:tc>
          <w:tcPr>
            <w:tcW w:w="135" w:type="dxa"/>
            <w:tcBorders/>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Paragon reimbursable other research expenses</w:t>
            </w:r>
          </w:p>
        </w:tc>
        <w:tc>
          <w:tcPr>
            <w:tcW w:w="9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627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515</w:t>
            </w:r>
          </w:p>
        </w:tc>
        <w:tc>
          <w:tcPr>
            <w:tcW w:w="135" w:type="dxa"/>
            <w:tcBorders/>
            <w:shd w:fill="CCEEFF" w:val="clear"/>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before="0" w:after="283"/>
              <w:jc w:val="left"/>
              <w:rPr/>
            </w:pPr>
            <w:r>
              <w:rPr/>
              <w:t>Paragon reimbursable patent expenses</w:t>
            </w:r>
          </w:p>
        </w:tc>
        <w:tc>
          <w:tcPr>
            <w:tcW w:w="90" w:type="dxa"/>
            <w:tcBorders/>
            <w:vAlign w:val="center"/>
          </w:tcPr>
          <w:p>
            <w:pPr>
              <w:pStyle w:val="TableContents"/>
              <w:bidi w:val="0"/>
              <w:spacing w:before="0" w:after="283"/>
              <w:jc w:val="left"/>
              <w:rPr/>
            </w:pPr>
            <w:r>
              <w:rPr/>
              <w:t> </w:t>
            </w:r>
          </w:p>
        </w:tc>
        <w:tc>
          <w:tcPr>
            <w:tcW w:w="322" w:type="dxa"/>
            <w:tcBorders>
              <w:bottom w:val="single" w:sz="12" w:space="0" w:color="000000"/>
            </w:tcBorders>
            <w:tcMar>
              <w:bottom w:w="28" w:type="dxa"/>
            </w:tcMar>
            <w:vAlign w:val="center"/>
          </w:tcPr>
          <w:p>
            <w:pPr>
              <w:pStyle w:val="TableContents"/>
              <w:bidi w:val="0"/>
              <w:spacing w:before="0" w:after="283"/>
              <w:jc w:val="left"/>
              <w:rPr/>
            </w:pPr>
            <w:r>
              <w:rPr/>
              <w:t> </w:t>
            </w:r>
          </w:p>
        </w:tc>
        <w:tc>
          <w:tcPr>
            <w:tcW w:w="778" w:type="dxa"/>
            <w:tcBorders>
              <w:bottom w:val="single" w:sz="12" w:space="0" w:color="000000"/>
            </w:tcBorders>
            <w:tcMar>
              <w:bottom w:w="28" w:type="dxa"/>
            </w:tcMar>
            <w:vAlign w:val="center"/>
          </w:tcPr>
          <w:p>
            <w:pPr>
              <w:pStyle w:val="TableContents"/>
              <w:bidi w:val="0"/>
              <w:spacing w:before="0" w:after="283"/>
              <w:jc w:val="right"/>
              <w:rPr/>
            </w:pPr>
            <w:r>
              <w:rPr/>
              <w:t>110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2" w:type="dxa"/>
            <w:tcBorders>
              <w:bottom w:val="single" w:sz="12" w:space="0" w:color="000000"/>
            </w:tcBorders>
            <w:tcMar>
              <w:bottom w:w="28" w:type="dxa"/>
            </w:tcMar>
            <w:vAlign w:val="center"/>
          </w:tcPr>
          <w:p>
            <w:pPr>
              <w:pStyle w:val="TableContents"/>
              <w:bidi w:val="0"/>
              <w:spacing w:before="0" w:after="283"/>
              <w:jc w:val="right"/>
              <w:rPr/>
            </w:pPr>
            <w:r>
              <w:rPr/>
              <w:t>25</w:t>
            </w:r>
          </w:p>
        </w:tc>
        <w:tc>
          <w:tcPr>
            <w:tcW w:w="135" w:type="dxa"/>
            <w:tcBorders/>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32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78" w:type="dxa"/>
            <w:tcBorders>
              <w:bottom w:val="double" w:sz="10" w:space="0" w:color="000000"/>
            </w:tcBorders>
            <w:shd w:fill="CCEEFF" w:val="clear"/>
            <w:tcMar>
              <w:bottom w:w="28" w:type="dxa"/>
            </w:tcMar>
            <w:vAlign w:val="center"/>
          </w:tcPr>
          <w:p>
            <w:pPr>
              <w:pStyle w:val="TableContents"/>
              <w:bidi w:val="0"/>
              <w:spacing w:before="0" w:after="283"/>
              <w:jc w:val="right"/>
              <w:rPr/>
            </w:pPr>
            <w:r>
              <w:rPr/>
              <w:t>817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22" w:type="dxa"/>
            <w:tcBorders>
              <w:bottom w:val="double" w:sz="10" w:space="0" w:color="000000"/>
            </w:tcBorders>
            <w:shd w:fill="CCEEFF" w:val="clear"/>
            <w:tcMar>
              <w:bottom w:w="28" w:type="dxa"/>
            </w:tcMar>
            <w:vAlign w:val="center"/>
          </w:tcPr>
          <w:p>
            <w:pPr>
              <w:pStyle w:val="TableContents"/>
              <w:bidi w:val="0"/>
              <w:spacing w:before="0" w:after="283"/>
              <w:jc w:val="right"/>
              <w:rPr/>
            </w:pPr>
            <w:r>
              <w:rPr/>
              <w:t>6,022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read the following discussion and analysis of our financial condition and results of operations together with our unaudited condensed consolidated financial statements and the related notes included in Part 1, Item 1 of this Quarterly Report on Form 10-Q for the quarterly period ended March 31, 2025 (this “Quarterly Report”) and with the audited consolidated financial statements and related notes included in our Annual Report on Form 10-K for the fiscal year ended December 31, 2024 filed with the Securities and Exchange Commission (“SEC”) on March 6, 2025. This discussion contains forward-looking statements that involve risks and uncertainties, such as statements regarding our plans, objectives, expectations, intentions, hopes, beliefs, strategies or projections regarding the future of its pipeline and business and words such as “may,” “will,”, “should,” “could,” “would,” “expect,” “plan,” “anticipate,” “believe,” “estimate,” “project,” “potential,” “seek,” “target,” “goal,” “intend” and variations of such words and any statements that refer to projections, forecasts or other characterizations of future events or circumstances, including any underlying assumptions, and similar expressions are intended to identify forward-looking statements. You should not place undue reliance on these forward-looking statements. These forward-looking statements are based on current expectations and beliefs concerning future developments and their potential effects. There can be no assurance that future developments affecting us will be those that have been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Factors that could cause or contribute to such differences include, but are not limited to, those discussed in the section of this Quarterly Report entitled “Risk Factors” and elsewhere in this Quarterly Report. These and many other factors could affect our future financial and operating results. We undertake no obligation to update any forward-looking statement to reflect events after the date of this Quarterly Report. As used in this Quarterly Report, unless the context suggests otherwise, “we,” “us,” “our,” “the Company,” “Oruka Therapeutics, Inc.,” “Oruka,” “ARCA biopharma, Inc.,” “ARCA,” refers to Oruka Therapeutics, Inc. and its consolidated subsidiaries, taken as a whole.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 clinical-stage biopharmaceutical company focused on developing novel monoclonal antibody therapeutics for psoriasis (“PsO”) and other inflammatory and immunology (“I&amp;I”) indications. Our name is derived from </w:t>
      </w:r>
      <w:r>
        <w:rPr>
          <w:rFonts w:ascii="Times New Roman;Times;Serif" w:hAnsi="Times New Roman;Times;Serif"/>
          <w:b w:val="false"/>
          <w:i/>
          <w:caps w:val="false"/>
          <w:smallCaps w:val="false"/>
          <w:sz w:val="20"/>
        </w:rPr>
        <w:t>or</w:t>
      </w:r>
      <w:r>
        <w:rPr>
          <w:rFonts w:ascii="Times New Roman;Times;Serif" w:hAnsi="Times New Roman;Times;Serif"/>
          <w:b w:val="false"/>
          <w:i w:val="false"/>
          <w:caps w:val="false"/>
          <w:smallCaps w:val="false"/>
          <w:sz w:val="20"/>
        </w:rPr>
        <w:t xml:space="preserve">, for “skin,” and </w:t>
      </w:r>
      <w:r>
        <w:rPr>
          <w:rFonts w:ascii="Times New Roman;Times;Serif" w:hAnsi="Times New Roman;Times;Serif"/>
          <w:b w:val="false"/>
          <w:i/>
          <w:caps w:val="false"/>
          <w:smallCaps w:val="false"/>
          <w:sz w:val="20"/>
        </w:rPr>
        <w:t>arukah</w:t>
      </w:r>
      <w:r>
        <w:rPr>
          <w:rFonts w:ascii="Times New Roman;Times;Serif" w:hAnsi="Times New Roman;Times;Serif"/>
          <w:b w:val="false"/>
          <w:i w:val="false"/>
          <w:caps w:val="false"/>
          <w:smallCaps w:val="false"/>
          <w:sz w:val="20"/>
        </w:rPr>
        <w:t>, for “restoration,” and reflects our mission to deliver therapies for chronic skin diseases that provide patients the most possible freedom from their condition. Our strategy is to apply antibody engineering and format innovations to validated modes of action, which we believe will enable us to improve meaningfully upon the efficacy and dosing regimens of standard-of-care medicines while significantly reducing technical and biological risk. Our programs aim to treat and potentially modify disease by targeting mechanisms with proven efficacy and safety involved in disease pathology and the activity of pathogenic tissue-resident memory T cells.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lead program, ORKA-001, is designed to target the p19 subunit of interleukin-23 (“IL-23p19”) for the treatment of PsO. Our co-lead program, ORKA-002, is designed to target interleukin-17A and interleukin-17F (“IL-17A/F”) for the treatment of PsO, psoriatic arthritis (“PsA”), and other conditions. These programs each bind their respective targets at high affinity and incorporate half-life extension technology with the aim to increase exposure and decrease dosing frequency. We believe that our focused strategy, differentiated portfolio, and deep expertise position us to set a new treatment standard in large I&amp;I markets with continued unmet need.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in February 2024, we have devoted substantially all of our resources to raising capital, organizing and staffing the company, business and scientific planning, conducting discovery and research activities, establishing arrangements with third parties for the manufacture of our programs and component materials, and providing general and administrative support for these operations. We do not have any programs approved for sale and have not generated any revenue from product sales. To date, we have funded our operations primarily with proceeds from the issuance of convertible preferred stock, common stock, a convertible note, pre-funded warrants, and the proceeds from the reverse recapitalization and merger, our Pre-Closing Financing and subsequent PIPE Financing (as defined and further described in “Recent Developments” below).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incurred significant losses and negative cash flows from our operations. Our ability to generate product revenue sufficient to achieve profitability will depend heavily on the successful development and eventual commercialization of any programs we may develop. During the three months ended March 31, 2025, we generated net losses of $21.0 million and used net cash of $20.9 million for our operating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cash, cash equivalents, and marketable securities of $373.0 million as of March 31, 2025. We expect that our existing cash, cash equivalents, and marketable securities will be sufficient to fund our operating plans for at least twelve months from the date of filing of this Quarterly Report. We expect to continue to incur substantial losses for the foreseeable future, and our transition to profitability will depend upon successful development, approval and commercialization of our product candidates and upon achievement of sufficient revenues to support our cost structure.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ORKA-001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ORKA-001 is a high affinity, extended half-life monoclonal antibody (“mAb”) designed to target IL-23p19. IL-23 is a pro-inflammatory cytokine that plays a critical role in the proliferation and development of T helper 17 (“Th17”) cells, which are the primary drivers of several autoimmune and inflammatory disorders, including PsO. IL-23 is composed of two subunits: a p40 subunit that is shared with IL-12 and a p19 subunit that is specific to IL-23. First-generation IL-23 antibodies bound p40 and inhibited both IL-12 and IL-23 signaling, while more recent IL-23 antibodies targeting the p19 subunit have shown improved efficacy and safety. Based on preclinical evidence, we believe that ORKA-001 could achieve higher response rates than established therapies in PsO while requiring less frequent dosing and maintaining the favorable safety profile of therapies targeting IL-23p19.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ORKA-001 is engineered with YTE half-life extension technology, a specific three amino acid change in the fragment crystallizable (“Fc”) domain to modify the pH-dependent binding to the neonatal Fc receptor. As a result, it has a pharmacokinetic profile designed to support a subcutaneous injection as infrequently as once or twice a year. In addition, emerging evidence suggests that IL-23 blockade can modify the disease biology of PsO, possibly leading to durable remissions and preventing the development of PsA. We believe that the expected characteristics of ORKA-001 increase its potential to deliver these disease-modifying benefits.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initiated the dosing of healthy volunteers in a Phase 1 trial of ORKA-001 in the fourth quarter of 2024. We expect to share interim data from the first-in-human trial in healthy volunteers, including initial pharmacokinetic data, in the third quarter of 2025. Additionally, we plan to initiate a Phase 2a proof-of-concept study in the second half of 2025 and expect to share efficacy and response duration data in the second half of 2026. Based on recent precedent for PsO, we anticipate that the entire development program from first-in-human to biologics license application (“BLA”) filing could take as little as six to seven years based on the averages for recently approved medicines. However, we have no control over the length of time needed for United States Food and Drug Administration (“FDA”) review, and this timeline could vary.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ORKA-002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ORKA-002 is a high affinity, extended half-life mAb designed to target IL-17A and IL-17F (“IL-17A/F”). IL-17 inhibition has become central to the treatment of psoriatic diseases, including PsO and PsA, and has also shown efficacy in other I&amp;I indications, such as hidradenitis suppurativa and axial spondyloarthritis. More recently, the importance of inhibiting the IL-17F isoform along with IL-17A has become appreciated, and dual blockade with the recently approved therapy Bimzelx (bimekizumab) has led to higher response rates in patients than blockade of IL-17A alone. ORKA-002 is designed to bind IL-17A/F at similar epitopes, or binding sites, and affinity ranges as bimekizumab, but incorporates half-life extension technology that could enable more convenient dosing intervals. We plan to initiate the dosing of healthy volunteers in a Phase 1 trial of ORKA-002 in the second quarter of 2025. We expect to share interim data from the first-in-human trial in healthy volunteers, including initial pharmacokinetic data, around year end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view ORKA-002 and ORKA-001 as highly complementary. Patients with moderate-to-severe PsO that have purely skin manifestations are most often treated with IL-23 inhibitors due to the high efficacy and tolerability of this mechanism. However, for patients who also have joint involvement, or signs and symptoms of PsA, an IL-17 inhibitor is typically used due to its efficacy in addressing both skin and joint symptoms. In addition, IL-17 inhibitors are often used in patients with highly resistant skin symptoms that do not adequately resolve through treatment with an IL-23 inhibitor. Furthermore, we have the potential opportunity to administer ORKA-002 and ORKA-001 sequentially, called ORKA-021, to combine two features of each program: the rapid response of an IL-17 inhibitor with the ideal maintenance profile of an IL-23 inhibitor. We believe that ORKA-001 and ORKA-002 provide the potential to offer a highly compelling product profile for most patients with PsO and/or PsA, as well as the opportunity to address additional I&amp;I indications.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Pipeline Program</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third mAb program, ORKA-003, designed to target an undisclosed pathway. Our strategy as a company is to remain highly focused on I&amp;I diseases, and specifically on inflammatory dermatology conditions. Our third program provides the potential for indication expansion beyond PsO and may create combination opportunities with our more advanced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of Pre-Merger Oruka</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29, 2024 (the “Closing”), we completed the acquisition (the “Merger”) of the private company, Oruka Therapeutics, Inc. (“Pre-Merger Oruka”), a pre-clinical stage biotechnology company that was incorporated on February 6, 2024 under the direction of Peter Harwin, a Managing Member of Fairmount Funds Management LLC, for the purposes of holding rights to certain intellectual property being developed by Paragon Therapeutics, Inc. (“Paragon”). On August 29, 2024, we changed our name from “ARCA biopharma, Inc.” to “Oruka Therapeutics, Inc.” and our Nasdaq ticker symbol from “ABIO” to “ORKA”. Following consummation of the Merger, we effected a 1-for-12 reverse stock split (the “Reverse Stock Split”) of the common stock, par value $0.001 per share, of the Company (“Company Common Stock”). The Company Common Stock commenced trading on a post-Reverse Stock Split, post-Merger basis at the opening of trading on September 3, 2024.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Pre-Closing Financing and Closing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2024, certain new and existing investors of Pre-Merger Oruka entered into a subscription agreement with Pre-Merger Oruka (as amended, the “Subscription Agreement”), pursuant to which, and on the terms and subject to the conditions of which, immediately prior to the Closing, those investors purchased shares of common stock of Pre-Merger Oruka and Pre-Merger Oruka pre-funded warrants for gross proceeds of approximately $275.0 million. We incurred transaction costs of $20.5 million. At the Closing, those shares of common stock of Pre-Merger Oruka and the Pre-Merger Oruka pre-funded warrants were converted into shares of Company Common Stock and pre-funded warrants of Company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PIPE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11, 2024, we entered into a Securities Purchase Agreement for a private placement (the “PIPE Financing”) with certain institutional and accredited investors. The closing of the PIPE Financing occurred on September 13,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Purchase Agreement, the investors purchased an aggregate of 5,600,000 shares of Company Common Stock at a purchase price of $23.00 per share, an aggregate of 2,439 shares of our Series A non-voting convertible preferred stock, par value $0.001 per share (“Company Series A Preferred Stock”), at a purchase price of $23,000.00 per share (each Company Series A Preferred Stock is convertible into 1,000 shares of Company Common Stock), and pre-funded warrants to purchase an aggregate of 680,000 shares of Company Common Stock at a purchase price of $22.999 per pre-funded warrant, for aggregate net proceeds of approximately $188.7 million (net of issuance costs of $11.9 million).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Agreements and License Agreements – Paragon Therapeutics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stated above, in March 2024, we entered into two Antibody Discovery and Option Agreements with Paragon and Paruka Holding, LLC (“Paruka”) (each, an “Option Agreement”), pursuant to which we initiated certain research programs with Paragon focusing on discovering, generating, identifying and/or characterizing antibodies directed to a particular target, including for IL-23 and IL-17A/F for ORKA-001 and ORKA-002, respectively. In September 2024, we exercised our exclusive option to acquire certain rights to ORKA-001, and in December 2024, we entered into a corresponding license agreement with Paragon pursuant to which Paragon granted us a royalty-bearing, world-wide, exclusive license to develop, manufacture, commercialize or otherwise exploit certain antibodies and products targeting IL-23 in all fields other than the field of inflammatory bowel disease. In December 2024, we exercised our exclusive option to acquire certain rights to ORKA-002, and in February 2025, we entered into the corresponding license agreement with Paragon pursuant to which Paragon granted us a royalty-bearing, world-wide, exclusive license to develop, manufacture, commercialize or otherwise exploit certain antibodies and products targeting IL-17A/F in all fields (collectively, the “License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each of the two License Agreements, Paragon has agreed not to conduct any new campaigns that generate anti-IL-23 monospecific antibodies or anti-IL-17A/F monospecific antibodies in the respective agreed-upon fields. Each of the ORKA-001 and ORKA-002 License Agreements may be terminated on 60 days’ notice to Paragon, on material breach without cure, and on a party’s insolvency or bankruptcy to the extent permitted by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each of the ORKA-001 and ORKA-002 License Agreements, we are obligated to pay Paragon non-refundable milestone payments of up to $12.0 million under each respective agreement upon the achievement of certain clinical development milestones and up to $10.0 million under each respective agreement upon the achievement of certain regulatory milestones. In addition, we are obligated to pay Paragon a low single-digit percentage royalty for antibody products for each of ORKA-001 and ORKA-002. For each of the License Agreements, the royalty term ends on the later of (i) the last-to-expire licensed patent or our patent directed to the manufacture, use or sale of a licensed antibody in the country at issue or (ii) 12 years from the date of first sale of our product. There is also a royalty step-down if there is no Paragon patent in effect during the royalty term for each program.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License Agreements, as of March 31, 2025, we have incurred and expensed milestone payments of $4.0 million and $1.5 million for ORKA-001 and ORKA-002,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not generated revenue from any sources, including product sales, and do not expect to generate any revenue from the sale of products in the foreseeable future. If our development efforts for our product candidates are successful and result in regulatory approval, we may generate revenue in the future from product sales or payments from future collaboration or license agreements that we may enter into with third parties, or any combination thereof. We cannot predict if, when, or to what extent we will generate revenue from the commercialization and sale of our product candidates. We may never succeed in obtaining regulatory approval for any of our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costs incurred in connection with the development and research of our programs. These expenses include: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costs of funding research performed by third parties that conduct research and development activities on our behalf;</w:t>
            </w:r>
          </w:p>
        </w:tc>
      </w:tr>
    </w:tbl>
    <w:p>
      <w:pPr>
        <w:pStyle w:val="TextBody"/>
        <w:bidi w:val="0"/>
        <w:spacing w:before="0" w:after="0"/>
        <w:ind w:left="720" w:right="0" w:hanging="0"/>
        <w:jc w:val="both"/>
        <w:rPr>
          <w:caps w:val="false"/>
          <w:smallCaps w:val="false"/>
        </w:rPr>
      </w:pPr>
      <w:r>
        <w:rPr>
          <w:caps w:val="false"/>
          <w:smallCaps w:val="false"/>
        </w:rPr>
        <w:t> </w:t>
      </w:r>
    </w:p>
    <w:tbl>
      <w:tblPr>
        <w:tblW w:w="7608" w:type="dxa"/>
        <w:jc w:val="left"/>
        <w:tblInd w:w="0" w:type="dxa"/>
        <w:tblLayout w:type="fixed"/>
        <w:tblCellMar>
          <w:top w:w="0" w:type="dxa"/>
          <w:left w:w="0" w:type="dxa"/>
          <w:bottom w:w="0" w:type="dxa"/>
          <w:right w:w="0" w:type="dxa"/>
        </w:tblCellMar>
      </w:tblPr>
      <w:tblGrid>
        <w:gridCol w:w="68"/>
        <w:gridCol w:w="200"/>
        <w:gridCol w:w="73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costs incurred, and milestone payments under license and option agreements;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expenses incurred in connection with continuing our current research programs and discovery-phase development of any programs we may identify, including under future agreements with third parties, such as consultants and contractors;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expenses incurred under agreements with contract research organizations (“CROs”), contract manufacturing organizations (“CMOs”), and with clinical trial sites that conduct research and development activities on our behalf;</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cost of development and validating our manufacturing process for use in our preclinical studies and current and future clinical trials;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personnel-related expenses, including salaries, bonuses, employee benefits, travel, and stock-based compensation expense;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allocated human resource costs, information technology costs, and facility-related costs, including rent, maintenance, utilities, and depreciation for our leased office space.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 Our primary focus since inception has been the identification and development of our pipeline programs. Our research and development expenses primarily consist of external costs. See Note 10 to the condensed consolidated financial statements included in Part I - Item 1 of this Quarterly Report for further details on the Option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research and development expenses will increase substantially for the foreseeable future as we continue to invest in research and development activities related to the continued development of our programs, developing any future programs, including investments in manufacturing, as we advance any program we may identify and continue to conduct clinical trials. The success of programs we may identify and develop will depend on many factors, including the following:</w:t>
      </w:r>
    </w:p>
    <w:p>
      <w:pPr>
        <w:pStyle w:val="TextBody"/>
        <w:bidi w:val="0"/>
        <w:spacing w:before="0" w:after="0"/>
        <w:ind w:left="0" w:right="0" w:hanging="0"/>
        <w:jc w:val="both"/>
        <w:rPr>
          <w:caps w:val="false"/>
          <w:smallCaps w:val="false"/>
        </w:rPr>
      </w:pPr>
      <w:r>
        <w:rPr>
          <w:caps w:val="false"/>
          <w:smallCaps w:val="false"/>
        </w:rPr>
        <w:t> </w:t>
      </w:r>
    </w:p>
    <w:tbl>
      <w:tblPr>
        <w:tblW w:w="5538" w:type="dxa"/>
        <w:jc w:val="left"/>
        <w:tblInd w:w="0" w:type="dxa"/>
        <w:tblLayout w:type="fixed"/>
        <w:tblCellMar>
          <w:top w:w="0" w:type="dxa"/>
          <w:left w:w="0" w:type="dxa"/>
          <w:bottom w:w="0" w:type="dxa"/>
          <w:right w:w="0" w:type="dxa"/>
        </w:tblCellMar>
      </w:tblPr>
      <w:tblGrid>
        <w:gridCol w:w="68"/>
        <w:gridCol w:w="200"/>
        <w:gridCol w:w="52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2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timely and successful completion of preclinical studies;</w:t>
            </w:r>
          </w:p>
        </w:tc>
      </w:tr>
    </w:tbl>
    <w:p>
      <w:pPr>
        <w:pStyle w:val="TextBody"/>
        <w:bidi w:val="0"/>
        <w:spacing w:before="0" w:after="0"/>
        <w:ind w:left="774"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effective investigational new drug (“IND”) or comparable foreign applications that allow commencement of our planned clinical trials or future clinical trials for any programs we may develop;</w:t>
            </w:r>
          </w:p>
        </w:tc>
      </w:tr>
    </w:tbl>
    <w:p>
      <w:pPr>
        <w:pStyle w:val="TextBody"/>
        <w:bidi w:val="0"/>
        <w:spacing w:before="0" w:after="0"/>
        <w:ind w:left="720" w:right="0" w:hanging="0"/>
        <w:jc w:val="both"/>
        <w:rPr>
          <w:caps w:val="false"/>
          <w:smallCaps w:val="false"/>
        </w:rPr>
      </w:pPr>
      <w:r>
        <w:rPr>
          <w:caps w:val="false"/>
          <w:smallCaps w:val="false"/>
        </w:rPr>
        <w:t> </w:t>
      </w:r>
    </w:p>
    <w:tbl>
      <w:tblPr>
        <w:tblW w:w="5463" w:type="dxa"/>
        <w:jc w:val="left"/>
        <w:tblInd w:w="0" w:type="dxa"/>
        <w:tblLayout w:type="fixed"/>
        <w:tblCellMar>
          <w:top w:w="0" w:type="dxa"/>
          <w:left w:w="0" w:type="dxa"/>
          <w:bottom w:w="0" w:type="dxa"/>
          <w:right w:w="0" w:type="dxa"/>
        </w:tblCellMar>
      </w:tblPr>
      <w:tblGrid>
        <w:gridCol w:w="68"/>
        <w:gridCol w:w="200"/>
        <w:gridCol w:w="51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1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successful enrollment and completion of clinical trials;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positive results from our clinical trials that support a finding of safety and effectiveness, acceptable pharmacokinetics profile, and an acceptable risk-benefit profile in the intended populations;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tbl>
      <w:tblPr>
        <w:tblW w:w="6873" w:type="dxa"/>
        <w:jc w:val="left"/>
        <w:tblInd w:w="0" w:type="dxa"/>
        <w:tblLayout w:type="fixed"/>
        <w:tblCellMar>
          <w:top w:w="0" w:type="dxa"/>
          <w:left w:w="0" w:type="dxa"/>
          <w:bottom w:w="0" w:type="dxa"/>
          <w:right w:w="0" w:type="dxa"/>
        </w:tblCellMar>
      </w:tblPr>
      <w:tblGrid>
        <w:gridCol w:w="68"/>
        <w:gridCol w:w="200"/>
        <w:gridCol w:w="66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6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receipt of marketing approvals from applicable regulatory authorities;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establishment of arrangements through our own facilities or with third-party manufacturers for clinical supply and, where applicable, commercial manufacturing capabilities;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maintenance of a continued acceptable safety, tolerability, and efficacy profile of any programs we may develop following approval.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changes in the outcome of any of these variables with respect to the development of programs that we may identify could mean a significant change in the costs and possible delays in timing associated with the development of such programs. For example, if the FDA or another regulatory authority were to require us to conduct clinical trials beyond those that we currently anticipate will be required for the completion of clinical development of a program, or if we experience significant delays in our clinical trials due to patient enrollment or other reasons, we would be required to expend significant additional financial resources and time on the completion of clinical development. We may never obtain regulatory approval for any of our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personnel-related expenses, including salaries, bonuses, employee benefits, travel, and stock-based compensation, for our executive and other administrative personnel. Other significant general and administrative expenses include legal services, including intellectual property and corporate matters; professional fees for accounting, auditing, tax, insurance, and allocated human resource costs, information technology costs, and facility-related costs, including rent, utilities, maintenance, and depreciation for our leased office space.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general and administrative expenses will increase substantially for the foreseeable future as we anticipate an increase in our personnel headcount to support the expansion of research and development activities, as well as to support our operations generally. We also expect to continue to incur significant expenses associated with being a public company, including costs related to accounting, audit, legal, regulatory, and tax-related services associated with maintaining compliance with applicable Nasdaq and SEC requirements; director and officer insurance costs; and investor and public relations costs. We also expect to incur additional intellectual property-related expenses as we file patent applications to protect innovations arising from our research and development activities.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 Net</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(expense), net, consists of interest earned on our cash, cash equivalents, and marketable securities; interest expense on the convertible note from a related party (see discussion herein); and foreign currency transactions gains and losses. Interest expense relates to a convertible note (the “Convertible Note”) issued to Fairmount Healthcare Fund II, L.P. (“Fairmount”), a related party, in March 2024. At the effective time of the Merger, the Convertible Note, along with the accrued interest, was automatically converted into Company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for the Three Months Ended March 31, 2025 and the period from February 6 (inception) to March 31, 2024</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and comprehensive loss for the periods presented (in thousands):</w:t>
      </w:r>
    </w:p>
    <w:p>
      <w:pPr>
        <w:pStyle w:val="TextBody"/>
        <w:bidi w:val="0"/>
        <w:spacing w:before="0" w:after="0"/>
        <w:ind w:left="0" w:right="0" w:hanging="0"/>
        <w:jc w:val="both"/>
        <w:rPr>
          <w:caps w:val="false"/>
          <w:smallCaps w:val="false"/>
        </w:rPr>
      </w:pPr>
      <w:r>
        <w:rPr>
          <w:caps w:val="false"/>
          <w:smallCaps w:val="false"/>
        </w:rPr>
        <w:t> </w:t>
      </w:r>
    </w:p>
    <w:tbl>
      <w:tblPr>
        <w:tblW w:w="8779" w:type="dxa"/>
        <w:jc w:val="left"/>
        <w:tblInd w:w="0" w:type="dxa"/>
        <w:tblLayout w:type="fixed"/>
        <w:tblCellMar>
          <w:top w:w="0" w:type="dxa"/>
          <w:left w:w="0" w:type="dxa"/>
          <w:bottom w:w="0" w:type="dxa"/>
          <w:right w:w="0" w:type="dxa"/>
        </w:tblCellMar>
      </w:tblPr>
      <w:tblGrid>
        <w:gridCol w:w="3230"/>
        <w:gridCol w:w="90"/>
        <w:gridCol w:w="267"/>
        <w:gridCol w:w="1238"/>
        <w:gridCol w:w="125"/>
        <w:gridCol w:w="90"/>
        <w:gridCol w:w="287"/>
        <w:gridCol w:w="1127"/>
        <w:gridCol w:w="125"/>
        <w:gridCol w:w="90"/>
        <w:gridCol w:w="170"/>
        <w:gridCol w:w="785"/>
        <w:gridCol w:w="125"/>
        <w:gridCol w:w="90"/>
        <w:gridCol w:w="90"/>
        <w:gridCol w:w="485"/>
        <w:gridCol w:w="365"/>
      </w:tblGrid>
      <w:tr>
        <w:trPr/>
        <w:tc>
          <w:tcPr>
            <w:tcW w:w="32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vAlign w:val="center"/>
          </w:tcPr>
          <w:p>
            <w:pPr>
              <w:pStyle w:val="TableContents"/>
              <w:bidi w:val="0"/>
              <w:spacing w:before="0" w:after="283"/>
              <w:jc w:val="center"/>
              <w:rPr>
                <w:b/>
              </w:rPr>
            </w:pPr>
            <w:r>
              <w:rPr>
                <w:b/>
              </w:rPr>
              <w:t>Three Months</w:t>
              <w:br/>
              <w:t>Ended</w:t>
              <w:br/>
              <w:t>March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Period from</w:t>
              <w:br/>
              <w:t>February 6,</w:t>
              <w:br/>
              <w:t>2024</w:t>
              <w:br/>
              <w:t>(Inception) to</w:t>
              <w:br/>
              <w:t>March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36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36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Operating expenses</w:t>
            </w:r>
          </w:p>
        </w:tc>
        <w:tc>
          <w:tcPr>
            <w:tcW w:w="90" w:type="dxa"/>
            <w:tcBorders/>
            <w:vAlign w:val="center"/>
          </w:tcPr>
          <w:p>
            <w:pPr>
              <w:pStyle w:val="TableContents"/>
              <w:bidi w:val="0"/>
              <w:spacing w:before="0" w:after="283"/>
              <w:jc w:val="left"/>
              <w:rPr/>
            </w:pPr>
            <w:r>
              <w:rPr/>
              <w:t> </w:t>
            </w:r>
          </w:p>
        </w:tc>
        <w:tc>
          <w:tcPr>
            <w:tcW w:w="150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 xml:space="preserve">Research and development </w:t>
            </w:r>
            <w:r>
              <w:rPr>
                <w:position w:val="8"/>
                <w:sz w:val="19"/>
              </w:rPr>
              <w:t>(1)</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19,925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w:t>
            </w:r>
          </w:p>
        </w:tc>
        <w:tc>
          <w:tcPr>
            <w:tcW w:w="1127" w:type="dxa"/>
            <w:tcBorders/>
            <w:shd w:fill="CCEEFF" w:val="clear"/>
            <w:vAlign w:val="center"/>
          </w:tcPr>
          <w:p>
            <w:pPr>
              <w:pStyle w:val="TableContents"/>
              <w:bidi w:val="0"/>
              <w:spacing w:before="0" w:after="283"/>
              <w:jc w:val="right"/>
              <w:rPr/>
            </w:pPr>
            <w:r>
              <w:rPr/>
              <w:t>5,193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14,732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284</w:t>
            </w:r>
          </w:p>
        </w:tc>
        <w:tc>
          <w:tcPr>
            <w:tcW w:w="365" w:type="dxa"/>
            <w:tcBorders/>
            <w:shd w:fill="CCEEFF" w:val="clear"/>
            <w:vAlign w:val="center"/>
          </w:tcPr>
          <w:p>
            <w:pPr>
              <w:pStyle w:val="TableContents"/>
              <w:bidi w:val="0"/>
              <w:spacing w:before="0" w:after="283"/>
              <w:jc w:val="left"/>
              <w:rPr/>
            </w:pPr>
            <w:r>
              <w:rPr/>
              <w:t>%</w:t>
            </w:r>
          </w:p>
        </w:tc>
      </w:tr>
      <w:tr>
        <w:trPr/>
        <w:tc>
          <w:tcPr>
            <w:tcW w:w="3230" w:type="dxa"/>
            <w:tcBorders/>
            <w:vAlign w:val="center"/>
          </w:tcPr>
          <w:p>
            <w:pPr>
              <w:pStyle w:val="TableContents"/>
              <w:bidi w:val="0"/>
              <w:spacing w:before="0" w:after="283"/>
              <w:jc w:val="left"/>
              <w:rPr/>
            </w:pPr>
            <w:r>
              <w:rPr/>
              <w:t xml:space="preserve">General and administrative </w:t>
            </w:r>
            <w:r>
              <w:rPr>
                <w:position w:val="8"/>
                <w:sz w:val="19"/>
              </w:rPr>
              <w:t>(2)</w:t>
            </w:r>
          </w:p>
        </w:tc>
        <w:tc>
          <w:tcPr>
            <w:tcW w:w="90" w:type="dxa"/>
            <w:tcBorders/>
            <w:vAlign w:val="center"/>
          </w:tcPr>
          <w:p>
            <w:pPr>
              <w:pStyle w:val="TableContents"/>
              <w:bidi w:val="0"/>
              <w:spacing w:before="0" w:after="283"/>
              <w:jc w:val="left"/>
              <w:rPr/>
            </w:pPr>
            <w:r>
              <w:rPr/>
              <w:t> </w:t>
            </w:r>
          </w:p>
        </w:tc>
        <w:tc>
          <w:tcPr>
            <w:tcW w:w="26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tcMar>
              <w:bottom w:w="28" w:type="dxa"/>
            </w:tcMar>
            <w:vAlign w:val="center"/>
          </w:tcPr>
          <w:p>
            <w:pPr>
              <w:pStyle w:val="TableContents"/>
              <w:bidi w:val="0"/>
              <w:spacing w:before="0" w:after="283"/>
              <w:jc w:val="right"/>
              <w:rPr/>
            </w:pPr>
            <w:r>
              <w:rPr/>
              <w:t>5,161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7" w:type="dxa"/>
            <w:tcBorders>
              <w:bottom w:val="single" w:sz="12" w:space="0" w:color="000000"/>
            </w:tcBorders>
            <w:tcMar>
              <w:bottom w:w="28" w:type="dxa"/>
            </w:tcMar>
            <w:vAlign w:val="center"/>
          </w:tcPr>
          <w:p>
            <w:pPr>
              <w:pStyle w:val="TableContents"/>
              <w:bidi w:val="0"/>
              <w:spacing w:before="0" w:after="283"/>
              <w:jc w:val="right"/>
              <w:rPr/>
            </w:pPr>
            <w:r>
              <w:rPr/>
              <w:t>1,670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3,491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209</w:t>
            </w:r>
          </w:p>
        </w:tc>
        <w:tc>
          <w:tcPr>
            <w:tcW w:w="365" w:type="dxa"/>
            <w:tcBorders/>
            <w:vAlign w:val="center"/>
          </w:tcPr>
          <w:p>
            <w:pPr>
              <w:pStyle w:val="TableContents"/>
              <w:bidi w:val="0"/>
              <w:spacing w:before="0" w:after="283"/>
              <w:jc w:val="left"/>
              <w:rPr/>
            </w:pPr>
            <w:r>
              <w:rPr/>
              <w:t>%</w:t>
            </w:r>
          </w:p>
        </w:tc>
      </w:tr>
      <w:tr>
        <w:trPr/>
        <w:tc>
          <w:tcPr>
            <w:tcW w:w="3230" w:type="dxa"/>
            <w:tcBorders/>
            <w:shd w:fill="CCEEFF" w:val="clear"/>
            <w:vAlign w:val="center"/>
          </w:tcPr>
          <w:p>
            <w:pPr>
              <w:pStyle w:val="TableContents"/>
              <w:bidi w:val="0"/>
              <w:spacing w:before="0" w:after="283"/>
              <w:jc w:val="left"/>
              <w:rPr/>
            </w:pPr>
            <w:r>
              <w:rPr/>
              <w:t>Total operating expenses</w:t>
            </w:r>
          </w:p>
        </w:tc>
        <w:tc>
          <w:tcPr>
            <w:tcW w:w="90" w:type="dxa"/>
            <w:tcBorders/>
            <w:shd w:fill="CCEEFF" w:val="clear"/>
            <w:vAlign w:val="center"/>
          </w:tcPr>
          <w:p>
            <w:pPr>
              <w:pStyle w:val="TableContents"/>
              <w:bidi w:val="0"/>
              <w:spacing w:before="0" w:after="283"/>
              <w:jc w:val="left"/>
              <w:rPr/>
            </w:pPr>
            <w:r>
              <w:rPr/>
              <w:t> </w:t>
            </w:r>
          </w:p>
        </w:tc>
        <w:tc>
          <w:tcPr>
            <w:tcW w:w="2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center"/>
          </w:tcPr>
          <w:p>
            <w:pPr>
              <w:pStyle w:val="TableContents"/>
              <w:bidi w:val="0"/>
              <w:spacing w:before="0" w:after="283"/>
              <w:jc w:val="right"/>
              <w:rPr/>
            </w:pPr>
            <w:r>
              <w:rPr/>
              <w:t>25,086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7" w:type="dxa"/>
            <w:tcBorders>
              <w:bottom w:val="single" w:sz="12" w:space="0" w:color="000000"/>
            </w:tcBorders>
            <w:shd w:fill="CCEEFF" w:val="clear"/>
            <w:tcMar>
              <w:bottom w:w="28" w:type="dxa"/>
            </w:tcMar>
            <w:vAlign w:val="center"/>
          </w:tcPr>
          <w:p>
            <w:pPr>
              <w:pStyle w:val="TableContents"/>
              <w:bidi w:val="0"/>
              <w:spacing w:before="0" w:after="283"/>
              <w:jc w:val="right"/>
              <w:rPr/>
            </w:pPr>
            <w:r>
              <w:rPr/>
              <w:t>6,863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18,223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266</w:t>
            </w:r>
          </w:p>
        </w:tc>
        <w:tc>
          <w:tcPr>
            <w:tcW w:w="365" w:type="dxa"/>
            <w:tcBorders/>
            <w:shd w:fill="CCEEFF" w:val="clear"/>
            <w:vAlign w:val="center"/>
          </w:tcPr>
          <w:p>
            <w:pPr>
              <w:pStyle w:val="TableContents"/>
              <w:bidi w:val="0"/>
              <w:spacing w:before="0" w:after="283"/>
              <w:jc w:val="left"/>
              <w:rPr/>
            </w:pPr>
            <w:r>
              <w:rPr/>
              <w:t>%</w:t>
            </w:r>
          </w:p>
        </w:tc>
      </w:tr>
      <w:tr>
        <w:trPr/>
        <w:tc>
          <w:tcPr>
            <w:tcW w:w="3230" w:type="dxa"/>
            <w:tcBorders/>
            <w:vAlign w:val="center"/>
          </w:tcPr>
          <w:p>
            <w:pPr>
              <w:pStyle w:val="TableContents"/>
              <w:bidi w:val="0"/>
              <w:spacing w:before="0" w:after="283"/>
              <w:jc w:val="left"/>
              <w:rPr/>
            </w:pPr>
            <w:r>
              <w:rPr/>
              <w:t>Loss from operations</w:t>
            </w:r>
          </w:p>
        </w:tc>
        <w:tc>
          <w:tcPr>
            <w:tcW w:w="9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(25,086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(6,863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(18,223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266</w:t>
            </w:r>
          </w:p>
        </w:tc>
        <w:tc>
          <w:tcPr>
            <w:tcW w:w="365" w:type="dxa"/>
            <w:tcBorders/>
            <w:vAlign w:val="center"/>
          </w:tcPr>
          <w:p>
            <w:pPr>
              <w:pStyle w:val="TableContents"/>
              <w:bidi w:val="0"/>
              <w:spacing w:before="0" w:after="283"/>
              <w:jc w:val="left"/>
              <w:rPr/>
            </w:pPr>
            <w:r>
              <w:rPr/>
              <w:t>%</w:t>
            </w:r>
          </w:p>
        </w:tc>
      </w:tr>
      <w:tr>
        <w:trPr/>
        <w:tc>
          <w:tcPr>
            <w:tcW w:w="3230" w:type="dxa"/>
            <w:tcBorders/>
            <w:shd w:fill="CCEEFF" w:val="clear"/>
            <w:vAlign w:val="center"/>
          </w:tcPr>
          <w:p>
            <w:pPr>
              <w:pStyle w:val="TableContents"/>
              <w:bidi w:val="0"/>
              <w:spacing w:before="0" w:after="283"/>
              <w:jc w:val="left"/>
              <w:rPr/>
            </w:pPr>
            <w:r>
              <w:rPr/>
              <w:t>Other income (expense)</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36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Interest income</w:t>
            </w:r>
          </w:p>
        </w:tc>
        <w:tc>
          <w:tcPr>
            <w:tcW w:w="9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4,092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4,092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100</w:t>
            </w:r>
          </w:p>
        </w:tc>
        <w:tc>
          <w:tcPr>
            <w:tcW w:w="365" w:type="dxa"/>
            <w:tcBorders/>
            <w:vAlign w:val="center"/>
          </w:tcPr>
          <w:p>
            <w:pPr>
              <w:pStyle w:val="TableContents"/>
              <w:bidi w:val="0"/>
              <w:spacing w:before="0" w:after="283"/>
              <w:jc w:val="left"/>
              <w:rPr/>
            </w:pPr>
            <w:r>
              <w:rPr/>
              <w:t>%</w:t>
            </w:r>
          </w:p>
        </w:tc>
      </w:tr>
      <w:tr>
        <w:trPr/>
        <w:tc>
          <w:tcPr>
            <w:tcW w:w="3230" w:type="dxa"/>
            <w:tcBorders/>
            <w:shd w:fill="CCEEFF" w:val="clear"/>
            <w:vAlign w:val="center"/>
          </w:tcPr>
          <w:p>
            <w:pPr>
              <w:pStyle w:val="TableContents"/>
              <w:bidi w:val="0"/>
              <w:spacing w:before="0" w:after="283"/>
              <w:jc w:val="left"/>
              <w:rPr/>
            </w:pPr>
            <w:r>
              <w:rPr/>
              <w:t xml:space="preserve">Interest expense </w:t>
            </w:r>
            <w:r>
              <w:rPr>
                <w:position w:val="8"/>
                <w:sz w:val="19"/>
              </w:rPr>
              <w:t>(3)</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(214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214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(100</w:t>
            </w:r>
          </w:p>
        </w:tc>
        <w:tc>
          <w:tcPr>
            <w:tcW w:w="365" w:type="dxa"/>
            <w:tcBorders/>
            <w:shd w:fill="CCEEFF" w:val="clear"/>
            <w:vAlign w:val="center"/>
          </w:tcPr>
          <w:p>
            <w:pPr>
              <w:pStyle w:val="TableContents"/>
              <w:bidi w:val="0"/>
              <w:spacing w:before="0" w:after="283"/>
              <w:jc w:val="left"/>
              <w:rPr/>
            </w:pPr>
            <w:r>
              <w:rPr/>
              <w:t>)%</w:t>
            </w:r>
          </w:p>
        </w:tc>
      </w:tr>
      <w:tr>
        <w:trPr/>
        <w:tc>
          <w:tcPr>
            <w:tcW w:w="3230" w:type="dxa"/>
            <w:tcBorders/>
            <w:vAlign w:val="center"/>
          </w:tcPr>
          <w:p>
            <w:pPr>
              <w:pStyle w:val="TableContents"/>
              <w:bidi w:val="0"/>
              <w:spacing w:before="0" w:after="283"/>
              <w:jc w:val="left"/>
              <w:rPr/>
            </w:pPr>
            <w:r>
              <w:rPr/>
              <w:t>Other expense, net</w:t>
            </w:r>
          </w:p>
        </w:tc>
        <w:tc>
          <w:tcPr>
            <w:tcW w:w="90" w:type="dxa"/>
            <w:tcBorders/>
            <w:vAlign w:val="center"/>
          </w:tcPr>
          <w:p>
            <w:pPr>
              <w:pStyle w:val="TableContents"/>
              <w:bidi w:val="0"/>
              <w:spacing w:before="0" w:after="283"/>
              <w:jc w:val="left"/>
              <w:rPr/>
            </w:pPr>
            <w:r>
              <w:rPr/>
              <w:t> </w:t>
            </w:r>
          </w:p>
        </w:tc>
        <w:tc>
          <w:tcPr>
            <w:tcW w:w="26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tcMar>
              <w:bottom w:w="28" w:type="dxa"/>
            </w:tcMar>
            <w:vAlign w:val="center"/>
          </w:tcPr>
          <w:p>
            <w:pPr>
              <w:pStyle w:val="TableContents"/>
              <w:bidi w:val="0"/>
              <w:spacing w:before="0" w:after="283"/>
              <w:jc w:val="right"/>
              <w:rPr/>
            </w:pPr>
            <w:r>
              <w:rPr/>
              <w:t>(5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8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7"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100</w:t>
            </w:r>
          </w:p>
        </w:tc>
        <w:tc>
          <w:tcPr>
            <w:tcW w:w="365" w:type="dxa"/>
            <w:tcBorders/>
            <w:vAlign w:val="center"/>
          </w:tcPr>
          <w:p>
            <w:pPr>
              <w:pStyle w:val="TableContents"/>
              <w:bidi w:val="0"/>
              <w:spacing w:before="0" w:after="283"/>
              <w:jc w:val="left"/>
              <w:rPr/>
            </w:pPr>
            <w:r>
              <w:rPr/>
              <w:t>%</w:t>
            </w:r>
          </w:p>
        </w:tc>
      </w:tr>
      <w:tr>
        <w:trPr/>
        <w:tc>
          <w:tcPr>
            <w:tcW w:w="3230" w:type="dxa"/>
            <w:tcBorders/>
            <w:shd w:fill="CCEEFF" w:val="clear"/>
            <w:vAlign w:val="center"/>
          </w:tcPr>
          <w:p>
            <w:pPr>
              <w:pStyle w:val="TableContents"/>
              <w:bidi w:val="0"/>
              <w:spacing w:before="0" w:after="283"/>
              <w:jc w:val="left"/>
              <w:rPr/>
            </w:pPr>
            <w:r>
              <w:rPr/>
              <w:t>Total other income (expense), net</w:t>
            </w:r>
          </w:p>
        </w:tc>
        <w:tc>
          <w:tcPr>
            <w:tcW w:w="90" w:type="dxa"/>
            <w:tcBorders/>
            <w:shd w:fill="CCEEFF" w:val="clear"/>
            <w:vAlign w:val="center"/>
          </w:tcPr>
          <w:p>
            <w:pPr>
              <w:pStyle w:val="TableContents"/>
              <w:bidi w:val="0"/>
              <w:spacing w:before="0" w:after="283"/>
              <w:jc w:val="left"/>
              <w:rPr/>
            </w:pPr>
            <w:r>
              <w:rPr/>
              <w:t> </w:t>
            </w:r>
          </w:p>
        </w:tc>
        <w:tc>
          <w:tcPr>
            <w:tcW w:w="2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center"/>
          </w:tcPr>
          <w:p>
            <w:pPr>
              <w:pStyle w:val="TableContents"/>
              <w:bidi w:val="0"/>
              <w:spacing w:before="0" w:after="283"/>
              <w:jc w:val="right"/>
              <w:rPr/>
            </w:pPr>
            <w:r>
              <w:rPr/>
              <w:t>4,087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7" w:type="dxa"/>
            <w:tcBorders>
              <w:bottom w:val="single" w:sz="12" w:space="0" w:color="000000"/>
            </w:tcBorders>
            <w:shd w:fill="CCEEFF" w:val="clear"/>
            <w:tcMar>
              <w:bottom w:w="28" w:type="dxa"/>
            </w:tcMar>
            <w:vAlign w:val="center"/>
          </w:tcPr>
          <w:p>
            <w:pPr>
              <w:pStyle w:val="TableContents"/>
              <w:bidi w:val="0"/>
              <w:spacing w:before="0" w:after="283"/>
              <w:jc w:val="right"/>
              <w:rPr/>
            </w:pPr>
            <w:r>
              <w:rPr/>
              <w:t>(214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4,301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267" w:type="dxa"/>
            <w:tcBorders>
              <w:bottom w:val="double" w:sz="10" w:space="0" w:color="000000"/>
            </w:tcBorders>
            <w:tcMar>
              <w:bottom w:w="28" w:type="dxa"/>
            </w:tcMar>
            <w:vAlign w:val="center"/>
          </w:tcPr>
          <w:p>
            <w:pPr>
              <w:pStyle w:val="TableContents"/>
              <w:bidi w:val="0"/>
              <w:spacing w:before="0" w:after="283"/>
              <w:jc w:val="left"/>
              <w:rPr/>
            </w:pPr>
            <w:r>
              <w:rPr/>
              <w:t>$</w:t>
            </w:r>
          </w:p>
        </w:tc>
        <w:tc>
          <w:tcPr>
            <w:tcW w:w="1238" w:type="dxa"/>
            <w:tcBorders>
              <w:bottom w:val="double" w:sz="10" w:space="0" w:color="000000"/>
            </w:tcBorders>
            <w:tcMar>
              <w:bottom w:w="28" w:type="dxa"/>
            </w:tcMar>
            <w:vAlign w:val="center"/>
          </w:tcPr>
          <w:p>
            <w:pPr>
              <w:pStyle w:val="TableContents"/>
              <w:bidi w:val="0"/>
              <w:spacing w:before="0" w:after="283"/>
              <w:jc w:val="right"/>
              <w:rPr/>
            </w:pPr>
            <w:r>
              <w:rPr/>
              <w:t>(20,999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87" w:type="dxa"/>
            <w:tcBorders>
              <w:bottom w:val="double" w:sz="10" w:space="0" w:color="000000"/>
            </w:tcBorders>
            <w:tcMar>
              <w:bottom w:w="28" w:type="dxa"/>
            </w:tcMar>
            <w:vAlign w:val="center"/>
          </w:tcPr>
          <w:p>
            <w:pPr>
              <w:pStyle w:val="TableContents"/>
              <w:bidi w:val="0"/>
              <w:spacing w:before="0" w:after="283"/>
              <w:jc w:val="left"/>
              <w:rPr/>
            </w:pPr>
            <w:r>
              <w:rPr/>
              <w:t>$</w:t>
            </w:r>
          </w:p>
        </w:tc>
        <w:tc>
          <w:tcPr>
            <w:tcW w:w="1127" w:type="dxa"/>
            <w:tcBorders>
              <w:bottom w:val="double" w:sz="10" w:space="0" w:color="000000"/>
            </w:tcBorders>
            <w:tcMar>
              <w:bottom w:w="28" w:type="dxa"/>
            </w:tcMar>
            <w:vAlign w:val="center"/>
          </w:tcPr>
          <w:p>
            <w:pPr>
              <w:pStyle w:val="TableContents"/>
              <w:bidi w:val="0"/>
              <w:spacing w:before="0" w:after="283"/>
              <w:jc w:val="right"/>
              <w:rPr/>
            </w:pPr>
            <w:r>
              <w:rPr/>
              <w:t>(7,077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85" w:type="dxa"/>
            <w:tcBorders>
              <w:bottom w:val="double" w:sz="10" w:space="0" w:color="000000"/>
            </w:tcBorders>
            <w:tcMar>
              <w:bottom w:w="28" w:type="dxa"/>
            </w:tcMar>
            <w:vAlign w:val="center"/>
          </w:tcPr>
          <w:p>
            <w:pPr>
              <w:pStyle w:val="TableContents"/>
              <w:bidi w:val="0"/>
              <w:spacing w:before="0" w:after="283"/>
              <w:jc w:val="right"/>
              <w:rPr/>
            </w:pPr>
            <w:r>
              <w:rPr/>
              <w:t>(13,922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197</w:t>
            </w:r>
          </w:p>
        </w:tc>
        <w:tc>
          <w:tcPr>
            <w:tcW w:w="36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2853" w:type="dxa"/>
        <w:jc w:val="left"/>
        <w:tblInd w:w="0" w:type="dxa"/>
        <w:tblLayout w:type="fixed"/>
        <w:tblCellMar>
          <w:top w:w="0" w:type="dxa"/>
          <w:left w:w="0" w:type="dxa"/>
          <w:bottom w:w="0" w:type="dxa"/>
          <w:right w:w="0" w:type="dxa"/>
        </w:tblCellMar>
      </w:tblPr>
      <w:tblGrid>
        <w:gridCol w:w="68"/>
        <w:gridCol w:w="170"/>
        <w:gridCol w:w="2615"/>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both"/>
              <w:rPr/>
            </w:pPr>
            <w:r>
              <w:rPr/>
              <w:t>Percentage not meaningful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amounts of $2,122 and $5,051 for the three months ended March 31, 2025 and the period from February 6, 2024 (inception) to March 31, 2024,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amounts of $110 and $848 for the three months ended March 31, 2025 and the period from February 6, 2024 (inception) to March 31, 2024,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3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related party amounts of nil and $214 for the three months ended March 31, 2025 and the period from February 6, 2024 (inception) to March 31, 2024, respectively</w:t>
            </w:r>
          </w:p>
        </w:tc>
      </w:tr>
    </w:tbl>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research and development expenses for the periods presented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99"/>
        <w:gridCol w:w="90"/>
        <w:gridCol w:w="274"/>
        <w:gridCol w:w="1149"/>
        <w:gridCol w:w="90"/>
        <w:gridCol w:w="90"/>
        <w:gridCol w:w="307"/>
        <w:gridCol w:w="1073"/>
        <w:gridCol w:w="90"/>
        <w:gridCol w:w="90"/>
        <w:gridCol w:w="170"/>
        <w:gridCol w:w="710"/>
        <w:gridCol w:w="90"/>
        <w:gridCol w:w="90"/>
        <w:gridCol w:w="90"/>
        <w:gridCol w:w="410"/>
        <w:gridCol w:w="293"/>
      </w:tblGrid>
      <w:tr>
        <w:trPr/>
        <w:tc>
          <w:tcPr>
            <w:tcW w:w="5099"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23" w:type="dxa"/>
            <w:gridSpan w:val="2"/>
            <w:tcBorders/>
            <w:vAlign w:val="center"/>
          </w:tcPr>
          <w:p>
            <w:pPr>
              <w:pStyle w:val="TableContents"/>
              <w:bidi w:val="0"/>
              <w:spacing w:before="0" w:after="283"/>
              <w:jc w:val="center"/>
              <w:rPr>
                <w:b/>
              </w:rPr>
            </w:pPr>
            <w:r>
              <w:rPr>
                <w:b/>
              </w:rPr>
              <w:t>Three Months</w:t>
              <w:br/>
              <w:t>Ended</w:t>
              <w:br/>
              <w:t>March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0" w:type="dxa"/>
            <w:gridSpan w:val="2"/>
            <w:tcBorders/>
            <w:vAlign w:val="center"/>
          </w:tcPr>
          <w:p>
            <w:pPr>
              <w:pStyle w:val="TableContents"/>
              <w:bidi w:val="0"/>
              <w:spacing w:before="0" w:after="283"/>
              <w:jc w:val="center"/>
              <w:rPr/>
            </w:pPr>
            <w:r>
              <w:rPr/>
              <w:t> </w:t>
            </w:r>
            <w:r>
              <w:rPr>
                <w:b/>
              </w:rPr>
              <w:t>Period from</w:t>
              <w:br/>
              <w:t>February 6,</w:t>
              <w:br/>
              <w:t>2024</w:t>
              <w:br/>
              <w:t>(Inception) to</w:t>
              <w:br/>
              <w:t>March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293" w:type="dxa"/>
            <w:tcBorders/>
            <w:vAlign w:val="center"/>
          </w:tcPr>
          <w:p>
            <w:pPr>
              <w:pStyle w:val="TableContents"/>
              <w:bidi w:val="0"/>
              <w:spacing w:before="0" w:after="283"/>
              <w:jc w:val="left"/>
              <w:rPr/>
            </w:pPr>
            <w:r>
              <w:rPr/>
              <w:t> </w:t>
            </w:r>
          </w:p>
        </w:tc>
      </w:tr>
      <w:tr>
        <w:trPr/>
        <w:tc>
          <w:tcPr>
            <w:tcW w:w="5099"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93" w:type="dxa"/>
            <w:tcBorders/>
            <w:vAlign w:val="center"/>
          </w:tcPr>
          <w:p>
            <w:pPr>
              <w:pStyle w:val="TableContents"/>
              <w:bidi w:val="0"/>
              <w:spacing w:before="0" w:after="283"/>
              <w:jc w:val="left"/>
              <w:rPr/>
            </w:pPr>
            <w:r>
              <w:rPr/>
              <w:t> </w:t>
            </w:r>
          </w:p>
        </w:tc>
      </w:tr>
      <w:tr>
        <w:trPr/>
        <w:tc>
          <w:tcPr>
            <w:tcW w:w="5099" w:type="dxa"/>
            <w:tcBorders/>
            <w:shd w:fill="CCEEFF" w:val="clear"/>
            <w:vAlign w:val="center"/>
          </w:tcPr>
          <w:p>
            <w:pPr>
              <w:pStyle w:val="TableContents"/>
              <w:bidi w:val="0"/>
              <w:spacing w:before="0" w:after="283"/>
              <w:jc w:val="left"/>
              <w:rPr/>
            </w:pPr>
            <w:r>
              <w:rPr/>
              <w:t>External research and development expenses</w:t>
            </w:r>
            <w:r>
              <w:rPr>
                <w:position w:val="8"/>
                <w:sz w:val="19"/>
              </w:rPr>
              <w:t>(1)</w:t>
            </w:r>
          </w:p>
        </w:tc>
        <w:tc>
          <w:tcPr>
            <w:tcW w:w="9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p>
        </w:tc>
        <w:tc>
          <w:tcPr>
            <w:tcW w:w="1149" w:type="dxa"/>
            <w:tcBorders/>
            <w:shd w:fill="CCEEFF" w:val="clear"/>
            <w:vAlign w:val="center"/>
          </w:tcPr>
          <w:p>
            <w:pPr>
              <w:pStyle w:val="TableContents"/>
              <w:bidi w:val="0"/>
              <w:spacing w:before="0" w:after="283"/>
              <w:jc w:val="right"/>
              <w:rPr/>
            </w:pPr>
            <w:r>
              <w:rPr/>
              <w:t>13,610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w:t>
            </w:r>
          </w:p>
        </w:tc>
        <w:tc>
          <w:tcPr>
            <w:tcW w:w="1073" w:type="dxa"/>
            <w:tcBorders/>
            <w:shd w:fill="CCEEFF" w:val="clear"/>
            <w:vAlign w:val="center"/>
          </w:tcPr>
          <w:p>
            <w:pPr>
              <w:pStyle w:val="TableContents"/>
              <w:bidi w:val="0"/>
              <w:spacing w:before="0" w:after="283"/>
              <w:jc w:val="right"/>
              <w:rPr/>
            </w:pPr>
            <w:r>
              <w:rPr/>
              <w:t>4,905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8,705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177</w:t>
            </w:r>
          </w:p>
        </w:tc>
        <w:tc>
          <w:tcPr>
            <w:tcW w:w="293" w:type="dxa"/>
            <w:tcBorders/>
            <w:shd w:fill="CCEEFF" w:val="clear"/>
            <w:vAlign w:val="center"/>
          </w:tcPr>
          <w:p>
            <w:pPr>
              <w:pStyle w:val="TableContents"/>
              <w:bidi w:val="0"/>
              <w:spacing w:before="0" w:after="283"/>
              <w:jc w:val="left"/>
              <w:rPr/>
            </w:pPr>
            <w:r>
              <w:rPr/>
              <w:t>%</w:t>
            </w:r>
          </w:p>
        </w:tc>
      </w:tr>
      <w:tr>
        <w:trPr/>
        <w:tc>
          <w:tcPr>
            <w:tcW w:w="5099" w:type="dxa"/>
            <w:tcBorders/>
            <w:vAlign w:val="center"/>
          </w:tcPr>
          <w:p>
            <w:pPr>
              <w:pStyle w:val="TableContents"/>
              <w:bidi w:val="0"/>
              <w:spacing w:before="0" w:after="283"/>
              <w:jc w:val="left"/>
              <w:rPr/>
            </w:pPr>
            <w:r>
              <w:rPr/>
              <w:t>Other research and development expenses:</w:t>
            </w:r>
          </w:p>
        </w:tc>
        <w:tc>
          <w:tcPr>
            <w:tcW w:w="9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 </w:t>
            </w:r>
          </w:p>
        </w:tc>
        <w:tc>
          <w:tcPr>
            <w:tcW w:w="293" w:type="dxa"/>
            <w:tcBorders/>
            <w:vAlign w:val="center"/>
          </w:tcPr>
          <w:p>
            <w:pPr>
              <w:pStyle w:val="TableContents"/>
              <w:bidi w:val="0"/>
              <w:spacing w:before="0" w:after="283"/>
              <w:jc w:val="left"/>
              <w:rPr/>
            </w:pPr>
            <w:r>
              <w:rPr/>
              <w:t> </w:t>
            </w:r>
          </w:p>
        </w:tc>
      </w:tr>
      <w:tr>
        <w:trPr/>
        <w:tc>
          <w:tcPr>
            <w:tcW w:w="5099" w:type="dxa"/>
            <w:tcBorders/>
            <w:shd w:fill="CCEEFF" w:val="clear"/>
            <w:vAlign w:val="center"/>
          </w:tcPr>
          <w:p>
            <w:pPr>
              <w:pStyle w:val="TableContents"/>
              <w:bidi w:val="0"/>
              <w:spacing w:before="0" w:after="283"/>
              <w:jc w:val="left"/>
              <w:rPr/>
            </w:pPr>
            <w:r>
              <w:rPr/>
              <w:t>Personnel-related (excluding stock-based compensation)</w:t>
            </w:r>
            <w:r>
              <w:rPr>
                <w:position w:val="8"/>
                <w:sz w:val="19"/>
              </w:rPr>
              <w:t>(2)</w:t>
            </w:r>
          </w:p>
        </w:tc>
        <w:tc>
          <w:tcPr>
            <w:tcW w:w="9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2,463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194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2,269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 </w:t>
            </w:r>
            <w:r>
              <w:rPr/>
              <w:t>*</w:t>
            </w:r>
          </w:p>
        </w:tc>
        <w:tc>
          <w:tcPr>
            <w:tcW w:w="293" w:type="dxa"/>
            <w:tcBorders/>
            <w:shd w:fill="CCEEFF" w:val="clear"/>
            <w:vAlign w:val="center"/>
          </w:tcPr>
          <w:p>
            <w:pPr>
              <w:pStyle w:val="TableContents"/>
              <w:bidi w:val="0"/>
              <w:spacing w:before="0" w:after="283"/>
              <w:jc w:val="left"/>
              <w:rPr/>
            </w:pPr>
            <w:r>
              <w:rPr/>
              <w:t> </w:t>
            </w:r>
          </w:p>
        </w:tc>
      </w:tr>
      <w:tr>
        <w:trPr/>
        <w:tc>
          <w:tcPr>
            <w:tcW w:w="5099" w:type="dxa"/>
            <w:tcBorders/>
            <w:vAlign w:val="center"/>
          </w:tcPr>
          <w:p>
            <w:pPr>
              <w:pStyle w:val="TableContents"/>
              <w:bidi w:val="0"/>
              <w:spacing w:before="0" w:after="283"/>
              <w:jc w:val="left"/>
              <w:rPr/>
            </w:pPr>
            <w:r>
              <w:rPr/>
              <w:t>Stock-based compensation</w:t>
            </w:r>
            <w:r>
              <w:rPr>
                <w:position w:val="8"/>
                <w:sz w:val="19"/>
              </w:rPr>
              <w:t>(3)</w:t>
            </w:r>
          </w:p>
        </w:tc>
        <w:tc>
          <w:tcPr>
            <w:tcW w:w="9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3,003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70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2,933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 </w:t>
            </w:r>
            <w:r>
              <w:rPr/>
              <w:t>*</w:t>
            </w:r>
          </w:p>
        </w:tc>
        <w:tc>
          <w:tcPr>
            <w:tcW w:w="293" w:type="dxa"/>
            <w:tcBorders/>
            <w:vAlign w:val="center"/>
          </w:tcPr>
          <w:p>
            <w:pPr>
              <w:pStyle w:val="TableContents"/>
              <w:bidi w:val="0"/>
              <w:spacing w:before="0" w:after="283"/>
              <w:jc w:val="left"/>
              <w:rPr/>
            </w:pPr>
            <w:r>
              <w:rPr/>
              <w:t> </w:t>
            </w:r>
          </w:p>
        </w:tc>
      </w:tr>
      <w:tr>
        <w:trPr/>
        <w:tc>
          <w:tcPr>
            <w:tcW w:w="5099" w:type="dxa"/>
            <w:tcBorders/>
            <w:shd w:fill="CCEEFF" w:val="clear"/>
            <w:vAlign w:val="center"/>
          </w:tcPr>
          <w:p>
            <w:pPr>
              <w:pStyle w:val="TableContents"/>
              <w:bidi w:val="0"/>
              <w:spacing w:before="0" w:after="283"/>
              <w:jc w:val="left"/>
              <w:rPr/>
            </w:pPr>
            <w:r>
              <w:rPr/>
              <w:t>Other</w:t>
            </w:r>
          </w:p>
        </w:tc>
        <w:tc>
          <w:tcPr>
            <w:tcW w:w="90" w:type="dxa"/>
            <w:tcBorders/>
            <w:shd w:fill="CCEEFF" w:val="clear"/>
            <w:vAlign w:val="center"/>
          </w:tcPr>
          <w:p>
            <w:pPr>
              <w:pStyle w:val="TableContents"/>
              <w:bidi w:val="0"/>
              <w:spacing w:before="0" w:after="283"/>
              <w:jc w:val="left"/>
              <w:rPr/>
            </w:pPr>
            <w:r>
              <w:rPr/>
              <w:t> </w:t>
            </w:r>
          </w:p>
        </w:tc>
        <w:tc>
          <w:tcPr>
            <w:tcW w:w="2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9" w:type="dxa"/>
            <w:tcBorders>
              <w:bottom w:val="single" w:sz="12" w:space="0" w:color="000000"/>
            </w:tcBorders>
            <w:shd w:fill="CCEEFF" w:val="clear"/>
            <w:tcMar>
              <w:bottom w:w="28" w:type="dxa"/>
            </w:tcMar>
            <w:vAlign w:val="center"/>
          </w:tcPr>
          <w:p>
            <w:pPr>
              <w:pStyle w:val="TableContents"/>
              <w:bidi w:val="0"/>
              <w:spacing w:before="0" w:after="283"/>
              <w:jc w:val="right"/>
              <w:rPr/>
            </w:pPr>
            <w:r>
              <w:rPr/>
              <w:t>849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3" w:type="dxa"/>
            <w:tcBorders>
              <w:bottom w:val="single" w:sz="12" w:space="0" w:color="000000"/>
            </w:tcBorders>
            <w:shd w:fill="CCEEFF" w:val="clear"/>
            <w:tcMar>
              <w:bottom w:w="28" w:type="dxa"/>
            </w:tcMar>
            <w:vAlign w:val="center"/>
          </w:tcPr>
          <w:p>
            <w:pPr>
              <w:pStyle w:val="TableContents"/>
              <w:bidi w:val="0"/>
              <w:spacing w:before="0" w:after="283"/>
              <w:jc w:val="right"/>
              <w:rPr/>
            </w:pPr>
            <w:r>
              <w:rPr/>
              <w:t>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825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 </w:t>
            </w:r>
            <w:r>
              <w:rPr/>
              <w:t>*</w:t>
            </w:r>
          </w:p>
        </w:tc>
        <w:tc>
          <w:tcPr>
            <w:tcW w:w="293" w:type="dxa"/>
            <w:tcBorders/>
            <w:shd w:fill="CCEEFF" w:val="clear"/>
            <w:vAlign w:val="center"/>
          </w:tcPr>
          <w:p>
            <w:pPr>
              <w:pStyle w:val="TableContents"/>
              <w:bidi w:val="0"/>
              <w:spacing w:before="0" w:after="283"/>
              <w:jc w:val="left"/>
              <w:rPr/>
            </w:pPr>
            <w:r>
              <w:rPr/>
              <w:t> </w:t>
            </w:r>
          </w:p>
        </w:tc>
      </w:tr>
      <w:tr>
        <w:trPr/>
        <w:tc>
          <w:tcPr>
            <w:tcW w:w="5099" w:type="dxa"/>
            <w:tcBorders/>
            <w:vAlign w:val="center"/>
          </w:tcPr>
          <w:p>
            <w:pPr>
              <w:pStyle w:val="TableContents"/>
              <w:bidi w:val="0"/>
              <w:spacing w:before="0" w:after="283"/>
              <w:jc w:val="left"/>
              <w:rPr/>
            </w:pPr>
            <w:r>
              <w:rPr/>
              <w:t>Total research and development expenses</w:t>
            </w:r>
          </w:p>
        </w:tc>
        <w:tc>
          <w:tcPr>
            <w:tcW w:w="90" w:type="dxa"/>
            <w:tcBorders/>
            <w:vAlign w:val="center"/>
          </w:tcPr>
          <w:p>
            <w:pPr>
              <w:pStyle w:val="TableContents"/>
              <w:bidi w:val="0"/>
              <w:spacing w:before="0" w:after="283"/>
              <w:jc w:val="left"/>
              <w:rPr/>
            </w:pPr>
            <w:r>
              <w:rPr/>
              <w:t> </w:t>
            </w:r>
          </w:p>
        </w:tc>
        <w:tc>
          <w:tcPr>
            <w:tcW w:w="274" w:type="dxa"/>
            <w:tcBorders>
              <w:bottom w:val="double" w:sz="10" w:space="0" w:color="000000"/>
            </w:tcBorders>
            <w:tcMar>
              <w:bottom w:w="28" w:type="dxa"/>
            </w:tcMar>
            <w:vAlign w:val="center"/>
          </w:tcPr>
          <w:p>
            <w:pPr>
              <w:pStyle w:val="TableContents"/>
              <w:bidi w:val="0"/>
              <w:spacing w:before="0" w:after="283"/>
              <w:jc w:val="left"/>
              <w:rPr/>
            </w:pPr>
            <w:r>
              <w:rPr/>
              <w:t>$</w:t>
            </w:r>
          </w:p>
        </w:tc>
        <w:tc>
          <w:tcPr>
            <w:tcW w:w="1149" w:type="dxa"/>
            <w:tcBorders>
              <w:bottom w:val="double" w:sz="10" w:space="0" w:color="000000"/>
            </w:tcBorders>
            <w:tcMar>
              <w:bottom w:w="28" w:type="dxa"/>
            </w:tcMar>
            <w:vAlign w:val="center"/>
          </w:tcPr>
          <w:p>
            <w:pPr>
              <w:pStyle w:val="TableContents"/>
              <w:bidi w:val="0"/>
              <w:spacing w:before="0" w:after="283"/>
              <w:jc w:val="right"/>
              <w:rPr/>
            </w:pPr>
            <w:r>
              <w:rPr/>
              <w:t>19,925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7" w:type="dxa"/>
            <w:tcBorders>
              <w:bottom w:val="double" w:sz="10" w:space="0" w:color="000000"/>
            </w:tcBorders>
            <w:tcMar>
              <w:bottom w:w="28" w:type="dxa"/>
            </w:tcMar>
            <w:vAlign w:val="center"/>
          </w:tcPr>
          <w:p>
            <w:pPr>
              <w:pStyle w:val="TableContents"/>
              <w:bidi w:val="0"/>
              <w:spacing w:before="0" w:after="283"/>
              <w:jc w:val="left"/>
              <w:rPr/>
            </w:pPr>
            <w:r>
              <w:rPr/>
              <w:t>$</w:t>
            </w:r>
          </w:p>
        </w:tc>
        <w:tc>
          <w:tcPr>
            <w:tcW w:w="1073" w:type="dxa"/>
            <w:tcBorders>
              <w:bottom w:val="double" w:sz="10" w:space="0" w:color="000000"/>
            </w:tcBorders>
            <w:tcMar>
              <w:bottom w:w="28" w:type="dxa"/>
            </w:tcMar>
            <w:vAlign w:val="center"/>
          </w:tcPr>
          <w:p>
            <w:pPr>
              <w:pStyle w:val="TableContents"/>
              <w:bidi w:val="0"/>
              <w:spacing w:before="0" w:after="283"/>
              <w:jc w:val="right"/>
              <w:rPr/>
            </w:pPr>
            <w:r>
              <w:rPr/>
              <w:t>5,193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tcMar>
              <w:bottom w:w="28" w:type="dxa"/>
            </w:tcMar>
            <w:vAlign w:val="center"/>
          </w:tcPr>
          <w:p>
            <w:pPr>
              <w:pStyle w:val="TableContents"/>
              <w:bidi w:val="0"/>
              <w:spacing w:before="0" w:after="283"/>
              <w:jc w:val="right"/>
              <w:rPr/>
            </w:pPr>
            <w:r>
              <w:rPr/>
              <w:t>14,732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284</w:t>
            </w:r>
          </w:p>
        </w:tc>
        <w:tc>
          <w:tcPr>
            <w:tcW w:w="293"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2853" w:type="dxa"/>
        <w:jc w:val="left"/>
        <w:tblInd w:w="0" w:type="dxa"/>
        <w:tblLayout w:type="fixed"/>
        <w:tblCellMar>
          <w:top w:w="0" w:type="dxa"/>
          <w:left w:w="0" w:type="dxa"/>
          <w:bottom w:w="0" w:type="dxa"/>
          <w:right w:w="0" w:type="dxa"/>
        </w:tblCellMar>
      </w:tblPr>
      <w:tblGrid>
        <w:gridCol w:w="68"/>
        <w:gridCol w:w="170"/>
        <w:gridCol w:w="2615"/>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both"/>
              <w:rPr/>
            </w:pPr>
            <w:r>
              <w:rPr/>
              <w:t>Percentage not meaningful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related party amounts of $707 and $4,905 for the three months ended March 31, 2025 and the period from February 6, 2024 (inception) to March 31, 2024,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3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related party amounts of nil and $78 for the three months ended March 31, 2025 and the period from February 6, 2024 (inception) to March 31, 2024, respectively</w:t>
            </w:r>
          </w:p>
          <w:p>
            <w:pPr>
              <w:pStyle w:val="TableContents"/>
              <w:bidi w:val="0"/>
              <w:spacing w:before="0" w:after="283"/>
              <w:jc w:val="both"/>
              <w:rPr/>
            </w:pPr>
            <w:r>
              <w:rPr/>
              <w:t> </w:t>
            </w:r>
          </w:p>
        </w:tc>
      </w:tr>
      <w:tr>
        <w:trPr/>
        <w:tc>
          <w:tcPr>
            <w:tcW w:w="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amounts of $1,415 and $68 for the three months ended March 31, 2025 and the period from February 6, 2024 (inception) to March 31, 2024,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increased by $14.7 million, from $5.2 million for the period from February 6, 2024 (inception) to March 31, 2024 to $19.9 million for the three months ended March 31,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External CROs, CMOs and other third-party preclinical studies and clinical trials expenses increased by $8.7 million, from $4.9 million for the period from February 6, 2024 (inception) to March 31, 2024 to $13.6 million for the three months ended March 31, 2025. The increase is primarily related to increased CMO product development and manufacturing expenses, increase in our CRO expenses related to our ongoing clinical trials and toxicology studies, partially offset by reduction of research expenses incurred by Paragon.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payroll and related expenses increased by $2.3 million, from $0.2 million for the period from February 6, 2024 (inception) to March 31, 2024 to $2.5 million for the three months ended March 31, 2025, as we continue hiring employees in our research and development organization. Stock-based compensation expenses increased by $2.9 million, from $0.1 million for the period from February 6, 2024 (inception) to March 31, 2024 to $3.0 million for the three months ended March 31, 2025. The increase in stock-based compensation expenses is related to $1.3 million of increase in Paruka warrant liability under the Options Agreement (“Paruka Warrant Obligation”) and $1.6 million related to the increase in employee awards. Facilities and allocated overhead expenses increased by $0.8 million, as we commenced using our leased office space from June 2024 and increased our research and development headcount.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general and administrative expenses for the periods presented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93"/>
        <w:gridCol w:w="90"/>
        <w:gridCol w:w="320"/>
        <w:gridCol w:w="1119"/>
        <w:gridCol w:w="90"/>
        <w:gridCol w:w="90"/>
        <w:gridCol w:w="309"/>
        <w:gridCol w:w="1080"/>
        <w:gridCol w:w="90"/>
        <w:gridCol w:w="90"/>
        <w:gridCol w:w="170"/>
        <w:gridCol w:w="590"/>
        <w:gridCol w:w="90"/>
        <w:gridCol w:w="90"/>
        <w:gridCol w:w="90"/>
        <w:gridCol w:w="410"/>
        <w:gridCol w:w="294"/>
      </w:tblGrid>
      <w:tr>
        <w:trPr/>
        <w:tc>
          <w:tcPr>
            <w:tcW w:w="5193"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39" w:type="dxa"/>
            <w:gridSpan w:val="2"/>
            <w:tcBorders/>
            <w:vAlign w:val="center"/>
          </w:tcPr>
          <w:p>
            <w:pPr>
              <w:pStyle w:val="TableContents"/>
              <w:bidi w:val="0"/>
              <w:spacing w:before="0" w:after="283"/>
              <w:jc w:val="center"/>
              <w:rPr>
                <w:b/>
              </w:rPr>
            </w:pPr>
            <w:r>
              <w:rPr>
                <w:b/>
              </w:rPr>
              <w:t>Three Months</w:t>
              <w:br/>
              <w:t>Ended</w:t>
              <w:br/>
              <w:t>March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9" w:type="dxa"/>
            <w:gridSpan w:val="2"/>
            <w:tcBorders/>
            <w:vAlign w:val="center"/>
          </w:tcPr>
          <w:p>
            <w:pPr>
              <w:pStyle w:val="TableContents"/>
              <w:bidi w:val="0"/>
              <w:spacing w:before="0" w:after="283"/>
              <w:jc w:val="center"/>
              <w:rPr>
                <w:b/>
              </w:rPr>
            </w:pPr>
            <w:r>
              <w:rPr>
                <w:b/>
              </w:rPr>
              <w:t>Period from</w:t>
              <w:br/>
              <w:t>February 6,</w:t>
              <w:br/>
              <w:t>2024</w:t>
              <w:br/>
              <w:t>(Inception) to</w:t>
              <w:br/>
              <w:t>March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294" w:type="dxa"/>
            <w:tcBorders/>
            <w:vAlign w:val="center"/>
          </w:tcPr>
          <w:p>
            <w:pPr>
              <w:pStyle w:val="TableContents"/>
              <w:bidi w:val="0"/>
              <w:spacing w:before="0" w:after="283"/>
              <w:jc w:val="left"/>
              <w:rPr/>
            </w:pPr>
            <w:r>
              <w:rPr/>
              <w:t> </w:t>
            </w:r>
          </w:p>
        </w:tc>
      </w:tr>
      <w:tr>
        <w:trPr/>
        <w:tc>
          <w:tcPr>
            <w:tcW w:w="519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94" w:type="dxa"/>
            <w:tcBorders/>
            <w:vAlign w:val="center"/>
          </w:tcPr>
          <w:p>
            <w:pPr>
              <w:pStyle w:val="TableContents"/>
              <w:bidi w:val="0"/>
              <w:spacing w:before="0" w:after="283"/>
              <w:ind w:left="0" w:right="0" w:hanging="180"/>
              <w:jc w:val="left"/>
              <w:rPr/>
            </w:pPr>
            <w:r>
              <w:rPr/>
              <w:t> </w:t>
            </w:r>
          </w:p>
        </w:tc>
      </w:tr>
      <w:tr>
        <w:trPr/>
        <w:tc>
          <w:tcPr>
            <w:tcW w:w="5193" w:type="dxa"/>
            <w:tcBorders/>
            <w:shd w:fill="CCEEFF" w:val="clear"/>
            <w:vAlign w:val="center"/>
          </w:tcPr>
          <w:p>
            <w:pPr>
              <w:pStyle w:val="TableContents"/>
              <w:bidi w:val="0"/>
              <w:spacing w:before="0" w:after="283"/>
              <w:jc w:val="left"/>
              <w:rPr/>
            </w:pPr>
            <w:r>
              <w:rPr/>
              <w:t>Personnel-related (including stock-based compensation)</w:t>
            </w:r>
            <w:r>
              <w:rPr>
                <w:position w:val="8"/>
                <w:sz w:val="19"/>
              </w:rPr>
              <w:t>(1)</w:t>
            </w:r>
          </w:p>
        </w:tc>
        <w:tc>
          <w:tcPr>
            <w:tcW w:w="9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w:t>
            </w:r>
          </w:p>
        </w:tc>
        <w:tc>
          <w:tcPr>
            <w:tcW w:w="1119" w:type="dxa"/>
            <w:tcBorders/>
            <w:shd w:fill="CCEEFF" w:val="clear"/>
            <w:vAlign w:val="center"/>
          </w:tcPr>
          <w:p>
            <w:pPr>
              <w:pStyle w:val="TableContents"/>
              <w:bidi w:val="0"/>
              <w:spacing w:before="0" w:after="283"/>
              <w:jc w:val="right"/>
              <w:rPr/>
            </w:pPr>
            <w:r>
              <w:rPr/>
              <w:t>3,574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w:t>
            </w:r>
          </w:p>
        </w:tc>
        <w:tc>
          <w:tcPr>
            <w:tcW w:w="1080" w:type="dxa"/>
            <w:tcBorders/>
            <w:shd w:fill="CCEEFF" w:val="clear"/>
            <w:vAlign w:val="center"/>
          </w:tcPr>
          <w:p>
            <w:pPr>
              <w:pStyle w:val="TableContents"/>
              <w:bidi w:val="0"/>
              <w:spacing w:before="0" w:after="283"/>
              <w:jc w:val="right"/>
              <w:rPr/>
            </w:pPr>
            <w:r>
              <w:rPr/>
              <w:t>781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2,793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358</w:t>
            </w:r>
          </w:p>
        </w:tc>
        <w:tc>
          <w:tcPr>
            <w:tcW w:w="294" w:type="dxa"/>
            <w:tcBorders/>
            <w:shd w:fill="CCEEFF" w:val="clear"/>
            <w:vAlign w:val="center"/>
          </w:tcPr>
          <w:p>
            <w:pPr>
              <w:pStyle w:val="TableContents"/>
              <w:bidi w:val="0"/>
              <w:spacing w:before="0" w:after="283"/>
              <w:ind w:left="0" w:right="0" w:hanging="180"/>
              <w:jc w:val="left"/>
              <w:rPr/>
            </w:pPr>
            <w:r>
              <w:rPr/>
              <w:t>%</w:t>
            </w:r>
          </w:p>
        </w:tc>
      </w:tr>
      <w:tr>
        <w:trPr/>
        <w:tc>
          <w:tcPr>
            <w:tcW w:w="5193" w:type="dxa"/>
            <w:tcBorders/>
            <w:vAlign w:val="center"/>
          </w:tcPr>
          <w:p>
            <w:pPr>
              <w:pStyle w:val="TableContents"/>
              <w:bidi w:val="0"/>
              <w:spacing w:before="0" w:after="283"/>
              <w:jc w:val="left"/>
              <w:rPr/>
            </w:pPr>
            <w:r>
              <w:rPr/>
              <w:t>Professional and consulting fees</w:t>
            </w:r>
            <w:r>
              <w:rPr>
                <w:position w:val="8"/>
                <w:sz w:val="19"/>
              </w:rPr>
              <w:t>(2)</w:t>
            </w:r>
          </w:p>
        </w:tc>
        <w:tc>
          <w:tcPr>
            <w:tcW w:w="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119" w:type="dxa"/>
            <w:tcBorders/>
            <w:vAlign w:val="center"/>
          </w:tcPr>
          <w:p>
            <w:pPr>
              <w:pStyle w:val="TableContents"/>
              <w:bidi w:val="0"/>
              <w:spacing w:before="0" w:after="283"/>
              <w:jc w:val="right"/>
              <w:rPr/>
            </w:pPr>
            <w:r>
              <w:rPr/>
              <w:t>1,362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700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662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95</w:t>
            </w:r>
          </w:p>
        </w:tc>
        <w:tc>
          <w:tcPr>
            <w:tcW w:w="294" w:type="dxa"/>
            <w:tcBorders/>
            <w:vAlign w:val="center"/>
          </w:tcPr>
          <w:p>
            <w:pPr>
              <w:pStyle w:val="TableContents"/>
              <w:bidi w:val="0"/>
              <w:spacing w:before="0" w:after="283"/>
              <w:ind w:left="0" w:right="0" w:hanging="180"/>
              <w:jc w:val="left"/>
              <w:rPr/>
            </w:pPr>
            <w:r>
              <w:rPr/>
              <w:t>%</w:t>
            </w:r>
          </w:p>
        </w:tc>
      </w:tr>
      <w:tr>
        <w:trPr/>
        <w:tc>
          <w:tcPr>
            <w:tcW w:w="5193" w:type="dxa"/>
            <w:tcBorders/>
            <w:shd w:fill="CCEEFF" w:val="clear"/>
            <w:vAlign w:val="center"/>
          </w:tcPr>
          <w:p>
            <w:pPr>
              <w:pStyle w:val="TableContents"/>
              <w:bidi w:val="0"/>
              <w:spacing w:before="0" w:after="283"/>
              <w:jc w:val="left"/>
              <w:rPr/>
            </w:pPr>
            <w:r>
              <w:rPr/>
              <w:t>Other</w:t>
            </w:r>
            <w:r>
              <w:rPr>
                <w:position w:val="8"/>
                <w:sz w:val="19"/>
              </w:rPr>
              <w:t>(3)</w:t>
            </w:r>
          </w:p>
        </w:tc>
        <w:tc>
          <w:tcPr>
            <w:tcW w:w="90" w:type="dxa"/>
            <w:tcBorders/>
            <w:shd w:fill="CCEEFF" w:val="clear"/>
            <w:vAlign w:val="center"/>
          </w:tcPr>
          <w:p>
            <w:pPr>
              <w:pStyle w:val="TableContents"/>
              <w:bidi w:val="0"/>
              <w:spacing w:before="0" w:after="283"/>
              <w:jc w:val="left"/>
              <w:rPr/>
            </w:pPr>
            <w:r>
              <w:rPr/>
              <w:t> </w:t>
            </w:r>
          </w:p>
        </w:tc>
        <w:tc>
          <w:tcPr>
            <w:tcW w:w="3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9" w:type="dxa"/>
            <w:tcBorders>
              <w:bottom w:val="single" w:sz="12" w:space="0" w:color="000000"/>
            </w:tcBorders>
            <w:shd w:fill="CCEEFF" w:val="clear"/>
            <w:tcMar>
              <w:bottom w:w="28" w:type="dxa"/>
            </w:tcMar>
            <w:vAlign w:val="center"/>
          </w:tcPr>
          <w:p>
            <w:pPr>
              <w:pStyle w:val="TableContents"/>
              <w:bidi w:val="0"/>
              <w:spacing w:before="0" w:after="283"/>
              <w:jc w:val="right"/>
              <w:rPr/>
            </w:pPr>
            <w:r>
              <w:rPr/>
              <w:t>225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0" w:type="dxa"/>
            <w:tcBorders>
              <w:bottom w:val="single" w:sz="12" w:space="0" w:color="000000"/>
            </w:tcBorders>
            <w:shd w:fill="CCEEFF" w:val="clear"/>
            <w:tcMar>
              <w:bottom w:w="28" w:type="dxa"/>
            </w:tcMar>
            <w:vAlign w:val="center"/>
          </w:tcPr>
          <w:p>
            <w:pPr>
              <w:pStyle w:val="TableContents"/>
              <w:bidi w:val="0"/>
              <w:spacing w:before="0" w:after="283"/>
              <w:jc w:val="right"/>
              <w:rPr/>
            </w:pPr>
            <w:r>
              <w:rPr/>
              <w:t>189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19</w:t>
            </w:r>
          </w:p>
        </w:tc>
        <w:tc>
          <w:tcPr>
            <w:tcW w:w="294" w:type="dxa"/>
            <w:tcBorders/>
            <w:shd w:fill="CCEEFF" w:val="clear"/>
            <w:vAlign w:val="center"/>
          </w:tcPr>
          <w:p>
            <w:pPr>
              <w:pStyle w:val="TableContents"/>
              <w:bidi w:val="0"/>
              <w:spacing w:before="0" w:after="283"/>
              <w:ind w:left="0" w:right="0" w:hanging="180"/>
              <w:jc w:val="left"/>
              <w:rPr/>
            </w:pPr>
            <w:r>
              <w:rPr/>
              <w:t>%</w:t>
            </w:r>
          </w:p>
        </w:tc>
      </w:tr>
      <w:tr>
        <w:trPr/>
        <w:tc>
          <w:tcPr>
            <w:tcW w:w="5193" w:type="dxa"/>
            <w:tcBorders/>
            <w:vAlign w:val="center"/>
          </w:tcPr>
          <w:p>
            <w:pPr>
              <w:pStyle w:val="TableContents"/>
              <w:bidi w:val="0"/>
              <w:spacing w:before="0" w:after="283"/>
              <w:jc w:val="left"/>
              <w:rPr/>
            </w:pPr>
            <w:r>
              <w:rPr/>
              <w:t>Total general and administrative expenses</w:t>
            </w:r>
          </w:p>
        </w:tc>
        <w:tc>
          <w:tcPr>
            <w:tcW w:w="90" w:type="dxa"/>
            <w:tcBorders/>
            <w:vAlign w:val="center"/>
          </w:tcPr>
          <w:p>
            <w:pPr>
              <w:pStyle w:val="TableContents"/>
              <w:bidi w:val="0"/>
              <w:spacing w:before="0" w:after="283"/>
              <w:jc w:val="left"/>
              <w:rPr/>
            </w:pPr>
            <w:r>
              <w:rPr/>
              <w:t> </w:t>
            </w:r>
          </w:p>
        </w:tc>
        <w:tc>
          <w:tcPr>
            <w:tcW w:w="320" w:type="dxa"/>
            <w:tcBorders>
              <w:bottom w:val="double" w:sz="10" w:space="0" w:color="000000"/>
            </w:tcBorders>
            <w:tcMar>
              <w:bottom w:w="28" w:type="dxa"/>
            </w:tcMar>
            <w:vAlign w:val="center"/>
          </w:tcPr>
          <w:p>
            <w:pPr>
              <w:pStyle w:val="TableContents"/>
              <w:bidi w:val="0"/>
              <w:spacing w:before="0" w:after="283"/>
              <w:jc w:val="left"/>
              <w:rPr/>
            </w:pPr>
            <w:r>
              <w:rPr/>
              <w:t>$</w:t>
            </w:r>
          </w:p>
        </w:tc>
        <w:tc>
          <w:tcPr>
            <w:tcW w:w="1119" w:type="dxa"/>
            <w:tcBorders>
              <w:bottom w:val="double" w:sz="10" w:space="0" w:color="000000"/>
            </w:tcBorders>
            <w:tcMar>
              <w:bottom w:w="28" w:type="dxa"/>
            </w:tcMar>
            <w:vAlign w:val="center"/>
          </w:tcPr>
          <w:p>
            <w:pPr>
              <w:pStyle w:val="TableContents"/>
              <w:bidi w:val="0"/>
              <w:spacing w:before="0" w:after="283"/>
              <w:jc w:val="right"/>
              <w:rPr/>
            </w:pPr>
            <w:r>
              <w:rPr/>
              <w:t>5,161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9" w:type="dxa"/>
            <w:tcBorders>
              <w:bottom w:val="double" w:sz="10" w:space="0" w:color="000000"/>
            </w:tcBorders>
            <w:tcMar>
              <w:bottom w:w="28" w:type="dxa"/>
            </w:tcMar>
            <w:vAlign w:val="center"/>
          </w:tcPr>
          <w:p>
            <w:pPr>
              <w:pStyle w:val="TableContents"/>
              <w:bidi w:val="0"/>
              <w:spacing w:before="0" w:after="283"/>
              <w:jc w:val="left"/>
              <w:rPr/>
            </w:pPr>
            <w:r>
              <w:rPr/>
              <w:t>$</w:t>
            </w:r>
          </w:p>
        </w:tc>
        <w:tc>
          <w:tcPr>
            <w:tcW w:w="1080" w:type="dxa"/>
            <w:tcBorders>
              <w:bottom w:val="double" w:sz="10" w:space="0" w:color="000000"/>
            </w:tcBorders>
            <w:tcMar>
              <w:bottom w:w="28" w:type="dxa"/>
            </w:tcMar>
            <w:vAlign w:val="center"/>
          </w:tcPr>
          <w:p>
            <w:pPr>
              <w:pStyle w:val="TableContents"/>
              <w:bidi w:val="0"/>
              <w:spacing w:before="0" w:after="283"/>
              <w:jc w:val="right"/>
              <w:rPr/>
            </w:pPr>
            <w:r>
              <w:rPr/>
              <w:t>1,670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590" w:type="dxa"/>
            <w:tcBorders>
              <w:bottom w:val="double" w:sz="10" w:space="0" w:color="000000"/>
            </w:tcBorders>
            <w:tcMar>
              <w:bottom w:w="28" w:type="dxa"/>
            </w:tcMar>
            <w:vAlign w:val="center"/>
          </w:tcPr>
          <w:p>
            <w:pPr>
              <w:pStyle w:val="TableContents"/>
              <w:bidi w:val="0"/>
              <w:spacing w:before="0" w:after="283"/>
              <w:jc w:val="right"/>
              <w:rPr/>
            </w:pPr>
            <w:r>
              <w:rPr/>
              <w:t>3,491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209</w:t>
            </w:r>
          </w:p>
        </w:tc>
        <w:tc>
          <w:tcPr>
            <w:tcW w:w="294"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3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related party amounts of nil and $505 for the three months ended March 31, 2025 and the period from February 6, 2024 (inception) to March 31,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amounts of $110 and $256 for the three months ended March 31, 2025 and the period from February 6, 2024 (inception) to March 31,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3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related party amounts of nil and $87 for the three months ended March 31, 2025 and the period from February 6, 2024 (inception) to March 31,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General and administrative expenses increased by $3.5 million, from $1.7 million for the period from February 6, 2024 (inception) to March 31, 2024 to $5.2 million for the three months ended March 31, 2025. Employee payroll and related expenses increased by $2.8 million, from $0.8 million for the period from February 6, 2024 (inception) to March 31, 2024 to $3.6 million for the three months ended March 31, 2025, as a result of continued hiring of executives and administrative employees. Stock-based compensation expenses were less than $0.1 million and $1.9 million for the period from February 6, 2024 (inception) to March 31, 2024 and for the three months ended March 31, 2025, respectively. Expenses related to professional services increased by $0.7 million, from $0.7 million for the period from February 6, 2024 (inception) to March 31, 2024 to $1.4 million for the three months ended March 31, 2025, due to increased spending on consulting, insurance costs, recruiting, legal, audit, accounting and other services to support our growing operations as a public company and as we continue to expand our operations to support our business strategy and product development.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Income (Expense), Net</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from cash equivalents and marketable securities was $4.1 million for the three months ended March 31, 2025. No interest income was recorded for the period from February 6, 2024 (inception) to March 31, 2024.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interest expense was recorded during the three months ended March 31, 2025. Interest expense was $0.2 million for the period from February 6, 2024 (inception) to March 31, 2024 relating to the Convertible Note issued to Fairmount in March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we had $373.0 million of cash, cash equivalents, and marketable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incurred significant operating losses and negative cash flow from operations. We expect to incur significant expenses and operating losses for the foreseeable future as we continue the pre-clinical and clinical development of our programs and our early-stage research activities. We have not yet commercialized any products, and we do not expect to generate revenue from sales of products for several years, if at all. Through March 31, 2025, we had funded our operations primarily with proceeds from issuances of convertible preferred stock, common stock, a convertible note, and pre-funded warrants. In March 2024, we received $2.9 million in net proceeds from the issuance of Pre-Merger Oruka Series A Preferred Stock and $25.0 million in gross proceeds from the issuance of the Convertible Note, both of which were related party transactions. In August 2024, we raised approximately $228.0 million in net proceeds from Pre-Closing Financing and received $4.9 million in cash from ARCA upon consummation of the Merger. In September 2024, we received approximately $188.7 million in net proceeds from the issuance of common stock, Company Series A Preferred Stock, and pre-funded warrants in connection with the PIPE Financing.</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use of cash is to fund the development of our product candidates and advance our pipeline. This includes both the research and development costs and the general and administrative expenses required to support those operations. Since we are a clinical stage biopharmaceutical company, we have incurred significant operating losses since our inception and we anticipate such losses, in absolute dollar terms, to increase as we continue to pursue clinical development of our product candidates, prepare for the potential commercialization of our product candidates, and expand our development efforts in our pipeline of nonclinical candidates. We expect that our existing cash, cash equivalents, and marketable securities will be sufficient to fund our operating plans for at least twelve months from the date of filing of this Quarterly Report. We will need to secure additional financing in the future to fund additional research and development, and before a commercial drug can be produced, marketed, and sold. At this time, due to the inherently unpredictable nature of clinical development, we cannot reasonably estimate the costs we will incur and the timelines that will be required to complete development, obtain marketing approval, and commercialize our current product candidate or any future product candidates. For the same reasons, we are also unable to predict when, if ever, we will generate revenue from product sales or our current or any future license agreements which we may enter into or whether, or when, if ever, we may achieve profitability. In addition, with a change in the presidential administration in 2025, there has been an economic policy shift towards increasing tariffs, which in turn has led and could lead to further retaliatory tariffs. These may have the potential to impact expenses as well as our ability to, if ever, generate revenue or achieve profitability. If we are unable to obtain additional financing or generate license or product revenue, the lack of liquidity could have a material adverse effect on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cash flows for the periods presented (in thousands):</w:t>
      </w:r>
    </w:p>
    <w:p>
      <w:pPr>
        <w:pStyle w:val="TextBody"/>
        <w:bidi w:val="0"/>
        <w:spacing w:before="0" w:after="0"/>
        <w:ind w:left="0" w:right="0" w:hanging="0"/>
        <w:jc w:val="both"/>
        <w:rPr>
          <w:caps w:val="false"/>
          <w:smallCaps w:val="false"/>
        </w:rPr>
      </w:pPr>
      <w:r>
        <w:rPr>
          <w:caps w:val="false"/>
          <w:smallCaps w:val="false"/>
        </w:rPr>
        <w:t> </w:t>
      </w:r>
    </w:p>
    <w:tbl>
      <w:tblPr>
        <w:tblW w:w="7358" w:type="dxa"/>
        <w:jc w:val="left"/>
        <w:tblInd w:w="0" w:type="dxa"/>
        <w:tblLayout w:type="fixed"/>
        <w:tblCellMar>
          <w:top w:w="0" w:type="dxa"/>
          <w:left w:w="0" w:type="dxa"/>
          <w:bottom w:w="0" w:type="dxa"/>
          <w:right w:w="0" w:type="dxa"/>
        </w:tblCellMar>
      </w:tblPr>
      <w:tblGrid>
        <w:gridCol w:w="3965"/>
        <w:gridCol w:w="90"/>
        <w:gridCol w:w="267"/>
        <w:gridCol w:w="1237"/>
        <w:gridCol w:w="125"/>
        <w:gridCol w:w="90"/>
        <w:gridCol w:w="273"/>
        <w:gridCol w:w="1141"/>
        <w:gridCol w:w="170"/>
      </w:tblGrid>
      <w:tr>
        <w:trPr/>
        <w:tc>
          <w:tcPr>
            <w:tcW w:w="39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 Months</w:t>
              <w:br/>
              <w:t>Ended</w:t>
              <w:br/>
              <w:t>March 31,</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Period from</w:t>
              <w:br/>
              <w:t>February 6,</w:t>
              <w:br/>
              <w:t>2024</w:t>
              <w:br/>
              <w:t>(Inception) to</w:t>
              <w:br/>
              <w:t>March 31,</w:t>
              <w:br/>
              <w:t>2024</w:t>
            </w:r>
          </w:p>
        </w:tc>
        <w:tc>
          <w:tcPr>
            <w:tcW w:w="17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Net cash used in operating activities</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(20,869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w:t>
            </w:r>
          </w:p>
        </w:tc>
        <w:tc>
          <w:tcPr>
            <w:tcW w:w="1141" w:type="dxa"/>
            <w:tcBorders/>
            <w:shd w:fill="CCEEFF" w:val="clear"/>
            <w:vAlign w:val="center"/>
          </w:tcPr>
          <w:p>
            <w:pPr>
              <w:pStyle w:val="TableContents"/>
              <w:bidi w:val="0"/>
              <w:spacing w:before="0" w:after="283"/>
              <w:jc w:val="right"/>
              <w:rPr/>
            </w:pPr>
            <w:r>
              <w:rPr/>
              <w:t>(168</w:t>
            </w:r>
          </w:p>
        </w:tc>
        <w:tc>
          <w:tcPr>
            <w:tcW w:w="170" w:type="dxa"/>
            <w:tcBorders/>
            <w:shd w:fill="CCEEFF" w:val="clear"/>
            <w:vAlign w:val="center"/>
          </w:tcPr>
          <w:p>
            <w:pPr>
              <w:pStyle w:val="TableContents"/>
              <w:bidi w:val="0"/>
              <w:spacing w:before="0" w:after="283"/>
              <w:jc w:val="left"/>
              <w:rPr/>
            </w:pPr>
            <w:r>
              <w:rPr/>
              <w:t>)</w:t>
            </w:r>
          </w:p>
        </w:tc>
      </w:tr>
      <w:tr>
        <w:trPr/>
        <w:tc>
          <w:tcPr>
            <w:tcW w:w="3965" w:type="dxa"/>
            <w:tcBorders/>
            <w:vAlign w:val="center"/>
          </w:tcPr>
          <w:p>
            <w:pPr>
              <w:pStyle w:val="TableContents"/>
              <w:bidi w:val="0"/>
              <w:spacing w:before="0" w:after="283"/>
              <w:jc w:val="left"/>
              <w:rPr/>
            </w:pPr>
            <w:r>
              <w:rPr/>
              <w:t>Net cash provided by investing activities</w:t>
            </w:r>
          </w:p>
        </w:tc>
        <w:tc>
          <w:tcPr>
            <w:tcW w:w="9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42,866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Net cash provided by financing activities</w:t>
            </w:r>
          </w:p>
        </w:tc>
        <w:tc>
          <w:tcPr>
            <w:tcW w:w="90" w:type="dxa"/>
            <w:tcBorders/>
            <w:shd w:fill="CCEEFF" w:val="clear"/>
            <w:vAlign w:val="center"/>
          </w:tcPr>
          <w:p>
            <w:pPr>
              <w:pStyle w:val="TableContents"/>
              <w:bidi w:val="0"/>
              <w:spacing w:before="0" w:after="283"/>
              <w:jc w:val="left"/>
              <w:rPr/>
            </w:pPr>
            <w:r>
              <w:rPr/>
              <w:t> </w:t>
            </w:r>
          </w:p>
        </w:tc>
        <w:tc>
          <w:tcPr>
            <w:tcW w:w="2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1" w:type="dxa"/>
            <w:tcBorders>
              <w:bottom w:val="single" w:sz="12" w:space="0" w:color="000000"/>
            </w:tcBorders>
            <w:shd w:fill="CCEEFF" w:val="clear"/>
            <w:tcMar>
              <w:bottom w:w="28" w:type="dxa"/>
            </w:tcMar>
            <w:vAlign w:val="center"/>
          </w:tcPr>
          <w:p>
            <w:pPr>
              <w:pStyle w:val="TableContents"/>
              <w:bidi w:val="0"/>
              <w:spacing w:before="0" w:after="283"/>
              <w:jc w:val="right"/>
              <w:rPr/>
            </w:pPr>
            <w:r>
              <w:rPr/>
              <w:t>27,911</w:t>
            </w:r>
          </w:p>
        </w:tc>
        <w:tc>
          <w:tcPr>
            <w:tcW w:w="170"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Net increase in cash and cash equivalents</w:t>
            </w:r>
          </w:p>
        </w:tc>
        <w:tc>
          <w:tcPr>
            <w:tcW w:w="90" w:type="dxa"/>
            <w:tcBorders/>
            <w:vAlign w:val="center"/>
          </w:tcPr>
          <w:p>
            <w:pPr>
              <w:pStyle w:val="TableContents"/>
              <w:bidi w:val="0"/>
              <w:spacing w:before="0" w:after="283"/>
              <w:jc w:val="left"/>
              <w:rPr/>
            </w:pPr>
            <w:r>
              <w:rPr/>
              <w:t> </w:t>
            </w:r>
          </w:p>
        </w:tc>
        <w:tc>
          <w:tcPr>
            <w:tcW w:w="267" w:type="dxa"/>
            <w:tcBorders>
              <w:bottom w:val="double" w:sz="10" w:space="0" w:color="000000"/>
            </w:tcBorders>
            <w:tcMar>
              <w:bottom w:w="28" w:type="dxa"/>
            </w:tcMar>
            <w:vAlign w:val="center"/>
          </w:tcPr>
          <w:p>
            <w:pPr>
              <w:pStyle w:val="TableContents"/>
              <w:bidi w:val="0"/>
              <w:spacing w:before="0" w:after="283"/>
              <w:jc w:val="left"/>
              <w:rPr/>
            </w:pPr>
            <w:r>
              <w:rPr/>
              <w:t>$</w:t>
            </w:r>
          </w:p>
        </w:tc>
        <w:tc>
          <w:tcPr>
            <w:tcW w:w="1237" w:type="dxa"/>
            <w:tcBorders>
              <w:bottom w:val="double" w:sz="10" w:space="0" w:color="000000"/>
            </w:tcBorders>
            <w:tcMar>
              <w:bottom w:w="28" w:type="dxa"/>
            </w:tcMar>
            <w:vAlign w:val="center"/>
          </w:tcPr>
          <w:p>
            <w:pPr>
              <w:pStyle w:val="TableContents"/>
              <w:bidi w:val="0"/>
              <w:spacing w:before="0" w:after="283"/>
              <w:jc w:val="right"/>
              <w:rPr/>
            </w:pPr>
            <w:r>
              <w:rPr/>
              <w:t>21,997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3" w:type="dxa"/>
            <w:tcBorders>
              <w:bottom w:val="double" w:sz="10" w:space="0" w:color="000000"/>
            </w:tcBorders>
            <w:tcMar>
              <w:bottom w:w="28" w:type="dxa"/>
            </w:tcMar>
            <w:vAlign w:val="center"/>
          </w:tcPr>
          <w:p>
            <w:pPr>
              <w:pStyle w:val="TableContents"/>
              <w:bidi w:val="0"/>
              <w:spacing w:before="0" w:after="283"/>
              <w:jc w:val="left"/>
              <w:rPr/>
            </w:pPr>
            <w:r>
              <w:rPr/>
              <w:t>$</w:t>
            </w:r>
          </w:p>
        </w:tc>
        <w:tc>
          <w:tcPr>
            <w:tcW w:w="1141" w:type="dxa"/>
            <w:tcBorders>
              <w:bottom w:val="double" w:sz="10" w:space="0" w:color="000000"/>
            </w:tcBorders>
            <w:tcMar>
              <w:bottom w:w="28" w:type="dxa"/>
            </w:tcMar>
            <w:vAlign w:val="center"/>
          </w:tcPr>
          <w:p>
            <w:pPr>
              <w:pStyle w:val="TableContents"/>
              <w:bidi w:val="0"/>
              <w:spacing w:before="0" w:after="283"/>
              <w:jc w:val="right"/>
              <w:rPr/>
            </w:pPr>
            <w:r>
              <w:rPr/>
              <w:t>27,743</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2025, net cash used in operating activities was $20.9 million, which was primarily attributable to a net loss of $21.0 million and net changes in our operating assets and liabilities of $3.0 million, partially offset by net non-cash charges of $3.1 million. Net changes in our operating assets and liabilities were primarily comprised of a decrease of $5.2 million in related party accounts payable and other current liabilities and an increase of $2.3 million in accrued expenses and other current liabilities. Net non-cash charges primarily comprised of $4.9 million in stock-based compensation expense, partially offset by $1.8 million in net accretion of premiums and discounts on marketable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February 6, 2024 (inception) to March 31, 2024, net cash used in operating activities was $0.2 million and was primarily attributable to a net loss of $7.1 million, offset by a $6.1 million increase in related parties accounts payable and other current liabilities and a $0.8 million increase in accrued expenses and other current liabilities. The increase in amounts due to related parties and accrued expenses and other current liabilities was primarily due to an increase in Oruka’s business activity, as well as vendor invoicing and payments.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2025, net cash provided by investing activities was $42.9 million, which included $87.2 million in proceeds from maturities of marketable securities, partially offset by $44.3 million in purchases of marketable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February 6, 2024 (inception) to March 31, 2024, no cash was used in or provided by investing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2025, no cash was used in or provided by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February 6, 2024 (inception) to March 31, 2024, net cash provided by financing activities was $27.9 million, consisting of $2.9 million in net proceeds from the issuance of Series B Preferred Stock and $25.0 million in net proceeds from the issuance of the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 and Commitments</w:t>
      </w:r>
    </w:p>
    <w:p>
      <w:pPr>
        <w:pStyle w:val="TextBody"/>
        <w:bidi w:val="0"/>
        <w:spacing w:before="0" w:after="0"/>
        <w:ind w:left="48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 into contracts in the normal course of business with CROs, CMOs and with other vendors for preclinical research studies, clinical trials, manufacturing, and other services and products for operating purposes. These contracts generally provide for termination on notice or may have a potential termination fee if the contract is cancelled within a specified time, and therefore, are cancelable contracts. We do not expect any such contract terminations and did not have any non-cancellable obligations under these agreements as of March 31, 2025. See Notes 10 and 11 to the condensed consolidated financial statements included in Part I - Item 1 of this Quarterly Report for further information on our contractual lease obligations for our headquarters in Menlo Park, California, and our office in Waltham, Massachusetts, and other commitments, including the commitments under the Option and License Agreements.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Significant Judgments and Estimates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management’s discussion and analysis of our financial condition and results of operations is based on our financial statements, which have been prepared in accordance with U.S. GAAP. The preparation of these condensed consolidated financial statements requires us to make estimates and assumptions that affect the reported amounts of assets and liabilities and the disclosure of contingent assets and liabilities at the date of the financial statements, as well as the reported revenues recognized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significant accounting policies are described in more detail in Note 2 to our condensed consolidated financial statements included in Part I - Item 1 of this Quarterly Report. During the three months ended March 31, 2025, there were no changes to our critical accounting policies and significant judgments and estimates as disclosed in our Annual Report on Form 10-K for the period from February 6 (inception) to December 31,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we did not have any off-balance sheet arrangements, as defined in the rules and regulations of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by Rule 12b-2 under the Securities Exchange Act of 1934, as amended (the “Exchange Act”), and in Item 10(f)(1) of Regulation S-K, and are not required to provide the information under this item.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that are designed to ensure that information required to be disclosed by us in the reports we file or submit under the Exchange Act is recorded, processed, summarized and reported within the time periods specified in the SEC’s rules and forms. Our disclosure controls and procedures include, without limitation, controls and procedures designed to ensure that information required to be disclosed by us in the reports we file under the Exchange Act is accumulated and communicated to our management, including our principal executive officer and principal financial officer, as appropriate to allow timely decisions regarding required disclosure.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designing and evaluating the disclosure controls and procedures, management recognizes that any controls and procedures, no matter how well designed and operated, can provide only reasonable assurance of achieving the desired control objectives. As required by Rule 13a-15(b) or Rule 15d-15(b) promulgated by the SEC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Quarterly Report. Based on the foregoing, our principal executive officer and principal financial officer concluded that our disclosure controls and procedures were effective as of the end of the period covered by this Quarterly Report at the reasonable assurance level.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Changes in Internal Control over Financial Reporting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(as defined in Rules 13a-15(f) and 15d-15(f) under the Exchange Act) during the quarter ended March 31, 2025,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legal proceedings relating to claims arising from the ordinary course of business. Our management believes that there are currently no claims or actions pending against us, the ultimate disposition of which could reasonably be expected to have a material adverse effect on our results of operations, financial condition or cash flows.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Risk Factor Summary</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 number of risks that could harm our business, financial condition, results of operations and/or growth prospects or cause our actual results to differ materially from those contained in forward-looking statements we have made in this Form 10-Q and those we may make from time to time. The success of our product candidates will depend on a variety of factors. We do not have complete control over many of these factors, including certain aspects of clinical development and the regulatory submission process, potential threats to our intellectual property rights and the manufacturing, marketing, distribution and sales efforts of any current or future collaborator. In addition, some of the factors, events and contingencies discussed below may have occurred in the past, but the disclosures below are not representations as to whether or not the factors, events or contingencies have occurred in the past and instead reflect our beliefs and opinions as to the factors, events, or contingencies that could materially and adversely affect us in the future.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summary below is not exhaustive and is qualified by reference to the full set of risk factors set forth in Item 1A of this Form 10-Q “Risk Factors”. Please carefully consider all the information in this Form 10-Q, including the full set of risks set forth in the “Risk Factors” section, and in our other filings with the SEC before making an investment decision regarding the Company.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Financial Condition and Capital Requirements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We are a clinical stage biopharmaceutical company with a limited operating history on which to assess our business; we have not completed any clinical trials, and have no products approved for commercial sale.</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We have historically incurred losses and we anticipate that we will continue to incur losses for the foreseeable future.</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We have never generated revenue from product sales and may never be profitable.</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We may not be able to raise the capital that we need to support our business plans.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Raising additional capital may cause dilution to our stockholders, restrict our operations or require us to relinquish rights to our technologies or product candidates.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Clinical Development, Regulatory Approval and Commercialization</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Drug development and obtaining and maintaining regulatory approval for drug products is costly, time-consuming, and highly uncertain.</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We are substantially dependent on the success of our two most advanced programs, ORKA-001 and ORKA-002. Our projected development goals, including our clinical trials, may not be successful or we may fail to achieve our projected development goals in the time frames we announce and expect.</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We face competition from entities that have developed or may develop programs for the diseases addressed by product candidates developed by us.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Government Regulations</w:t>
      </w:r>
    </w:p>
    <w:p>
      <w:pPr>
        <w:pStyle w:val="TextBody"/>
        <w:bidi w:val="0"/>
        <w:spacing w:before="0" w:after="0"/>
        <w:ind w:left="0" w:right="0" w:firstLine="360"/>
        <w:jc w:val="both"/>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68"/>
        <w:gridCol w:w="200"/>
        <w:gridCol w:w="99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5" w:type="dxa"/>
            <w:tcBorders/>
            <w:vAlign w:val="center"/>
          </w:tcPr>
          <w:p>
            <w:pPr>
              <w:pStyle w:val="TableContents"/>
              <w:bidi w:val="0"/>
              <w:spacing w:before="0" w:after="283"/>
              <w:jc w:val="both"/>
              <w:rPr/>
            </w:pPr>
            <w:r>
              <w:rPr/>
              <w:t>We may not be able to meet requirements for the chemistry, manufacturing and control of our programs.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U.S. Food and Drug Administration (“FDA”) and comparable foreign regulatory approval processes are lengthy and time consuming and we may not be able to obtain or may be delayed in obtaining regulatory approvals for our product candidates. Moreover, even if we obtain regulatory approval, we will be subject to ongoing regulatory obligations.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Intellectual Property</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obtain and protect our patents and other proprietary rights is uncertain and we may fail in obtaining or maintaining necessary rights to our programs.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become subject to claims challenging the inventorship or ownership of our intellectual property and may be subject to patent infringement claims or may need to file such claims.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patents and our ability to protect our products may be impaired by changes to patent laws, and our patent protection could be reduced or eliminated for non-compliance with legal requirements.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fail to identify or interpret relevant third-party patents.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Patent terms may be inadequate to protect our competitive position of our programs.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technology licensed from third parties may be subject to retained rights.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Reliance on Third Parties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currently rely on agreements with third parties to develop our product candidates. If we are unable to maintain collaborations or licensing arrangements, or if our collaborations or licensing arrangements are not successful, our business could be negatively impacted.</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Third parties we rely on for the execution of nonclinical studies and clinical trials may fail to carry out their contractual duties.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unable to use third-party manufacturing sites, our third-party manufacturers may encounter difficulties in production or we may need to switch or create third-party manufacturer redundancies.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Employee Matters, Managing Growth, Other Risks Related to Our Business, and Risks Related to Owning Our Common Stock</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estimates of market opportunity and forecasts of market growth may prove to be inaccurate, and even if the markets in which we compete achieve the forecasted growth, our business may not grow at similar rates, or at all.</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business is dependent on key personnel, and we will be harmed if we cannot recruit and retain highly qualified personnel to successfully implement our business strategy.</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order to successfully implement our plans and strategies, we will need to grow the size of our organization, and we may experience difficulties in managing this growth.</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Significant disruptions of information technology systems or breaches of data security could adversely affect our business.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and failures to comply with United States and foreign privacy and data protection laws, regulations and standards may adversely affect our business, operations and consolidated financial performance.</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become exposed to costly and damaging liability claims and our insurance may not cover all damages from such claims.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business could be adversely affected by macroeconomic or geopolitical conditions.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do not anticipate paying any dividends in the foreseeable future.</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Future sales of shares by existing stockholders could cause our stock price to decline.</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Future sales and issuances of equity and debt could result in additional dilution to our stockholders and could cause our stock price to decline.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Financial Condition and Capital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clinical stage biopharmaceutical company with a limited operating history on which to assess our business; we have not completed any clinical trials, have no products approved for commercial sale, have historically incurred losses, and we anticipate that we will continue to incur significant losses for the foreseeable future. Moreover, we have never generated revenue from product sales and may never be profitable.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clinical stage biopharmaceutical company with a limited operating history. We will need to raise substantial additional capital to continue to fund our operations in the future. We have based our estimates on assumptions that may prove to be wrong, and could exhaust our available financial resources sooner than we currently anticipate. We have devoted substantially all of our financial resources to identify, acquire, and develop our product candidates, organizing and staffing our company, and providing general and administrative support for our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capital may not be available in sufficient amounts or on reasonable terms, if at all. The current market environment for small and midcap biotechnology companies, like Oruka, and broader macroeconomic factors may preclude us from successfully raising additional capital. For example, escalating trade tensions, elevated interest rates and regulatory uncertainty have caused significant market volatility in recent months, and particularly in the biotechnology and biopharmaceutical industries, which such volatility can have an adverse effect on the ability to raise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Biopharmaceutical product development is a highly speculative undertaking and involves a substantial degree of risk. We expect our losses to increase as our product candidates enter advanced clinical trials. It may be several years, if ever, before we complete pivotal clinical trials or have a product candidate approved for commercialization. We expect to invest significant funds into the research and development of our programs to determine the potential to advance product candidates to regulatory approval. If we obtain regulatory approval to market a product candidate, our future revenue will depend upon the size of any markets in which our product candidates may receive approval, and our ability to achieve sufficient market acceptance, pricing, coverage and adequate reimbursement from third-party payors, and adequate market share for our product candidates in those markets. Even if we obtain adequate market share for our product candidates, we may never become profitable despite obtaining such market share and acceptance of our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to incur significant expenses and increasing operating losses for the foreseeable future and our expenses will increase substantially if and as we: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continue the clinical development of our product candidates, including advancing our product candidates into larger, more expensive trials;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continue efforts to discover and develop new product candidates, including initiating preclinical studies or clinical trials;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progress our chemistry, manufacturing and control development, registration, and validation, including the manufacture of our product candidates by third parties, including increasing volumes manufactured by third parties;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seek regulatory and marketing approvals and reimbursement for our product candidates;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establish a sales, marketing, and distribution infrastructure to commercialize any products for which we may obtain marketing approval and market for ourselves;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make milestone, royalty, or other payments under third-party license agreements;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seek to maintain, protect, and expand our intellectual property portfolio; and</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experience any delays or encounter issues with the development and potential regulatory approval of our product candidates such as safety issues, manufacturing delays, clinical trial delays, longer follow-up for planned studies or trials, additional major studies or trials, or supportive trials necessary to support marketing approval.</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raise additional capital when required or on acceptable terms, we may be required to curtail our product development activities and other activities commensurate with the magnitude of the shortfall and our product development activities may cease altogether, which could materially harm our business, financial condition, and results of operations. To the extent that the costs of our activities exceed our current estimates and we are unable to raise sufficient additional capital to cover such costs, we will need to reduce operating expenses, sell assets, enter into strategic transactions, or effect a combination of the above. No assurance can be given that we will be able to enter into any of such transactions on acceptable terms, if at all. Any of the following events could have a material adverse effect on our business, operating results, and prospects:</w:t>
      </w:r>
    </w:p>
    <w:p>
      <w:pPr>
        <w:pStyle w:val="TextBody"/>
        <w:bidi w:val="0"/>
        <w:spacing w:before="0" w:after="0"/>
        <w:ind w:left="0" w:right="0" w:firstLine="360"/>
        <w:jc w:val="both"/>
        <w:rPr>
          <w:caps w:val="false"/>
          <w:smallCaps w:val="false"/>
        </w:rPr>
      </w:pPr>
      <w:r>
        <w:rPr>
          <w:caps w:val="false"/>
          <w:smallCaps w:val="false"/>
        </w:rPr>
        <w:t> </w:t>
      </w:r>
    </w:p>
    <w:tbl>
      <w:tblPr>
        <w:tblW w:w="9213" w:type="dxa"/>
        <w:jc w:val="left"/>
        <w:tblInd w:w="0" w:type="dxa"/>
        <w:tblLayout w:type="fixed"/>
        <w:tblCellMar>
          <w:top w:w="0" w:type="dxa"/>
          <w:left w:w="0" w:type="dxa"/>
          <w:bottom w:w="0" w:type="dxa"/>
          <w:right w:w="0" w:type="dxa"/>
        </w:tblCellMar>
      </w:tblPr>
      <w:tblGrid>
        <w:gridCol w:w="68"/>
        <w:gridCol w:w="200"/>
        <w:gridCol w:w="89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delay, scaling back, or discontinuation of the development or commercialization of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seeking strategic partnerships, or amending existing partnerships, for research and development programs at an earlier stage than otherwise would be desirable or that we otherwise would have sought to develop independently, or on terms that are less favorable than might otherwise be available in the future;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disposal of technology assets, or the relinquishing or licensing of assets on unfavorable terms, of our rights to technologies or any of our product candidates that we otherwise would seek to develop or commercialize ourselves;</w:t>
            </w:r>
          </w:p>
        </w:tc>
      </w:tr>
    </w:tbl>
    <w:p>
      <w:pPr>
        <w:pStyle w:val="TextBody"/>
        <w:bidi w:val="0"/>
        <w:spacing w:before="0" w:after="0"/>
        <w:ind w:left="0" w:right="0" w:hanging="0"/>
        <w:jc w:val="left"/>
        <w:rPr>
          <w:caps w:val="false"/>
          <w:smallCaps w:val="false"/>
        </w:rPr>
      </w:pPr>
      <w:r>
        <w:rPr>
          <w:caps w:val="false"/>
          <w:smallCaps w:val="false"/>
        </w:rPr>
        <w:t> </w:t>
      </w:r>
    </w:p>
    <w:tbl>
      <w:tblPr>
        <w:tblW w:w="10158" w:type="dxa"/>
        <w:jc w:val="left"/>
        <w:tblInd w:w="0" w:type="dxa"/>
        <w:tblLayout w:type="fixed"/>
        <w:tblCellMar>
          <w:top w:w="0" w:type="dxa"/>
          <w:left w:w="0" w:type="dxa"/>
          <w:bottom w:w="0" w:type="dxa"/>
          <w:right w:w="0" w:type="dxa"/>
        </w:tblCellMar>
      </w:tblPr>
      <w:tblGrid>
        <w:gridCol w:w="68"/>
        <w:gridCol w:w="200"/>
        <w:gridCol w:w="98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pursuing the sale of the company to a third party at a price that may result in a loss on investment for our stockholders; or</w:t>
            </w:r>
          </w:p>
        </w:tc>
      </w:tr>
    </w:tbl>
    <w:p>
      <w:pPr>
        <w:pStyle w:val="TextBody"/>
        <w:bidi w:val="0"/>
        <w:spacing w:before="0" w:after="0"/>
        <w:ind w:left="0" w:right="0" w:hanging="0"/>
        <w:jc w:val="left"/>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68"/>
        <w:gridCol w:w="200"/>
        <w:gridCol w:w="42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filing for bankruptcy or cease operations altogether.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are successful in raising new capital, we could be limited in the amount of capital we raise due to investor demand restrictions placed on the amount of capital we raise, or other reasons.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Raising additional capital may cause dilution to our stockholders, restrict our operations, or require us to relinquish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we raise additional capital through the sale of equity securities or convertible debt securities, the ownership interest of our stockholders will be diluted, and the terms of these securities may include liquidation or other preferences that adversely affect the rights of holders of our common stock. Debt financing and preferred equity financing, if available, may involve agreements that include covenants limiting or restricting our ability to take specific actions, such as incurring additional debt, making capital expenditures, or declaring dividends. For example, in September 2024, we entered into a Securities Purchase Agreement with certain new institutional and accredited investors, whereby the investors purchased an aggregate of 5,600,000 shares of common stock, 2,439 shares of Series A Preferred Stock and pre-funded warrants to purchase an aggregate of 680,000 shares of common stock for an aggregate purchase price of approximately $200.5 million. Each share of Series A Preferred Stock is convertible into 1,000 shares of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raise additional funds through collaborations, strategic alliances or marketing, distribution or licensing arrangements with third parties, we may be required to relinquish valuable rights to our research programs or product candidates or grant licenses on terms that may not be favorable to us. Debt financing, if available, would likely involve agreements that include covenants limiting or restricting our ability to take specific actions, such as incurring additional debt, making capital expenditures, making additional product acquisitions, or declaring dividends.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Clinical Development, Regulatory Approval and Commercialization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competition from entities that have developed or may develop programs for the diseases addressed by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and commercialization of drugs is highly competitive. Product candidates developed by us, if approved, will face significant competition and our failure to effectively compete may prevent us from achieving significant market penetration. We compete with a variety of biopharmaceutical companies as well as academic institutions, governmental agencies, and public and private research institutions, among others. Many of the companies with which we are currently competing or will compete against in the future have significantly greater financial resources and expertise in research and development, manufacturing, preclinical testing, clinical trials, regulatory approvals, and marketing than we do. Mergers and acquisitions in the pharmaceutical and biotechnology industry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establishing clinical trial sites, recruiting participants for clinical trials, as well as in acquiring technologies complementary to, or necessary for,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have developed, are developing, or will develop programs and processes competitive with our programs and processes. Competitive therapeutic treatments include those that have already been approved and accepted by the medical community and any new treatments. Our success will depend partially on our ability to develop and commercialize products that have a competitive safety, efficacy, dosing and/or presentation profile. Our commercial opportunity and success will be reduced or eliminated if competing products are safer, more effective, have a more attractive dosing profile or presentation or are less expensive than the products we develop, or if biosimilars enter the market and are able to gain market acceptance more quickly than we do or at wider scale.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 candidates may fail in development or suffer delays. We depend on the successful initiation and completion of clinical trials for our product candidates to advance our product development plans.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products on the market, and all of our programs are in preclinical or clinical stages of development. As a result, we expect it will be many years before we can obtain regulatory approval for and commercialize any product candidate, if ever. Clinical testing is expensive, difficult to design and implement, and can take years to complete and is uncertain as to outcome. A failure of one or more of our clinical trials can occur at any stage of testing. The outcome of preclinical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for their products. It may be difficult for us to raise additional capital if we experience any issues that delay or prevent the regulatory approval or the ability to commercialize our product candidates.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experience a number of unforeseen events affecting our product development timeline, including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jc w:val="both"/>
              <w:rPr>
                <w:rFonts w:ascii="Times New Roman;Times;Serif" w:hAnsi="Times New Roman;Times;Serif"/>
                <w:sz w:val="20"/>
              </w:rPr>
            </w:pPr>
            <w:r>
              <w:rPr>
                <w:rFonts w:ascii="Times New Roman;Times;Serif" w:hAnsi="Times New Roman;Times;Serif"/>
                <w:sz w:val="20"/>
              </w:rPr>
              <w:t>our clinical trials may fail to show safety or efficacy, produce negative or inconclusive results, or our product candidates may have undesirable side effects or unexpected characteristics, and we may decide, or regulators may require that we conduct additional preclinical studies or clinical trials or we may decide to abandon product development programs;</w:t>
            </w:r>
          </w:p>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supply or quality of our clinical trial materials or other materials necessary to conduct clinical trials of our product candidates may be insufficient or inadequate;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regulators or IRBs, the FDA, or ethics committees may not authorize us or our investigators to commence or conduct a clinical trial at one or more prospective trial sites; or may require that we or our investigators materially modify, suspend or terminate clinical research or trials for various reasons, including noncompliance with regulatory requirements or a finding that the participants in our trials are being exposed to unacceptable health risks;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failure to establish an appropriate safety profile for a product candidate based on clinical or preclinical data as well as data emerging from other therapies in the same class as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subjects required for clinical trials of any product candidates may be larger than we anticipate, especially if regulatory bodies require completion of non-inferiority or superiority trials; enrollment in these clinical trials may be slower than we anticipate or subjects may drop out of these clinical trials or fail to return for post-treatment follow-up at a higher rate than we anticipate;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trial conduct or data analysis errors may occur, including, but not limited to, failure by investigators or participants to adhere to the study protocol or data entry and/or labeling errors;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experience delays in reaching, or fail to reach, agreement on acceptable terms with prospective trial sites and/or contract research organizations (“CROs”);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third-party contractors or clinical trial sites may fail to comply with regulatory requirements or meet their contractual obligations to us in a timely manner, or at all, or may deviate from the clinical trial protocol or drop out of the trial, which may require that we add new clinical trial sites or investigators and could potentially complicate the analysis of data;</w:t>
            </w:r>
          </w:p>
        </w:tc>
      </w:tr>
    </w:tbl>
    <w:p>
      <w:pPr>
        <w:pStyle w:val="TextBody"/>
        <w:bidi w:val="0"/>
        <w:spacing w:before="0" w:after="0"/>
        <w:ind w:left="0" w:right="0" w:hanging="0"/>
        <w:jc w:val="left"/>
        <w:rPr>
          <w:caps w:val="false"/>
          <w:smallCaps w:val="false"/>
        </w:rPr>
      </w:pPr>
      <w:r>
        <w:rPr>
          <w:caps w:val="false"/>
          <w:smallCaps w:val="false"/>
        </w:rPr>
        <w:t> </w:t>
      </w:r>
    </w:p>
    <w:tbl>
      <w:tblPr>
        <w:tblW w:w="7008" w:type="dxa"/>
        <w:jc w:val="left"/>
        <w:tblInd w:w="0" w:type="dxa"/>
        <w:tblLayout w:type="fixed"/>
        <w:tblCellMar>
          <w:top w:w="0" w:type="dxa"/>
          <w:left w:w="0" w:type="dxa"/>
          <w:bottom w:w="0" w:type="dxa"/>
          <w:right w:w="0" w:type="dxa"/>
        </w:tblCellMar>
      </w:tblPr>
      <w:tblGrid>
        <w:gridCol w:w="68"/>
        <w:gridCol w:w="200"/>
        <w:gridCol w:w="67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 of clinical trials of any of our programs may be greater than we anticipate;</w:t>
            </w:r>
          </w:p>
        </w:tc>
      </w:tr>
    </w:tbl>
    <w:p>
      <w:pPr>
        <w:pStyle w:val="TextBody"/>
        <w:bidi w:val="0"/>
        <w:spacing w:before="0" w:after="0"/>
        <w:ind w:left="0" w:right="0" w:hanging="0"/>
        <w:jc w:val="left"/>
        <w:rPr>
          <w:caps w:val="false"/>
          <w:smallCaps w:val="false"/>
        </w:rPr>
      </w:pPr>
      <w:r>
        <w:rPr>
          <w:caps w:val="false"/>
          <w:smallCaps w:val="false"/>
        </w:rPr>
        <w:t> </w:t>
      </w:r>
    </w:p>
    <w:tbl>
      <w:tblPr>
        <w:tblW w:w="9078" w:type="dxa"/>
        <w:jc w:val="left"/>
        <w:tblInd w:w="0" w:type="dxa"/>
        <w:tblLayout w:type="fixed"/>
        <w:tblCellMar>
          <w:top w:w="0" w:type="dxa"/>
          <w:left w:w="0" w:type="dxa"/>
          <w:bottom w:w="0" w:type="dxa"/>
          <w:right w:w="0" w:type="dxa"/>
        </w:tblCellMar>
      </w:tblPr>
      <w:tblGrid>
        <w:gridCol w:w="68"/>
        <w:gridCol w:w="200"/>
        <w:gridCol w:w="88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reports from clinical testing of other therapies may raise safety or efficacy concerns about our programs;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FDA or other regulatory authorities may require us to submit additional data or impose other requirements and our product development timeline may be adversely affected.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clinical trials do not produce favorable results, our ability to obtain regulatory approval for our product candidates will be adversely impacted. Moreover, the combined data from our trials may be inconclusive or may not be sufficient to ultimately gain marketing approval from the FDA or other regulatory authorities. There are equivalent processes and risks applicable to clinical trial applications in other countries outside of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because of the competitive landscape for immunology and inflammation (commonly referred to as “I&amp;I”) indications, we may also face competition for clinical trial enrollment. Clinical trial enrollment will depend on many factors, including if potential clinical trial participants choose to undergo treatment with approved products or enroll in competitors’ ongoing clinical trials for programs that are under development for the same indications as our programs. An increase in the number of approved products for the indications we are targeting with our programs may further exacerbate this competition. Our inability to enroll a sufficient number of participants could, among other things, delay our development timeline, which may further harm our competitive position and have an adverse effect on our business and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substantially dependent on the success of our two most advanced programs, ORKA-001 and ORKA-002, and our clinical trials of such programs may not be successful.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is substantially dependent on our ability to develop and timely obtain marketing approval for, and then successfully commercialize, our two most advanced programs, ORKA-001 and ORKA-002. We are investing a majority of our efforts and financial resources into the research and development of these programs. We have initiated a Phase 1 clinical trial of ORKA-001 in healthy volunteers and anticipate initiating a Phase 1 clinical trial of ORKA-002 in healthy volunteers in the second half of 2025, subject to the filing of an IND or foreign equivalent and regulatory approval. Currently, we believe that the success of our programs is dependent on observing a longer half-life of our product candidates in humans than mAbs currently marketed and in development as we believe this longer half-life has the potential to result in a more favorable dosing schedule for our product candidates, assuming they successfully complete clinical development and obtain marketing approval. This is based in part on the assumption that the longer half-life we have observed in NHPs will translate into an extended half-life of our product candidates in humans. To the extent we do not observe this extended half-life in humans, it would significantly and adversely affect the clinical and commercial potential of our product candidates.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do not achieve our projected development goals in the time frames we announce and expect, the development and potential commercialization of our product candidates may be delayed and our expenses may increase and, as a result, our business may be materially harmed and our stock price may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such as the expected timing of our clinical trials in our target indications, anticipated data analysis and results from our clinical trials, as well as the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the development and potential commercialization of our product candidates may be delayed or never achieved and, as a result, our business may be materially harmed and our stock price may decline. Additionally, delays relative to our projected timelines are likely to cause overall expenses to increase, which may require us to raise additional capital sooner than expected and prior to achieving targeted development milestones.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drug delivery device that we may use to deliver our product candidates may have its own regulatory, development, supply and other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deliver our product candidates via a drug delivery device, such as an injector or other delivery system. There may be unforeseen technical complications related to the development activities required to bring such a product to market, including primary container compatibility and/or dose volume requirements. If our product candidates are intended to be used with drug delivery devices, we expect to utilize drug delivery devices authorized for marketing under clearances of approvals held by third parties. Our product candidates may not be approved or may be substantially delayed in receiving approval if the devices that we choose to develop do not gain and/or maintain their own regulatory approvals or clearances. Where approval of the drug product and device is sought under a single application, the increased complexity of the review process may delay approval. In addition, some drug delivery devices are provided by single-source third-party companies. We may be dependent on the sustained cooperation and effort of those third-party companies both to supply the devices and, in some cases, to conduct the studies required for approval or other regulatory clearance of the devices. Even if approval is obtained for our products, we may also be dependent on those third-party companies continuing to maintain such approvals or clearances, if required, for their drug delivery devices once they have been received. Failure of third-party companies to supply the devices on time and in accordance with the agreed-upon specifications, to successfully complete studies on the devices in a timely manner, or to obtain or maintain required approvals or clearances of the devices could result in increased development costs, delays in or failure to obtain regulatory approval and delays in product candidates reaching patients.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approach to the discovery and development of our programs is unproven, and we may not be successful in our efforts to build a pipeline of programs with commercial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approach to the discovery and development of the research programs with respect to which we have signed a license agreement, exercised the Option to acquire intellectual property license rights to or have the Option to acquire intellectual property license rights to pursuant to the Option Agreements, leverages clinically validated mechanisms of action and incorporates advanced antibody engineering to optimize half-life and other properties designed to overcome limitations of existing therapies. Our programs are purposefully designed to improve upon existing product candidates and products while maintaining the same, well-established mechanisms of action. However, the scientific research that forms the basis of our efforts to develop programs using half-life extension technologies is ongoing and may not result in viable programs. There is limited clinical data available on product candidates utilizing half-life extension technologies, especially in I&amp;I indications, demonstrating whether they are safe or effective for long-term treatment in humans. The long-term safety and efficacy of these technologies and the extended half-lives and exposure profiles of our programs compared to currently approved products are unknown.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ultimately discover that utilizing half-life extension technologies for our specific targets and indications and any programs resulting therefrom does not possess certain properties required for therapeutic effectiveness. In addition, programs using half-life extension technologies may demonstrate different chemical and pharmacological properties in human participants than they do in laboratory studies or preclinical studies. This technology and any programs resulting therefrom may not demonstrate the same chemical and pharmacological properties in humans and may interact with human biological systems in unforeseen, ineffective or harmful ways.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in the future seek to discover and develop programs that are based on novel targets and technologies that are unproven. If our discovery activities fail to identify novel targets or technologies for drug discovery, or such targets prove to be unsuitable for treating human disease, we may not be able to develop viable additional programs. We and our existing or future collaborators may never receive approval to market and commercialize any product candidate. Even if we or an existing or future collaborator obtains regulatory approval, the approval may be for targets, disease indications or patient populations that are not as broad as we intended or desired or may require labeling that includes significant use or distribution restrictions or safety warnings. If the products resulting from the research programs with respect to which we have signed license agreements with Paragon, exercised the Option to acquire intellectual property license rights to or have the Option to acquire intellectual property license rights to pursuant to the Option Agreements prove to be ineffective, unsafe or commercially unviable, such programs would have little, if any, value, which would have a material and adverse effect on our business, financial condition, results of operations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Preclinical and clinical development involves a lengthy and expensive process that is subject to delays and uncertain outcomes, and results of earlier studies and trials may not be predictive of future clinical trial results. If our preclinical studies and clinical trials are not sufficient to support regulatory approval of any of our product candidates, we may incur additional costs or experience delays in completing, or ultimately be unable to complete, the development of such product candidate.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obtaining marketing approval from regulatory authorities for the sale of any product candidate, we must complete preclinical studies and then conduct extensive clinical trials to demonstrate the safety and efficacy of such product candidate in humans. Our clinical trials may not be conducted as planned or completed on schedule, if at all, and failure can occur at any time during the preclinical study or clinical trial process.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a failure of one or more clinical trials can occur at any stage of testing. Clinical data is often susceptible to varying interpretations and analyses, and in addition, we expect to rely on participants to provide feedback on measures such as measures of quality of life, which are subjective and inherently difficult to evaluate. These measures can be influenced by factors outside of our control, and can vary widely from day-to-day for a particular participant, and from participant to participant and from site to site within a clinical trial.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be sure that the FDA, or comparable foreign regulatory authority, as applicable, will agree with our clinical development plan. We plan to use the data from our Phase 1 trials of our ORKA-001 and ORKA-002 programs in healthy volunteers to support Phase 2 trials in PsO and potentially other I&amp;I indications. If the FDA and/or comparable foreign regulatory authority requires us to materially modify our proposed trial designs, conduct additional trials or enroll additional participants, our development timelines may be delayed. We cannot be sure that submission of an IND, Clinical Trial Application or similar application will result in the FDA or comparable foreign regulatory authorities, as applicable, allowing clinical trials to begin in a timely manner, if at all. Moreover, even if these trials begin, issues may arise that could suspend or terminate such clinical trials. Events that may prevent successful or timely initiation or completion of clinical trials include: inability to generate sufficient preclinical, toxicology or other in vivo or in vitro data to support the initiation or continuation of clinical trials; delays in reaching a consensus with regulatory authorities on study design or implementation of the clinical trials; delays or failure in obtaining regulatory authorization to commence a trial; delays in reaching agreement on acceptable terms with prospective CROs and clinical trial sites; recruiting and training suitable clinical investigators; delays in obtaining required IRB approval at each clinical trial site; delays in manufacturing, testing, releasing, validating or importing/exporting sufficient stable quantities of our product candidates for use in clinical trials or the inability to do any of the foregoing; failure by our CROs, other third parties or us to adhere to clinical trial protocols; failure to perform in accordance with the FDA’s or any other regulatory authority’s current GCP requirements or applicable regulatory guidelines in other countries; changes to the clinical trial protocols; clinical sites deviating from trial protocol or dropping out of a trial; delays or failure by our third party vendors or us in the manufacturing, packaging, labeling and proper delivery of clinical trial materials; and third parties being unwilling or unable to satisfy their contractual obligations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also encounter delays if a clinical trial is required to be materially modified or suspended or terminated by us, the IRBs, by a Data Safety Monitoring Board, if any, or by the FDA or comparable foreign regulatory authorities. Such authorities may suspend, put on clinical hold or terminate a clinical trial due to a number of factors, including not aligning with or supporting our clinical trial designs or our failure to conduct the clinical trial in accordance with regulatory requirements or our clinical trial protocols, inspection of the clinical trial operations or trial site by the FDA or comparable foreign regulatory authorities resulting in the imposition of a clinical hold, unforeseen safety issues or adverse side effects, failure to demonstrate a benefit from the programs, changes in governmental regulations or administrative actions or lack of adequate funding to continue the clinical trial. If we are required to conduct additional clinical trials or other testing of our product candidates beyond those that we currently contemplate, if we are unable to successfully complete clinical trials of our product candidates, if the results of these trials are not positive or are only moderately positive or if there are safety concerns, our business and results of operations may be adversely affected and we may need to adjust or abandon our business plans and we may incur significant additional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encounter difficulties enrolling participants in our current and future clinical trials, our clinical development activities could be delayed or otherwise adversely affected. We depend on the successful completion of clinical trials for our product candidates.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experience difficulties in patient participant enrollment in our clinical trials for a variety of reasons. The timely completion of clinical trials in accordance with their protocols depends, among other things, on our ability to enroll a sufficient number of participants who remain in the trial until conclusion. The enrollment of participants in future trials for any of our programs will depend on many factors, including if participants choose to enroll in clinical trials, rather than using approved products, or if our competitors have ongoing clinical trials for programs that are under development for the same indications as our programs, and participants instead enroll in such clinical trials. Even if we are able to enroll a sufficient number of participants for our clinical trials, it may have difficulty maintaining participants in our clinical trials. Our inability to enroll or maintain a sufficient number of participants would result in significant delays in completing clinical trials and increased development costs or may require us to abandon one or more clinical trials altogether.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Preliminary, “topline” or interim data from our clinical trials may change as more participant data becomes available and are subject to audit and verification procedures, and should be viewed with caution until the final data are available.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publicly disclose preliminary or topline data from our preclinical studies and clinical trials, which are based on a preliminary analysis of then-available data, and the results and related findings and conclusions are subject to change following a more comprehensive review of the data. We also make assumptions, estimations, calculations and conclusions as part of our analyses of these data without the opportunity to fully and carefully evaluate complete data. As a result, the preliminary or topline results that we report may differ from future results of the same studies, or different conclusions or considerations may qualify such results, once additional data have been received and fully evaluated or subsequently made subject to audit and verification procedures.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also disclose interim data from our preclinical studies and clinical trials. Interim data are subject to the risk that one or more of the clinical outcomes may materially change as participant enrollment continues and more participant data become available or as participants from our clinical trials continue other treatments. Further, others, including regulatory agencies, may not accept or agree with our assumptions, estimates, calculations, conclusions or analyses or may interpret or weigh the importance of data differently, which could impact the value of the particular product candidate, the approvability or commercialization of the particular product candidate and our company in general. In addition, the information we choose to publicly disclose regarding a particular preclinical study or clinical trial is based on what is typically extensive information, and you or others may not agree with what we determine is material or otherwise appropriate information to include in our disclosure. If the preliminary, topline or interim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clinical trials may reveal significant adverse events, undesirable side effects or patient intolerance not seen in our preclinical studies or earlier clinical trials, and may result in a safety profile that could halt clinical development, inhibit regulatory approval or limit commercial potential or market acceptance of any of our product candidates.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of our clinical trials could reveal a high and unacceptable severity and prevalence of side effects or patient intolerance, adverse events or unexpected characteristics, and any of these occurrences could harm our business, financial condition, results of operations and prospects significantly. If significant adverse events or other side effects are observed in any of our clinical trials, we may have difficulty recruiting participants to such trials, participants may drop out of the trials, or we may have to suspend, materially modify or abandon the trials or our development efforts of one or more programs altogether. We, the FDA or other applicable regulatory authorities, or an IRB, may suspend or require the material modification of any clinical trials of any program at any time for various reasons, including a belief that participants in such trials are being exposed to unacceptable health risks or adverse side effects. Moreover, negative or inconclusive results could cause the FDA or other regulatory agencies to require that we repeat or conduct additional clinical trials. If our clinical trials do not produce favorable results, our ability to obtain regulatory approval for our product candidates may be adversely impacted.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side effects do not preclude the product candidate from obtaining or maintaining marketing approval, undesirable side effects may inhibit market acceptance of the approved product due to their tolerability versus other therapies. In addition, an extended half-life could prolong the duration of undesirable side effects, which could also affect our clinical trials or inhibit market acceptance. Potential side effects associated with our product candidates may not be appropriately recognized or managed by the treating medical staff, as toxicities resulting from our product candidates may not be normally encountered in the general patient population and by medical personnel.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even if we successfully advance our product candidates through clinical trials, such trials will only include a limited number of participants and limited duration of exposure to our product candidates. As a result, we cannot be assured that adverse effects of our product candidates will not be uncovered when a significantly larger number of participants are exposed to the product candidate after approval. Further, any clinical trials may not be sufficient to determine the effect and safety consequences of using our product candidates over a multi-year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foregoing events occur or if one or more of the research programs with respect to which we have signed a licensed agreement for or exercised the Option to acquire intellectual property license rights to or have the Option to acquire intellectual property license rights to pursuant to the Option Agreements prove to be unsafe, our pipeline could be affected, which would have a material adverse effect on our business, financial condition, results of operations and prospects.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expend our limited resources to pursue a particular program and fail to capitalize on programs that may be more profitable or for which there is a greater likelihood of success.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initially focused on our most advanced programs, ORKA-001 and ORKA-002, and as a result, we may forgo or delay pursuit of opportunities with other programs that later prove to have greater commercial potential. Our resource allocation decisions may cause us to fail to capitalize on viable commercial products or profitable market opportunities. Our spending on current and future research and development programs for specific indications may not yield any commercially viable product candidates. If we do not accurately evaluate the commercial potential or target market for a particular product candidate, we may be in a position where we may have to relinquish valuable rights to that product candidate through collaboration, licensing or other arrangements in cases in which we would have been more advantageous for us to retain sole development and commercialization rights to such product candidate.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approved products resulting from our programs may not achieve adequate market acceptance among clinicians, patients, healthcare third-party payors and others in the medical community necessary for commercial success and we may not generate any future revenue from the sale or licensing of such products.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regulatory approval is obtained for a product candidate resulting from one of our current or future programs, it may not gain market acceptance among physicians, patients, healthcare payors or the medical community. Market acceptance of our product candidates will depend on many factors, including factors that are not within our control. While there are several approved products and product candidates in later stages of development for the treatment of PsO, our programs incorporate advanced antibody engineering to optimize the half-life and formulation of antibodies, and to date, no such antibody has been approved by the FDA for the treatment of PsO. Market participants with influence over acceptance of new treatments, such as clinicians and third-party payors, may not adopt a biologic that incorporates half-life extension for our targeted indications, and we may not be able to convince the medical community and third-party payors to accept and use, or to provide favorable reimbursement for, any programs developed by us or our existing or future collaborators. Moreover, an extended half-life may make it more difficult for patients to change treatments and there may be a perception that half-life extension could exacerbate side effects, each of which may adversely affect our ability to gain market acceptance.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medical products also depend on the willingness of healthcare providers to prescribe the treatment, and if any of our product candidates is approved but does not achieve an adequate level of acceptance, we may not generate or derive sufficient revenue from that product candidate and may not become or remain profitable.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of our programs may compete with our other programs, which could negatively impact our business and reduce our future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developing product candidates for the same indication, PsO, and may in the future develop our programs for other I&amp;I indications. Each such program targets a different mechanism of action. However, developing multiple programs for a single indication may negatively impact our business if the programs compete with each other. For example, if multiple programs are conducting clinical trials at the same time, they could compete for the enrollment of participants. In addition, if multiple product candidates are approved for the same indication, they may compete for market share, which could limit our future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conduct clinical trials for programs at sites outside the United States, and the FDA may not accept data from trials conducted in such locations. Moreover, conducting clinical trials outside of the U.S. presents additional risks that may delay our clinical trials.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choose to conduct one or more of our future clinical trials outside the United States. Although the FDA may accept data from clinical trials conducted outside the United States, acceptance of this data is subject to conditions imposed by the FDA.  If the FDA does not accept the data from any trial that we conduct outside the United States, it would likely result in the need for additional trials, which would be costly and time-consuming and would delay or permanently halt our development of the applicable product candidates. Even if the FDA accepted such data, it could impose additional conditions, such as requiring us to modify our planned clinical trials to receive clearance to initiate such trials in the United States or to continue such trials once initiated.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conducting clinical trials outside of the U.S. presents additional risks that may delay completion of our clinical trials. These risks include the failure of investigators or enrolled participants in foreign countries to adhere to clinical protocol as a result of differences in healthcare services or cultural customs that could restrict or limit our ability to conduct our clinical trials, the administrative burdens of conducting clinical trials under multiple sets of foreign regulations, potential restrictions, such as local privacy restrictions, on data generated from the clinical trial, diminished protection of intellectual property in some countries, as well as political and economic risks relevant to foreign countries.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Government Regulation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regulatory approval processes of the FDA and other comparable foreign regulatory authorities are lengthy, time-consuming and unpredictable. If we are not able to obtain, or if there are delays in obtaining, required regulatory approvals for our product candidates, we may not be able to commercialize, or may be delayed in commercializing, our product candidates, and our ability to generate revenue may be materially impaired.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lengthy regulatory approval process as well as the unpredictability of clinical trial results may result in our failing to obtain or be delayed in obtaining approval to market our product candidates, which would significantly harm our business, results of operations and prospects. Of the large number of drugs in development, only a small percentage successfully complete the FDA or foreign regulatory approval processes and are commercialized. The process of obtaining regulatory approvals, both in the United States and abroad, is unpredictable, expensive and typically takes many years following commencement of clinical trials. Approval may never be obtained and the approval process can vary substantially based upon a variety of factors, including the type, complexity and novelty of the product candidates involved. Further, the FDA and comparable foreign regulatory authorities may undergo leadership changes, change their policies, issue additional regulations or revise existing regulations, or take other actions, such as those implemented by the recently established Department of Government Efficiency, which may impact our clinical development plans or prevent or delay approval of our programs under development on a timely basis. Such policy or regulatory changes could impose additional requirements upon us that could delay our ability to obtain approvals and increase the costs of compliance. Before obtaining regulatory approvals for the commercial sale of our product candidates, we must demonstrate through lengthy, complex and expensive preclinical studies and clinical trials that our product candidates are both safe and effective for each targeted indication. Securing regulatory approval also requires the submission of information about the drug manufacturing process to, and inspection of manufacturing facilities by, the relevant regulatory authority. Further, our product candidates may not be effective, may be only moderately effective or may prove to have undesirable or unintended side effects, toxicities or other characteristics that may preclude our obtaining marketing approval. The FDA and comparable foreign regulatory authorities have substantial discretion in the approval process and may refuse to accept any application or may decide that our data are insufficient for approval and require additional preclinical, clinical or other data. Our product candidates could be delayed in receiving, or fail to receive, regulatory approval for many reasons, including: the failure to demonstrate that a product candidate’s benefits outweigh safety risks; regulatory authorities may disagree with our interpretation of clinical data or the data collected may not be acceptable or sufficient to support submission; or the results may not meet the level of statistical significance required for approval by the relevant regulatory authorities or otherwise considered insufficient by the FDA or comparable foreign regulatory authorities. Regulatory authorities may require the addition of labeling statements, such as black box or other warnings or contraindications that could diminish the usage of the product or otherwise limit the commercial success of the affected product.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regulatory authorities may approve any of our product candidates for fewer or more limited indications than we request, including failing to approve the most commercially promising indications, may grant approval contingent on the performance of costly post-marketing clinical trials, or may approve a product candidate with a label that does not include the labeling claims necessary or desirable for the successful commercialization of that product candidate.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meet requirements for the chemistry, manufacturing and control of our programs.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receive approval of our products by the FDA and comparable foreign regulatory authorities, we must show that we and our CMO partners are able to characterize, control and manufacture our drug products safely and in accordance with regulatory requirements. This includes manufacturing the active ingredient, developing an acceptable formulation, manufacturing the drug product, performing tests to adequately characterize the formulated product, documenting a repeatable manufacturing process, and demonstrating that our drug products meet stability requirements. As noted above, we may deliver our product candidates via a drug delivery device, which also requires us to meet certain chemistry, manufacturing and control requirements set forth by the FDA and other foreign regulatory authorities. Meeting these chemistry, manufacturing and control requirements is a complex task that requires specialized expertise. If we are not able to meet the chemistry, manufacturing and control requirements, we may not be successful in getting our products approved.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 candidates for which we intend to seek approval as biologics may face competition sooner than anticipated.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Patient Protection and Affordable Care Act, as amended by the Healthcare and Education Reconciliation Act (the “ACA”), includes a subtitle called the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any of our product candidates approved as biologics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reference products in a way that is similar to traditional generic substitution for non-biological products is not yet clear, and will depend on a number of marketplace and regulatory factors that are still developing.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we receive regulatory approval of our product candidates, we will be subject to extensive ongoing regulatory obligations and continued regulatory review and may result in restrictions on the use of the product, which may result in significant additional expense and we may be subject to penalties if we fail to comply with regulatory requirements or experience unanticipated problems with our product candidates.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regulatory approvals that we may receive for our product candidates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REMS in order to approve our product candidates. In addition, even if our product candidates receive approval, our product candidates and the activities associated with their development and commercialization, including their design, testing, manufacture, safety, efficacy, recordkeeping, labeling, storage, approval, advertising, promotion, sale, distribution, import and export will be subject to comprehensive regulation by the FDA and other regulatory agencies in the United States and by comparable foreign regulatory authorities. These requirements include submissions of safety and other post-marketing information and reports, registration, as well as on-going compliance with current CGMPs and GCPs for any clinical trials that we conduct following approval. In addition, manufacturers of drug products and their facilities are subject to continual review and periodic, unannounced inspections by the FDA and other regulatory authorities for compliance with CGMPs.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or a regulatory authority discover previously unknown problems with a product or problems with the facilities where the product is manufactured, a regulatory authority may impose restrictions on that product, the manufacturing facility or us, including requiring recall or withdrawal of the product from the market or suspension of manufacturing, restrictions on our ability to conduct clinical trials, including full or partial clinical holds on ongoing or planned trials, restrictions on the manufacturing process, warning or untitled letters, civil and criminal penalties, injunctions, product seizures, detentions or import bans, voluntary or mandatory publicity requirements and imposition of restrictions on operations, including costly new manufacturing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Disruptions at the FDA, the SEC and other government agencies and regulatory authorities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FDA to review regulatory filings and our ability to commence human clinical trials can be affected by a variety of factors, including government budget and funding levels, ability to hire and retain key personnel and accept the payment of user fees, statutory, regulatory and policy changes, disruptions caused by government shutdowns and public health crises. There have been mass layoffs of federal government employees since the start of the presidential administration in January 2025, the full impact of which is unclear at this time.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Furthermore, the presidential administration has made and is expected to continue to make changes in the leadership of various U.S. federal regulatory agencies and changes to U.S. federal government policy that have led to, in some cases, legal challenges and uncertainty around the funding, functioning and policy priorities of the U.S. federal regulatory agencies, including the FDA.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Disruptions at the FDA and other agencies or comparable foreign regulatory authorities, may also slow the time necessary for the review and approval of applications for clinical trial or marketing authorization, which would adversely affect our business. For example, in recent years, including in 2018 and 2019, the U.S. government shut down several times and certain regulatory agencies, such as the FDA and the SEC, had to furlough critical employees and stop critical activities. Additionally, action by the new Trump Administration to limit federal agency budgets or personnel may result in reductions to the FDA’s budget, employees, and operations, which may lead to slower response times and longer review periods, potentially affecting our ability to progress development of our product candidates or obtain regulatory approval for our product candidates.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unable to predict the extent to which the presidential administration may impose or seek to impose leadership or policy changes at the FDA or changes to rules and policies impacting our business and operations. It is unclear how these executive actions or other potential actions by the federal government will impact the FDA or other regulatory authorities that oversee our business. Government proposals to reduce or eliminate budgetary deficits may include reduced allocations to the FDA and other related government agencies. These budgetary pressures may reduce the FDA’s ability to perform its responsibilities, which could result in delays in our clinical trial timelines. If a significant reduction in the FDA’s workforce occurs, the FDA’s budget is significantly reduced or a prolonged government shutdown occurs, it could significantly impact the ability of the FDA to timely review and process our regulatory submissions or take other actions critical to the development or manufacturing of our product candidates, which could have a material adverse effect on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difficulties from legislative or regulatory reform measures.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faced with additional or changing regulatory and governmental regulations that could prevent, limit or delay regulatory approval of our product candidates. We cannot predict the likelihood, nature or extent of government regulation that may arise from future legislation or administrative or executive action, either in the United States or abroad. For example, the Trump Administration has discussed several changes to the reach and oversight of the FDA, which could affect its relationship with the pharmaceutical industry, transparency in decision making and ultimately the cost and availability of prescription drugs.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pharmaceuticals has been a topic of considerable public discussion that could lead to price controls or other price-limiting strategies by payors that have the effect of lowering payment and reimbursement rates for drugs or otherwise making the commercialization of pharmaceuticals less profitable. Many federal and state legislatures have considered, and adopted, healthcare policies intended to curb rising healthcare costs, such as the IRA. These cost-containment measures may include, among other measures: requirements for pharmaceutical companies to negotiate prescription drug prices with government healthcare programs; controls on government-funded reimbursement for drugs; new or increased requirements to pay prescription drug rebates to government healthcare programs, including if drug prices increase at a higher rate than inflation; controls on healthcare providers; challenges to or limits on the pricing of drugs, including pricing controls or limits or prohibitions on reimbursement for specific products through other means; requirements to try less expensive products or generics before a more expensive branded product; and public funding for cost effectiveness research, which may be used by government and private third-party payors to make coverage and payment decisions. Political, economic and regulatory developments may further complicate developments in healthcare systems and pharmaceutical drug pricing. These developments could, for example, impact our potential licensing agreements as commercial and collaborative partners may also consider the impact of these pressures on their licensing strategies.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new laws or regulations that have the effect of imposing additional costs or regulatory burden on pharmaceutical manufacturers, or otherwise negatively affect the industry, could adversely affect our ability to successfully commercialize our product candidates. The implementation of any price controls, caps on prescription drugs or price transparency requirements could adversely affect our business, operating results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r>
        <w:rPr>
          <w:rFonts w:ascii="Times New Roman;Times;Serif" w:hAnsi="Times New Roman;Times;Serif"/>
          <w:b/>
          <w:i/>
          <w:caps w:val="false"/>
          <w:smallCaps w:val="false"/>
          <w:sz w:val="20"/>
        </w:rPr>
        <w:t>Our business operations and current and future arrangements with investigators, healthcare professionals, consultants, third-party payors, patient organizations and customers will be subject to applicable healthcare regulatory laws, including conflicts of interest rules, which could expose us to penalties.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Principal investigators for our clinical trials may serve as scientific advisors or consultants to us or may be affiliated with our other service providers, including CROs or site management organizations, and from time to time may receive cash compensation in connection with such services. If these relationships and any related compensation result in perceived or actual conflicts of interest, the integrity of the data generated at the applicable clinical trial site or in the applicable trial may be questioned or jeopardized.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Ensuring that our internal operations and future business arrangements with third parties comply with applicable healthcare laws and regulations will involve costs and management attention. If our operations are found to be in violation of any of these laws or any other governmental laws and regulations that may apply to it, we may be subject to significant penalties, including civil, criminal and administrative penalties, damages, fines, exclusion from government-funded healthcare programs, integrity oversight and reporting obligations to resolve allegations of non-compliance, disgorgement, individual imprisonment, contractual damages, reputational harm, diminished profits and the curtailment or restructuring of our operations. Further, defending against any such actions can be costly and time-consuming and may require significant personnel resources. Therefore, even if we are successful in defending against any such actions that may be brought against us, our business may be impaired.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we are able to commercialize any product candidates, we may be subject to unfavorable pricing regulations and/or third-party coverage and reimbursement policies, and we may not be able to offer such product candidates at competitive prices, which would seriously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seek approval to market our product candidates in the United States and in selected foreign jurisdictions, and we will be subject to rules and regulations in those jurisdictions where we obtain approval. Our ability to successfully commercialize any product candidates that we may develop will depend in part on the extent to which reimbursement for these product candidates and related treatments will be available from government health administration authorities, private health insurers and other organizations. In some jurisdictions, government authorities and other third-party payors decide which medications they will pay for and establish reimbursement levels, and have attempted to control costs by limiting coverage and the amount of reimbursement for particular medications. These entities may create preferential access policies for a competitor’s product, including a branded or generic/biosimilar product, over our products in an attempt to reduce their costs, which may reduce our commercial opportunity. Additionally, if any of our product candidates are approved and we are found to have improperly promoted off-label uses of those product candidates, we may become subject to significant liability, which would materially adversely affect our business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U.S. and certain foreign export and import controls, sanctions, embargoes, anti-corruption laws, and anti-money laundering laws and regulations. We can face criminal liability and other serious consequences for violations, which can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the U.S. Physician Payments Sunshine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or from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Governments outside the United States tend to impose strict price controls, which may adversely affect our revenue, if 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countries, particularly member states of the EU (“EU Member States”), the pricing of prescription drugs is subject to governmental control. In these countries, pricing negotiations with governmental authorities can take considerable time after receipt of marketing approval for a therapeutic.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EU Member States, can further reduce prices. To obtain coverage and reimbursement or pricing approvals in some countries, we or current or future collaborators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 If the UK or EU Member States were to significantly alter their regulations affecting the pricing of prescription pharmaceuticals, we could face significant new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Intellectual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obtain and protect our patents and other proprietary rights is uncertain, exposing us to the possible loss of competitive advantage.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upon a combination of patents, trademarks, trade secret protection, confidentiality agreements and the Option and License Agreements to protect the intellectual property related to our programs and technologies and to prevent third parties from competing unfairly with it. Our success depends in large part on our ability to obtain and maintain patent protection for our programs and our product candidates and their uses, as well as our ability to operate without infringing on or violating the proprietary rights of others. Paragon has filed, on our behalf, provisional patent applications and we have filed non-provisional patent applications directed to antibodies that target IL-23, including applications covering composition of matter, pharmaceutical composition, and methods of using such antibodies, including ORKA-001. In addition, Paragon has filed, on our behalf, provisional patent applications and we intend to file one or more additional provisional patent applications directed to antibodies that target IL-17, including applications covering composition of matter, pharmaceutical composition, and methods of using such antibodies, including ORKA-002. However, we may not be able to protect our intellectual property rights throughout the world and the legal systems in certain countries may not favor enforcement or protection of patents, trade secrets and other intellectual property. Filing, prosecuting and defending patents on programs worldwide is expensive and our intellectual property rights in some foreign jurisdictions can be less extensive than those in the United States; the reverse may also occur. As such, we may not have patents in all countries or all major markets and may not be able to obtain patents in all jurisdictions even if we apply for them. Our competitors may operate in countries where we do not have patent protection and can freely use our technologies and discoveries in such countries to the extent such technologies and discoveries are publicly known or disclosed in countries where we do have patent protection or pending patent applications.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pending and future patent applications may not result in patents being issued. Any issued patents may not afford sufficient protection of our programs or their intended uses against competitors, nor can there be any assurance that the patents issued will not be infringed, designed around, invalidated by third parties, or effectively prevent others from commercializing competitive technologies, products or programs. Even if these patents are granted, they may be difficult to enforce. Further, any issued patents that we may license or own covering our programs could be narrowed or found invalid or unenforceable if challenged in court or before administrative bodies in the United States or abroad, including the United States Patent and Trademark Office (“USPTO”). Further, if we encounter delays in our clinical trials or delays in obtaining regulatory approval, the period of time during which we could market our product candidates under patent protection would be reduced. Thus, the patents that we may own and license may not afford us any meaningful competitive advantage.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seeking patents for some of our technology and programs, we may also rely on trade secrets, including unpatented know-how, technology and other proprietary information, to maintain our competitive position. Any disclosure, either intentional or unintentional, by our employees, the personnel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In order to protect our proprietary technology and processes, we rely in part on agreements, such as confidentiality agreements, with our vendors, collaborators, employees, consultants, outside scientific collaborators and sponsored researchers and other advisors. These agreements may not effectively prevent disclosure of confidential information and may not provide an adequate remedy in the event of unauthorized disclosure of confidential information. We may need to share our proprietary information, including trade secrets, with future business partners, collaborators, contractors and others located in countries at heightened risk of theft of trade secrets, including through direct intrusion by private parties or state actors and those affiliated with or controlled by state actors. In addition, while we undertake efforts to protect our trade secrets and other confidential information from disclosure, others may independently discover trade secrets and proprietary information, and in such cases, we may not be able to assert any trade secret rights against such party. Enforcing a claim that a party illegally obtained and is using our trade secrets is challenging and the outcome is unpredictable. In addition, courts outside of the U.S. may be less willing to protect trade secrets. Costly and time-consuming litigation could be necessary to enforce and determine the scope of our proprietary rights and failure to obtain or maintain trade secret protection could adversely affect our competitive business position.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Lastly, if our trademarks and trade names are not registered or adequately protected, then we may not be able to build name recognition in our markets of interest and our business may be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successful in obtaining or maintaining necessary rights to our programs through acquisitions and in-licenses.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our development programs currently do and may in the future require the use of proprietary rights held by third parties, the growth of our business may depend in part on our ability to acquire, in-license, or use these third-party proprietary rights. It is possible that we may be unable to obtain licenses at a reasonable cost or on reasonable terms, if at all. Even if we are able to obtain a license, it may be non-exclusive, thereby giving our competitors access to the same technologies licensed to us. We may be unable to acquire or in-license any compositions, methods of use, processes or other third-party intellectual property rights from third parties that we identify as necessary for our programs.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do obtain, we may have to abandon development of the relevant program, which could have a material adverse effect on our business, financial condition, results of operations,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plan to obtain the right to control prosecution, maintenance and enforcement of the patents relating to our programs, there may be times when the filing and prosecution activities for patents and patent applications relating to our programs are controlled by our current and future licensors or collaboration partners. If any of our current and future licensors or collaboration partners fail to prosecute, maintain and enforce such patents and patent applications in a manner consistent with the best interests of our business,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future licensors and our counsel that took place prior to the date upon which we assumed control over patent prosecution. Moreover, if other third parties have ownership rights to our future in-licensed patents, they may be able to license such patents to our competitors, and our competitors could market competing products and technology.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obtain licenses at a reasonable cost or terms may require us to expend significant time and resources to redesign our technology, programs, or the methods for manufacturing them or to develop or license replacement technology, all of which may not be feasible on a technical or commercial basis. If we are unable to do so, we may be unable to develop or commercialize the affected product candidates. This could have a material adverse effect on our competitive position, business, financial condition, results of operations,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Disputes may arise between us and our future licensors regarding intellectual property subject to a license agreement, including without limitation: the scope of rights granted under the license agreement and other interpretation-related issues; whether and the extent to which our technology and processes may infringe on intellectual property of the licensor that is not subject to the licensing agreement; our right to sublicense patents and other rights to third parties; our right to transfer or assign the license; the inventorship and ownership of inventions and know-how resulting from the joint creation or use of intellectual property by our future licensors and us and our partners; and the priority of invention of patented technology.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patent infringement claims or may need to file claims to protect our intellectual property, which could result in substantial costs and liability and prevent us from commercializing our potential products.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intellectual property landscape in the biopharmaceutical industry is rapidly evolving and interdisciplinary, it is difficult to conclusively assess our freedom to operate and guarantee that we can operate without infringing on or violating third-party rights. Third party patent rights, if found to be valid and enforceable, could be alleged to render one or more of our product candidates infringing. If a third party successfully brings a claim against us, we may be required to pay substantial damages, be forced to abandon or delay the development of any affected product candidate and/or seek a license from the patent holder. Any intellectual property claims brought against us, whether or not successful, may cause us to incur significant legal expenses and divert the attention of our management and key personnel from other business concerns. We cannot be certain that patents owned or licensed by us will not be challenged by others in litigation. Some of our competitors may be able to sustain the costs of complex intellectual property litigation more effectively than we can because they may have substantially greater resources. In addition, any litigation could have a material adverse effect on our business and operations, including our ability to raise funds.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Competitors may infringe or otherwise violate our patents, trademarks, copyrights or other intellectual property. To counter infringement or other violations, we may be required to file claims, which can be expensive and time-consuming, and any such claims could provoke these parties to assert counterclaims against us. In addition, in a patent infringement proceeding, a court or administrative body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or administrative body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we may be required to protect our patents through procedures created to attack the validity of a patent at the USPTO. An adverse determination in any such submission or proceeding could reduce the scope of, affect the enforceability of, or invalidate, our patent rights, which could adversely affect our competitive position.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our programs are found to infringe the intellectual property rights of third parties, these third parties may assert infringement claims against our future licensees and other parties with whom we have business relationships and we may be required to indemnify those parties for any damages they suffer as a result of these claims, which may require us to initiate or defend protracted and costly litigation on behalf of licensees and other parties regardless of the merits of such claims. If any of these claims succeed, we may be forced to pay damages on behalf of those parties or may be required to obtain licenses for the products they use.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claims that we have wrongfully hired an employee from a competitor or that our employees, consultants or independent contractors have wrongfully used or disclosed confidential information of third parties.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is common in the biopharmaceutical industry, in addition to our employees, we engage the services of consultants to assist us in the development of our programs. Many of these consultants, and many of our employees, were previously employed at, or may have previously provided or may be currently providing consulting services to, other biotechnology or pharmaceutical companies including our competitors or potential competitors. We could in the future be subject to claims that we, our employees or our consultants have inadvertently or otherwise used or disclosed alleged intellectual property, such as trade secrets, or other confidential information of former employers or competitors. Although we try to ensure that our employees and consultants do not use the intellectual property, proprietary information, know-how or trade secrets of others in their work for us, we may become subject to claims that we caused an individual to breach the terms of his or her non-competition or non-solicitation agreement, or that we or these individuals have, inadvertently or otherwise, used or disclosed the alleged trade secrets or other proprietary information of a former employer or competitor.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may litigate to defend ourselves against these claims, even if we are successful, litigation could result in substantial costs and could be a distraction to management. If our defenses to these claims fail, in addition to requiring us to pay monetary damages, a court could prohibit us from using technologies or features that are essential to our programs, if such technologies or features are found to incorporate or be derived from the trade secrets or other proprietary information of the former employers. Moreover, any such litigation or the threat thereof may adversely affect our reputation, our ability to form strategic alliances or sublicense our rights to collaborators, engage with scientific advisors or hire employees or consultants, each of which would have an adverse effect on our business, results of operations and financial condition. Even if we are successful in defending against such claims, litigation could result in substantial costs and be a distraction to management.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to patent laws in the United States and other jurisdictions could diminish the value of patents in general, thereby impairing our ability to protect our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either the patent laws or interpretation of patent laws in the United States and foreign jurisdictions could increase the uncertainties and costs surrounding the prosecution of our owned and in-licensed patent applications and the maintenance, enforcement or defense of our owned and in-licensed issued patents. Additionally, there have been proposals for additional changes to the patent laws of the United States and other countries that, if adopted, could impact our ability to enforce our proprietary technology. This combination of events has created uncertainty with respect to the validity and enforceability of patents once obtained. Depending on future actions by the U.S. Congress, the federal courts, the USPTO and the relevant law-making bodies in other countries, the laws and regulations governing patents could change in unpredictable ways that could have a material adverse effect on our patent rights and our ability to protect, defend and enforce our patent rights in the future. In addition, geopolitical instability could increase the uncertainties and costs surrounding the prosecution or maintenance of patent applications and the maintenance, enforcement or defense of issued patents.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patent positions of companies in the development and commercialization of biologics and pharmaceuticals are particularly uncertain. U.S. Supreme Court and U.S. Court of Appeals for the Federal Circuit rulings have narrowed the scope of patent protection available in certain circumstances and weakened the rights of patent owners in certain situations, including in the antibody arts. For example, the United States Supreme Court in Amgen, Inc. v. Sanofi (Amgen) stated that if patent claims are directed to an entire class of compositions of matter, then the patent specification must enable a person skilled in the art to make and use the entire class of compositions. This decision makes it unlikely that we will be granted U.S. patents with composition of matter claims directed to antibodies functionally defined by their ability to bind a particular antigen. Even if we are granted claims directed to functionally defined antibodies, it is possible that a third party may challenge our patents, when issued, relying on the reasoning in Amgen or other recent precedential court decisions.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European Unified Patent Court (“UPC”) entered into force on June 1, 2023. The UPC is a common patent court that hears patent infringement and revocation proceedings effective for EU Member States. This could enable third parties to seek revocation of a European patent in a single proceeding at the UPC rather than through multiple proceedings in each of the jurisdictions in which the European patent is validated.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do not currently own any European patents or applications, if we obtain such patents and applications in the future,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or defend the validity of any European patents we may obtain. We may decide to opt out from the UPC any future European patent applications that we may file and any patents we may obtain. If certain formalities and requirements are not met, however, such European patents and patent applications could be challenged for non-compliance and brought under the jurisdiction of the UPC. We cannot be certain that future European patents and patent applications will avoid falling under the jurisdiction of the UPC, if we decide to opt out of the UPC.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Obtaining and maintaining patent protection depends on compliance with various procedural, document submissions, fee payment and other requirements imposed by governmental patent agencies, and our patent protection could be reduced or eliminated for non-compliance with these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Periodic maintenance fees, renewal fees, annuities fees and various other governmental fees on patents and/or patent applications are due to be paid to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programs, our competitive position would be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r>
        <w:rPr>
          <w:rFonts w:ascii="Times New Roman;Times;Serif" w:hAnsi="Times New Roman;Times;Serif"/>
          <w:b/>
          <w:i/>
          <w:caps w:val="false"/>
          <w:smallCaps w:val="false"/>
          <w:sz w:val="20"/>
        </w:rPr>
        <w:t>We may not identify relevant third-party patents or may incorrectly interpret the relevance, scope or expiration of a third-party patent, which might adversely affect our ability to develop and market our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products or technology similar to ours. Any such patent application may have priority over our patent applications or patents, which could require us to obtain rights to issued patents covering such technologies.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subject to claims challenging the inventorship or ownership of our patents and other intellectual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claims that former employees, collaborators or other third parties have an interest in our patents or other intellectual property as an inventor or co-inventor. The failure to name the proper inventors on a patent application can impact the validity of the patents issuing thereon.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programs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Patent terms may be inadequate to protect the competitive position of our product candidates for an adequate amount of time.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Patents have a limited lifespan. In the United States, if all maintenance fees are timely paid, the natural expiration of a patent is generally 20 years from its earliest United States non-provisional filing date. Various extensions may be available, but the life of a patent, and the protection it affords, is time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products similar or identical to ours.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technology licensed from various third parties may be subject to retained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licensors may retain certain rights under the relevant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future licensors may rely on third-party consultants or collaborators or on funds from third parties, such as the U.S. government, such that our licensors would not be the sole and exclusive owners of any patents we in-license.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Reliance on Third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rely on licensing arrangements with Paragon through the License Agreements. If we are unable to maintain collaborations or licensing arrangements, or if our collaborations or licensing arrangements are not successful, our business could be negatively impacted.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rely on our licensing arrangements with Paragon through the License Agreements for a substantial portion of our in-licenses.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Collaborations or licensing arrangements that we enter into may not be successful, and any success will depend heavily on the efforts and activities of such collaborators or licensors. If any of our current or future collaborators or licensors experience delays in performance of, or fails to perform our obligations under their agreement with us, disagrees with our interpretation of the terms of such agreement or terminates their agreement with us, the research programs with respect to which we have the option to acquire intellectual property license rights to pursuant to the Option Agreements, the licensing agreements we have pursuant to the License Agreements and our development timeline could be adversely affected. If we fail to comply with any of the obligations under our collaborations or license agreements, including payment terms and diligence terms, our collaborators or licensors may have the right to terminate such agreements, in which event we may lose intellectual property rights and may not be able to develop, manufacture, market or sell the products covered by our agreements or may face other penalties under our agreements. Our collaborators and licensors may also fail to properly maintain or defend the intellectual property we have licensed from them, if required by our agreement with them, or even infringe upon, our intellectual property rights, leading to the potential invalidation of our intellectual property or subjecting us to litigation or arbitration, any of which would be time-consuming and expensive and could harm our ability to commercialize our product candidates. In addition, collaborators could independently develop, or develop with third parties, products that compete directly or indirectly with our programs and products if the collaborators believe that the competitive products are more likely to be successfully developed or can be commercialized under terms that are more economically attractive than ours.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strategy, we plan to evaluate additional opportunities to enhance our capabilities and expand our development pipeline or provide development or commercialization capabilities that complement ours. We may not realize the benefits of such collaborations, alliances or licensing arrangements. Any of these relationships may require us to incur non-recurring and other charges, increase our near and long-term expenditures, issue securities that dilute our existing stockholders or disrupt our management and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face significant competition in attracting appropriate collaborators, and more established companies may also be pursuing strategies to license or acquire third-party intellectual property rights that we consider attractive. These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upon, among other things, our assessment of the collaborator’s resources and expertise, the terms and conditions of the proposed collaboration and the proposed collaborator’s evaluation of a number of factors. Collaborations are complex and time-consuming to negotiate, document and execute. In addition, consolidation among large pharmaceutical and biotechnology companies has reduced the number of potential future collaborators. We may not be able to negotiate collaborations on a timely basis, on acceptable terms or at all. If we fail to enter into collaborations and do not have sufficient funds or expertise to undertake the necessary development and commercialization activities, we may not be able to further develop our product candidates or bring them to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rely, and plan to rely in the future, on third parties to conduct and support our preclinical studies and clinical trials. If these third parties do not properly and successfully carry out their contractual duties or meet expected deadlines, we may not be able to obtain regulatory approval of or commercialize our product candidates.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utilized and plan to continue to utilize and depend upon independent investigators and collaborators, such as medical institutions, CROs, contract testing labs, CMOs and strategic partners, to supply, conduct and support our preclinical studies and clinical trials under agreements with us. We will rely heavily on these third parties over the course of our preclinical studies and clinical trials, and we control only certain aspects of their activities. As a result, we will have less direct control over the conduct, timing and completion of these preclinical studies and clinical trials and the management of data developed through preclinical studies and clinical trials than would be the case if we were relying entirely upon our own staff.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regulations, which are regulations and guidelines enforced by the FDA and comparable foreign regulatory authorities for all of our programs in clinical development.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or refuse to approve our marketing applications. We cannot assure you that upon inspection by a given regulatory authority, such regulatory authority will determine that any of our clinical trials comply with GCP regulations. In addition, our clinical trials must be conducted with products produced under cGMP regulations. Our failure to comply with these regulations may require us to repeat clinical trials, which would delay the regulatory approval process. Moreover, our business may be implicated if any of these third parties violate federal or state fraud and abuse or false claims laws and regulations or healthcare privacy and security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third parties conducting our clinical trials will not be our employees and, except for remedies available to us under our agreements with such third parties, we cannot control whether they devote sufficient time and resources to our programs. These third parties may have relationships with other commercial entities, including our competitors, for whom they may also be conducting clinical trials or other product development activities, which could negatively affect their performance on our behalf and the timing thereof and could lead to products that compete directly or indirectly with our product candidates.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rely and expect to rely in the future on the use of manufacturing suites in third-party facilities or on third parties to manufacture our product candidates, and we may rely on third parties to produce and process our products, if approved. Our business could be adversely affected if we are unable to use third-party manufacturing suites or if the third-party manufacturers encounter difficulties in production.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own any facility that may be used as our clinical or commercial manufacturing and processing facility and must currently rely on CMOs to manufacture our product candidates. We have not yet caused any product candidates to be manufactured on a commercial scale and may not be able to do so for any of our product candidates, if approved. We currently have a sole source relationship for our supply of the ORKA-001 and ORKA-002 programs. If there should be any disruption in such supply arrangement, including any adverse events affecting our sole supplier, it could have a negative effect on the clinical development of our programs and other operations while we work to identify and qualify an alternate supply source. We may not control the manufacturing process of, and may be completely dependent on, our contract manufacturing partners for compliance with cGMP requirements and any other regulatory requirements of the FDA or comparable foreign regulatory authorities for the manufacture of our product candidates. Beyond periodic audits, we have limited control over the ability of our CMOs to maintain adequate quality control, quality assurance and qualified personnel. If the FDA or a comparable foreign regulatory authority does not approve these facilities for the manufacture of our product candidates or if it withdraws any approval in the future, we may need to find alternative manufacturing facilities, which would require the incurrence of significant additional costs, delays, and materially adversely affect our ability to develop, obtain regulatory approval for or market our product candidates, if approved. Similarly, our failure, or the failure of our CMOs,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our CMOs may experience manufacturing difficulties due to resource constraints, supply chain issues, proposed or actual legislative changes or requirements, or as a result of labor disputes or unstable political environments. If any CMOs on which we will rely fail to manufacture quantities of our product candidates at quality levels necessary to meet regulatory requirements and at a scale sufficient to meet anticipated demand at a cost that allows us to achieve profitability, our business, financial condition and prospects could be materially and adversely affected. In addition, our CMOs are responsible for transporting temperature-controlled materials that can be inadvertently degraded during transport due to several factors, rendering certain batches unsuitable for trial use for failure to meet, among others, our integrity and purity specifications. We and any of our CMOs may also face product seizure or detention or refusal to permit the import or export of products. Our business could be materially adversely affected by business disruptions to our third-party providers that could materially adversely affect our anticipated timelines, potential future revenue and financial condition and increase our costs and expenses. Each of these risks could delay or prevent the completion of our preclinical studies and clinical trials or the approval of any of our product candidates by the FDA, result in higher costs or adversely impact commercialization of our product candidates.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CMOs may be subject to U.S. legislation, including the proposed BIOSECURE bill, trade restrictions and other foreign regulatory requirements, which could increase the cost or reduce the supply of material available to us, delay the procurement or supply of such material or have an adverse effect on our ability to secure significant commitments from governments to purchase our potential therapies. We currently rely on foreign CROs and CMOs, including WuXi Biologics (Hong Kong) Limited and its affiliates (“WuXi Biologics”) and will likely continue to rely on foreign CROs and CMOs in the future. WuXi Biologics is identified in the U.S. legislation known as the BIOSECURE Act, which was proposed in the 118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Congress, as a “biotechnology company of concern.” The version of the BIOSECURE Act introduced in the U.S. House of Representatives during the 118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Congress would prohibit federal agencies from entering into procurement contracts with, as well as providing grants and loans to, an entity that uses biotechnology equipment or services from a biotechnology company of concern, and includes a grandfathering provision allowing biotechnology equipment and services provided or produced by named “biotechnology companies of concern” under a contract or agreement entered into before the effective date until January 1, 2032. The pathway and timing for the BIOSECURE Act or its provisions to become law are uncertain. Depending on whether the BIOSECURE Act becomes law, what the final language of the BIOSECURE Act includes, and how the law is interpreted by U.S. federal agencies, we could be potentially restricted from pursuing U.S. federal government business or grants in the future if we continue to use WuXi or other parties identified as “biotechnology companies of concern” beyond the grandfathering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our operations and financial condition may be negatively impacted as a result of any delays or increased costs arising from the trade restrictions and other foreign regulatory requirements affecting such collaborators. In addition, while we have established relationships with CROs and CMOs outside of China, moving to those suppliers in the event of geopolitical instability affecting our collaborators in China could introduce delays into the development program. For example, in April 2025, the United States government imposed significant tariffs on imports from China and other countries and may impose more restrictions on goods, including biologically derived substances, manufactured in or imported from China or other countries or impose other restrictions on companies’ ability to work with Chinese or other foreign counterparties. To the extent these or future tariffs are applicable to the material we import from China and other countries or if we are not able to secure supply of our product candidates as a result of applicable legislation, our business and financial condition could be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Employee Matters, Managing Growth and Other Risks Related to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order to successfully implement our plans and strategies, we will need to grow the size of our organization and we may experience difficulties in managing this growth.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experience significant growth in the number of our employees and the scope of our operations, particularly in the areas of preclinical and clinical drug development, technical operations, clinical operations, regulatory affairs and, potentially, sales and marketing. To manage our anticipated future growth, we must continue to implement and improve our managerial, operational and financial personnel and systems, expand our facilities and continue to recruit and train additional qualified personnel. Due to our limited financial resources and the limited experience of our management team working together in managing a company with such anticipated growth, we may not be able to effectively manage the expansion of our operations or recruit and train additional qualified personnel.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highly dependent on our key personnel and anticipate hiring new key personnel. If we are not successful in attracting and retaining highly qualified personnel, we may not be able to successfully implement our business strategy.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pursue our growth strategy will be limited if we are unable to continue to attract and retain high quality personnel. We have been and will continue to be highly dependent on the research and development, clinical and business development expertise of our executive officers, as well as the other principal members of our management, scientific and clinical team. Any of our management team members may terminate their employment with us at any time. We do not maintain “key person” insurance for any of our executives or other employees.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Attracting and retaining qualified personnel will also be critical to our success, including with respect to any strategic transaction that we may pursue. The loss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facilitate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as well as from universities and research institutions.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rely on consultants and advisors to assist us in formulating our discovery and nonclinical and clinical development and commercialization strategy. Our consultants and advisors may be employed by employers other than us and may have commitments under consulting or advisory contracts with other entities that may limit their availability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growth may depend, in part, on our ability to operate in foreign markets, where we would be subject to additional regulatory burdens and other risks and uncertainties.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growth may depend, in part, on our ability to develop and commercialize our product candidates in foreign markets for which we may rely on collaboration with third parties. If we fail to comply with the regulatory requirements in foreign markets and receive applicable marketing approvals, our target market will be reduced and our ability to realize the full market potential of our product candidates will be harmed and our business will be adversely affected. Moreover, even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reduced protection of intellectual property rights in some foreign countries.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estimates of market opportunity and forecasts of market growth may prove to be inaccurate, and even if the markets in which we compete achieve the forecasted growth, our business may not grow at similar rates, or at all.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market opportunity estimates and growth forecasts are subject to significant uncertainty and are based on assumptions and estimates that may not prove to be accurate. Even if the markets in which we compete meet our size estimates and growth forecasts, our business may not grow at similar rates,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employees, independent contractors, consultants, commercial collaborators, principal investigators, CROs, CMOs, suppliers and vendors may engage in misconduct or other improper activities, including noncompliance with regulatory standards and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the risk that our employees, independent contractors, consultants, commercial collaborators, principal investigators, CROs, CMOs, suppliers and vendors acting for or on our behalf may engage in misconduct or other improper activities. We have adopted a code of conduct and ethics,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internal information technology systems, or those of any of our third-party service providers,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our business, we and the third parties upon which we rely collect, receive, store, process, generate, use, transfer, disclose, make accessible, protect, secure, dispose of, transmit, and share (collectively, process) proprietary, confidential, and sensitive data, including personal data, intellectual property, trade secrets, and other sensitive data (collectively, sensitive information). If we (or a third party upon whom we rely) experience a security incident or are perceived to have experienced a security incident, we may experience adverse consequences. While we have implemented security measures designed to protect against security incidents, there can be no assurance that these measures will be effective. Further, cybersecurity breaches or other cybersecurity incidents may allow hackers access to our preclinical compounds, strategies, discoveries, trade secrets, and/or other confidential information. Additionally, sensitive data could be leaked, disclosed, or revealed as a result of or in connection with our employees’, personnel’s, vendors’ or partners’ use of generative AI technologies. Our ability to monitor third parties’ information security practices is limited, and these third parties may not have adequate security measures in place. We may be unable in the future to detect vulnerabilities in our information technology systems because such threats and techniques change frequently, are often sophisticated in nature, and may not be detected until after a security incident has occurred. Further, we may experience delays in developing and deploying remedial measures designed to address any such identified vulnerabilities. Applicable data privacy and security obligations may require us to notify relevant stakeholders of security incidents. Such disclosures are costly, and the disclosure or the failure to comply with such requirements could lead to adverse consequences. Moreover, while we may be entitled to damages if our third-party service providers fail to satisfy their privacy or security-related obligations to us, any award may be insufficient or we may be unable to recover such award. Security incidents and attendant consequences may negatively impact our ability to grow and operate our business. The risk of a cybersecurity incident or other informational technology disruption, particularly through cyber-attacks, has generally increased as the number, intensity and sophistication of attempted attacks and intrusions from around the world have increased.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any disruption or security breach were to result in loss, destruction, unavailability, alteration or dissemination of, or damage to, our data (including clinical trial data) or applications, or for it to be believed or reported that any of these occurred, we could incur liability, including under laws and regulations governing the protection of protected health information and other personal data, and reputational damage and the development and commercialization of our product candidates could be delayed. Further, our insurance policies may not be adequate to compensate us for the potential losses arising from any such disruption in, or failure or security breach of, our systems or third-party systems where information important to our business operations or commercial development is stored.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contractors, sites performing our clinical trials, third-party service providers and supply chain companies,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or from cyber-attacks by malicious third parties, or ransomware attacks, which, in each case, may compromise our system infrastructure or lead to the loss, destruction, alteration or dissemination of, or damage to, our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hybrid-remote workforce may create additional risks for our information technology systems and data because our employees work remotely and utilize network connections, computers, and devices working at home, while in transit and in public locations.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stringent and changing laws, regulations and standards, and contractual obligations relating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our operating results and business.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third parties who we work with are or may become subject to numerous domestic and foreign laws, regulations, and standards relating to privacy, data protection, data transfer, and data security, the scope of which is changing, subject to differing applications and interpretations, and may be inconsistent among countries, or conflict with other rules. We are or may become subject to the terms of contractual obligations related to privacy, data protection and data security. Our obligations may also change or expand as our business grows. The actual or perceived failure by us or third parties related to us to comply with such laws, regulations and obligations could increase our compliance and operational costs, expose us to regulatory scrutiny, actions, fines and penalties, result in reputational harm, lead to a loss of customers, result in litigation and liability, and otherwise cause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and radioactive materials. 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adverse U.S. legislative or regulatory tax changes that could negatively impact our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dealing with U.S. federal, state and local income taxation are constantly under review by persons involved in the legislative process and by the Internal Revenue Service and the U.S. Treasury Department. Changes to tax laws (which may have retroactive application) could adversely affect our stockholders or us. We continue to assess the impact of various tax reform proposals and modifications to existing tax treaties in all jurisdictions where we have operations or employees to determine the potential effect on our business and any assumptions we make about our future taxable income. We cannot predict whether any specific proposals will be enacted, the terms of any such proposals or what effect, if any, such proposals would have on our business if they were to be enacted. For example, the United States enacted the IRA, which implements, among other changes, a 1% excise tax on certain stock buybacks. In addition, beginning in 2022, the Tax Cuts and Jobs Act eliminated the previously available option to deduct research and development expenditures and requires taxpayers to amortize them generally over five years for research activities conducted in the United States and over 15 years for research activities conducted outside the United States. Such changes, among others, may adversely affect our effective tax rate, results of operation and general business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acquire businesses or products, or form strategic alliances, in the future, and may not realize the benefits of such acquisitions.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 candidates or products resulting from a strategic alliance or acquisition that delay or prevent us from realizing their expected benefits or enhancing our business. There is no assurance that, following any such acquisition, we will achieve the synergies expected in order to justify the transaction, which could result in a material adverse effect on our business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maintain our cash at financial institutions, often in balances that exceed federally-insured limits. The failure of financial institutions could adversely affect our ability to pay our operational expenses or make other payments.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held in non-interest-bearing and interest-bearing accounts exceeds the Federal Deposit Insurance Corporation insurance limits. If such banking institutions were to fail, we could lose all or a portion of those amounts held in excess of such insurance limitations. In addition, even if account holders are ultimately made whole with respect to a future bank failure, account holders’ access to their accounts and assets held in their accounts may be substantially delayed. Any material loss that we may experience in the future or inability for a material time period to access our cash and cash equivalents could have an adverse effect on our ability to pay our operational expenses or make other payments, which could adversely affect our business.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Risk Factors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estimates of market opportunity and forecasts of market growth may prove to be inaccurate, and even if the markets in which we compete achieve the forecasted growth, our business may not grow at similar rates, or at all.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market opportunity estimates and growth forecasts are subject to significant uncertainty and are based on assumptions and estimates that may not prove to be 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exposed to costly and damaging liability claims and our insurance may not cover all damages from such claims.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potential product liability and professional indemnity risks that are inherent in the research, development, manufacturing, marketing, and use of pharmaceutical products. The use of a product candidate in clinical trials and the sale of any approved products in the future may expose us to liability claims. An individual or group of individuals may bring a liability claim against us if one of our product candidates causes, or merely appears to have caused, an injury, either at the clinical or commercial stage. Any claims against us, regardless of their merit, could be difficult and costly to defend and could materially and adversely affect our business. While we carry product liability insurance for our clinical trials, it is possible that any liabilities could exceed our insurance coverage or that in the future we may not be able to maintain insurance coverage at a reasonable cost or obtain insurance coverage that will be adequate to satisfy any liability that may arise. On occasion, large judgments have been awarded in class action or individual lawsuits. A successful product liability claim or series of claims brought against us could cause our stock price to decline and, if judgments exceed our insurance coverage, could decrease our cash and our business operations could be impaired.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Litigation costs and the outcome of litigation could have a material adverse effect on our business.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subject to litigation claims through the ordinary course of our business operations regarding, but not limited to, employment matters, security of patient and employee personal information, contractual relations with collaborators and intellectual property rights. Litigation to defend ourselves against claims by third parties, or to enforce any rights that we may have against third parties, may continue to be necessary, which could result in substantial costs and diversion of our resources, causing a material adverse effect on our business, financial condition, results of operations or 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could be adversely affected by economic downturns, inflation, fluctuation in interest rates, natural disasters, public health crises, political crises, geopolitical events or other macroeconomic conditions, which could have a material and adverse effect on our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economy, including credit and financial markets, has experienced and may experience in the future extreme volatility and disruptions, including, among other things, diminished liquidity and credit availability, declines in consumer confidence, declines in economic growth, supply chain shortages, new or increased tariffs and other barriers to trade, especially in light of recent executive orders made by the presidential administration, trade and other international disputes, increases in inflation rates, fluctuation in interest rates, slower growth or recession, tighter credit, volatility in financial markets, high unemployment, labor availability constraints, public health crises, significant natural disasters, including as a result of climate change, changes to fiscal and monetary policy or government budget dynamics (particularly in the pharmaceutical and biotechnology areas), political and military conflict, and uncertainty about economic stability. In recent months, the U.S. has announced tariffs on imports from most countries, including significant tariffs on imports from China. Historically, tariffs have led to increased trade and political tensions.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There is substantial uncertainty about the duration of existing tariffs and whether additional tariffs may be imposed, modified or suspended. Fluctuation in interest rates, coupled with reduced government spending and volatility in financial markets, may increase economic uncertainty and affect consumer spending. Similarly, the ongoing military conflict between Russia and Ukraine and in the Middle East and rising tensions with China have created extreme volatility in the global capital markets and may have further global economic consequences, including disruptions of the global supply chain. Any such volatility and disruptions may adversely affect our business or the third parties on whom we rely. If the equity and credit markets deteriorate, including as a result of economic or political uncertainty, political unrest or war, it may make any necessary debt or equity financing more costly, more dilutive, or more difficult to obtain in a timely manner or on favorable terms, if at all. Increased inflation rates can adversely affect us by increasing our costs, including materials, operational, labor and employee benefit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 the future experience disruptions as a result of such macroeconomic conditions, including delays or difficulties in initiating or expanding clinical trials and manufacturing sufficient quantities of materials. Any one or a combination of these events could have a material and adverse effect on our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Geopolitical events and global economic conditions may also affect the ability of the FDA and other regulatory authorities to perform routine functions. If such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Owning Our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common stock has been, and may continue to be volatile.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has been and is likely to be highly volatile and is subject to significant fluctuations. Moreover, the stock markets in general have experienced substantial volatility that has often been unrelated to the operating performance of individual companies. These broad market fluctuations may also adversely affect the trading price of our common stock. For example, escalating trade tensions, elevated interest rates and regulatory uncertainty have caused significant market volatility in recent months, and particularly in the biotechnology and biopharmaceutical industries. In addition, a recession, depression or other sustained adverse market event could materially and adversely affect our business and the value of our common stock. In the past, following periods of volatility in the market price of a company’s securities, stockholders have often instituted class action securities litigation against such companies.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market volatility may lead to securities litigation or increased stockholder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financial condition and cash flows. Class action securities litigation, if instituted, could result in substantial costs and diversion of management attention and resources, which could significantly harm our profitability and reputation.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factors that may cause the market price of our common stock to fluctuate include: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timing and results of clinical trials and preclinical studies of our product candidates, or those of our competitors or our existing or future collaborators;</w:t>
            </w:r>
          </w:p>
        </w:tc>
      </w:tr>
    </w:tbl>
    <w:p>
      <w:pPr>
        <w:pStyle w:val="TextBody"/>
        <w:bidi w:val="0"/>
        <w:spacing w:before="0" w:after="0"/>
        <w:ind w:left="0" w:right="0" w:hanging="0"/>
        <w:jc w:val="left"/>
        <w:rPr>
          <w:caps w:val="false"/>
          <w:smallCaps w:val="false"/>
        </w:rPr>
      </w:pPr>
      <w:r>
        <w:rPr>
          <w:caps w:val="false"/>
          <w:smallCaps w:val="false"/>
        </w:rPr>
        <w:t> </w:t>
      </w:r>
    </w:p>
    <w:tbl>
      <w:tblPr>
        <w:tblW w:w="8410" w:type="dxa"/>
        <w:jc w:val="left"/>
        <w:tblInd w:w="0" w:type="dxa"/>
        <w:tblLayout w:type="fixed"/>
        <w:tblCellMar>
          <w:top w:w="0" w:type="dxa"/>
          <w:left w:w="0" w:type="dxa"/>
          <w:bottom w:w="0" w:type="dxa"/>
          <w:right w:w="0" w:type="dxa"/>
        </w:tblCellMar>
      </w:tblPr>
      <w:tblGrid>
        <w:gridCol w:w="105"/>
        <w:gridCol w:w="200"/>
        <w:gridCol w:w="81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1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to meet or exceed financial and development projections that we may provide to the public;</w:t>
            </w:r>
          </w:p>
        </w:tc>
      </w:tr>
    </w:tbl>
    <w:p>
      <w:pPr>
        <w:pStyle w:val="TextBody"/>
        <w:bidi w:val="0"/>
        <w:spacing w:before="0" w:after="0"/>
        <w:ind w:left="0" w:right="0" w:hanging="0"/>
        <w:jc w:val="left"/>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105"/>
        <w:gridCol w:w="200"/>
        <w:gridCol w:w="56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announcements of significant or potential equity or debt sales by 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actions taken by regulatory agencies with respect to our product candidates, clinical studies, manufacturing process or sales and marketing terms;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to meet or exceed the financial and development projections of the investment community or if securities or industry analysts do not publish research or reports about our business, or if they issue adverse or misleading opinions regarding our business and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market, macroeconomic or geopolitical conditions or market conditions in the pharmaceutical and biotechnology sectors;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announcements of significant acquisitions, strategic collaborations, joint ventures or capital commitments by us or our competitors;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disputes or other developments relating to proprietary rights, including patents, litigation matters, and our ability to obtain patent protection for our technologies;</w:t>
            </w:r>
          </w:p>
        </w:tc>
      </w:tr>
    </w:tbl>
    <w:p>
      <w:pPr>
        <w:pStyle w:val="TextBody"/>
        <w:bidi w:val="0"/>
        <w:spacing w:before="0" w:after="0"/>
        <w:ind w:left="0" w:right="0" w:hanging="0"/>
        <w:jc w:val="left"/>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105"/>
        <w:gridCol w:w="200"/>
        <w:gridCol w:w="72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additions or departures of key personnel, including scientific or management personnel;</w:t>
            </w:r>
          </w:p>
        </w:tc>
      </w:tr>
    </w:tbl>
    <w:p>
      <w:pPr>
        <w:pStyle w:val="TextBody"/>
        <w:bidi w:val="0"/>
        <w:spacing w:before="0" w:after="0"/>
        <w:ind w:left="0" w:right="0" w:hanging="0"/>
        <w:jc w:val="left"/>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105"/>
        <w:gridCol w:w="200"/>
        <w:gridCol w:w="51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significant lawsuits, including patent or stockholder litigation;</w:t>
            </w:r>
          </w:p>
        </w:tc>
      </w:tr>
    </w:tbl>
    <w:p>
      <w:pPr>
        <w:pStyle w:val="TextBody"/>
        <w:bidi w:val="0"/>
        <w:spacing w:before="0" w:after="0"/>
        <w:ind w:left="0" w:right="0" w:hanging="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105"/>
        <w:gridCol w:w="200"/>
        <w:gridCol w:w="45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the market valuations of similar companies;</w:t>
            </w:r>
          </w:p>
        </w:tc>
      </w:tr>
    </w:tbl>
    <w:p>
      <w:pPr>
        <w:pStyle w:val="TextBody"/>
        <w:bidi w:val="0"/>
        <w:spacing w:before="0" w:after="0"/>
        <w:ind w:left="0" w:right="0" w:hanging="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105"/>
        <w:gridCol w:w="200"/>
        <w:gridCol w:w="48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sales of securities by us or our securityholders in the future;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fail to raise an adequate amount of capital to fund our operations or continued development of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105"/>
        <w:gridCol w:w="200"/>
        <w:gridCol w:w="31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trading volume of our common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announcements by competitors of new products, clinical progress or lack thereof, significant contracts, commercial relationships or capital commitments;</w:t>
            </w:r>
          </w:p>
        </w:tc>
      </w:tr>
    </w:tbl>
    <w:p>
      <w:pPr>
        <w:pStyle w:val="TextBody"/>
        <w:bidi w:val="0"/>
        <w:spacing w:before="0" w:after="0"/>
        <w:ind w:left="0" w:right="0" w:hanging="0"/>
        <w:jc w:val="left"/>
        <w:rPr>
          <w:caps w:val="false"/>
          <w:smallCaps w:val="false"/>
        </w:rPr>
      </w:pPr>
      <w:r>
        <w:rPr>
          <w:caps w:val="false"/>
          <w:smallCaps w:val="false"/>
        </w:rPr>
        <w:t> </w:t>
      </w:r>
    </w:p>
    <w:tbl>
      <w:tblPr>
        <w:tblW w:w="8455" w:type="dxa"/>
        <w:jc w:val="left"/>
        <w:tblInd w:w="0" w:type="dxa"/>
        <w:tblLayout w:type="fixed"/>
        <w:tblCellMar>
          <w:top w:w="0" w:type="dxa"/>
          <w:left w:w="0" w:type="dxa"/>
          <w:bottom w:w="0" w:type="dxa"/>
          <w:right w:w="0" w:type="dxa"/>
        </w:tblCellMar>
      </w:tblPr>
      <w:tblGrid>
        <w:gridCol w:w="105"/>
        <w:gridCol w:w="200"/>
        <w:gridCol w:w="81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introduction of technological innovations or new therapies that compete with our products; and</w:t>
            </w:r>
          </w:p>
        </w:tc>
      </w:tr>
    </w:tbl>
    <w:p>
      <w:pPr>
        <w:pStyle w:val="TextBody"/>
        <w:bidi w:val="0"/>
        <w:spacing w:before="0" w:after="0"/>
        <w:ind w:left="0" w:right="0" w:hanging="0"/>
        <w:jc w:val="both"/>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105"/>
        <w:gridCol w:w="200"/>
        <w:gridCol w:w="43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period-to-period fluctuations in our financial results.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certificate of incorporation and bylaws, as well as provisions under Delaware law, could make an acquisition of the company more difficult and may prevent attempts by our stockholders to replace or remove management.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in our certificate of incorporation and bylaws may discourage, delay or prevent a merger, acquisition or other change in control of the company that stockholders may consider favorable, including transactions in which our common stockholders might otherwise receive a premium price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current management by making it more difficult for stockholders to replace members of our board of directors. Among other things, these provisions:</w:t>
      </w:r>
    </w:p>
    <w:p>
      <w:pPr>
        <w:pStyle w:val="TextBody"/>
        <w:bidi w:val="0"/>
        <w:spacing w:before="0" w:after="0"/>
        <w:ind w:left="0" w:right="0" w:firstLine="360"/>
        <w:jc w:val="both"/>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105"/>
        <w:gridCol w:w="200"/>
        <w:gridCol w:w="82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2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establish a classified board of directors such that all members of the board are not elected at one time;</w:t>
            </w:r>
          </w:p>
        </w:tc>
      </w:tr>
    </w:tbl>
    <w:p>
      <w:pPr>
        <w:pStyle w:val="TextBody"/>
        <w:bidi w:val="0"/>
        <w:spacing w:before="0" w:after="0"/>
        <w:ind w:left="0" w:right="0" w:hanging="0"/>
        <w:jc w:val="left"/>
        <w:rPr>
          <w:caps w:val="false"/>
          <w:smallCaps w:val="false"/>
        </w:rPr>
      </w:pPr>
      <w:r>
        <w:rPr>
          <w:caps w:val="false"/>
          <w:smallCaps w:val="false"/>
        </w:rPr>
        <w:t> </w:t>
      </w:r>
    </w:p>
    <w:tbl>
      <w:tblPr>
        <w:tblW w:w="8785" w:type="dxa"/>
        <w:jc w:val="left"/>
        <w:tblInd w:w="0" w:type="dxa"/>
        <w:tblLayout w:type="fixed"/>
        <w:tblCellMar>
          <w:top w:w="0" w:type="dxa"/>
          <w:left w:w="0" w:type="dxa"/>
          <w:bottom w:w="0" w:type="dxa"/>
          <w:right w:w="0" w:type="dxa"/>
        </w:tblCellMar>
      </w:tblPr>
      <w:tblGrid>
        <w:gridCol w:w="105"/>
        <w:gridCol w:w="200"/>
        <w:gridCol w:w="84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4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allow the authorized number of our directors to be changed only by resolution of our board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105"/>
        <w:gridCol w:w="200"/>
        <w:gridCol w:w="62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 the manner in which stockholders can remove directors from the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establish advance notice requirements for nominations for election to the board of directors or for proposing matters that can be acted on at stockholder meetings;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require that stockholder actions must be effected at a duly called stockholder meeting and prohibit actions by our stockholders by written consent;</w:t>
            </w:r>
          </w:p>
        </w:tc>
      </w:tr>
    </w:tbl>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105"/>
        <w:gridCol w:w="200"/>
        <w:gridCol w:w="44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 who may call a special meeting of stockholders;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require the approval of the holders of at least 66 2/3% of the votes that all stockholders would be entitled to cast to amend or repeal certain provisions of our charter or bylaws.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because we are incorporated in Delaware, we are governed by the provisions of Section 203 of the Delaware General Corporation Law (“DGCL”), which prohibits stockholders owning more than 15% of our outstanding voting stock from merging or combining with us. Although we believe these provisions collectively will provide for an opportunity to receive higher bids by requiring potential acquirors to negotiate with our board of directors, they would apply even if the offer may be considered beneficial by some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Our governing documents provide that, unless we consent in writing to the selection of an alternative forum, certain designated courts will be the sole and exclusive forum for certain legal actions between us and our stockholders, which could limit our stockholders’ ability to obtain a favorable judicial forum for disputes with us or our directors, officers, employees or agents.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governing documents provide that, unless we consent in writing to an alternative forum, the Court of Chancery of the State of Delaware is the sole and exclusive forum for state law claims for (i) any derivative action or proceeding brought on our behalf, (ii) any action asserting a claim of or based on a breach of a fiduciary duty owed by any of our current or former directors, officers, or other employees or our stockholders, (iii) any action asserting a claim arising pursuant to any provision of the DGCL, the certificate of incorporation or the bylaws, (iv) any action to interpret, apply, enforce or determine the validity of the certificate of incorporation or bylaws, or (v) any action asserting a claim that is governed by the internal affairs doctrine, in each case subject to the Court of Chancery having personal jurisdiction over the indispensable parties named as defendants therein, which for purposes of this risk factor refers to herein as the “Delaware Forum Provision.” Our governing documents further provide that, unless we consent in writing to an alternative forum, the federal district courts of the United States will be the exclusive forum for resolving any complaint asserting a cause of action arising under the Securities Act, which for purposes of this risk factor refers to herein as the “Federal Forum Provision.” Neither the Delaware Forum Provision nor the Federal Forum Provision will apply to any causes of action arising under the Exchange Act. In addition, any person or entity purchasing or otherwise acquiring any interest in shares of our capital stock will be deemed to have notice of and consented to the foregoing Delaware Forum Provision and Federal Forum Provision; provided, however, that stockholders cannot and will not be deemed to have waived our compliance with the U.S. federal securities laws and the rules and regulations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Forum Provision and the Federal Forum Provision may impose additional litigation costs on our stockholders in pursuing any such claims, particularly if such stockholders do not reside in or near the State of Delaware. Additionally, these forum selection clauses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shares by existing stockholders could cause our stock price to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stockholders sell, or indicate an intention to sell, substantial amounts of our common stock in the public market after legal restrictions on resale lapse, the trading price of our common stock could decline. In addition, shares of our common stock that are subject to our outstanding options will become eligible for sale in the public market to the extent permitted by the provisions of various vesting agreements and Rules 144 and 701 under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anticipate that we will pay any cash dividends in the foreseeable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anticipate that we will pay any cash dividends in the foreseeable future. The current expectation is that we will retain our future earnings, if any, to fund the development and growth of our business. As a result, capital appreciation, if any, of our common stock will be your sole source of gain, if any, for the foreseeable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executive officers, directors and principal stockholders have the ability to control or significantly influence all matters submitted to our stockholders for approval.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directors and principal stockholders beneficially own a significant percentage of our outstanding common stock. As a result, if these stockholders were to choose to act together, they would be able to control or significantly influence all matters submitted to our stockholders for approval, as well as our management and affairs. For example, these stockholders, if they choose to act together, would control or significantly influence the election of directors and approval of any merger, consolidation or sale of all or substantially all of our assets. This concentration of voting power could delay or prevent our acquisition on terms that other stockholders may desire.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equity research analysts do not publish research or reports, or publish unfavorable research or reports about us, our business or our market, our stock price and trading volume could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will be influenced by the research and reports that equity research analysts publish about us and our business. Equity research analysts may elect to not provide research coverage of our common stock, and such lack of research coverage may adversely affect the market price of our common stock. If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Trading Plans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March 31, 2025, no director or Section 16 officer adopted or terminated any Rule 10b5-1 trading arrangements or non-Rule 10b5-1 trading arrangements (in each case, as defined in Item 408(a) of Regulation S-K).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Item 6. Exhibits.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filed or furnished as part of this Quarterly Report are set forth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20"/>
        <w:gridCol w:w="90"/>
        <w:gridCol w:w="6196"/>
        <w:gridCol w:w="90"/>
        <w:gridCol w:w="635"/>
        <w:gridCol w:w="90"/>
        <w:gridCol w:w="890"/>
        <w:gridCol w:w="90"/>
        <w:gridCol w:w="1204"/>
      </w:tblGrid>
      <w:tr>
        <w:trPr/>
        <w:tc>
          <w:tcPr>
            <w:tcW w:w="920" w:type="dxa"/>
            <w:tcBorders>
              <w:bottom w:val="single" w:sz="12"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NUMBER</w:t>
            </w:r>
          </w:p>
        </w:tc>
        <w:tc>
          <w:tcPr>
            <w:tcW w:w="90" w:type="dxa"/>
            <w:tcBorders/>
            <w:tcMar>
              <w:bottom w:w="0" w:type="dxa"/>
            </w:tcMar>
            <w:vAlign w:val="center"/>
          </w:tcPr>
          <w:p>
            <w:pPr>
              <w:pStyle w:val="TableContents"/>
              <w:bidi w:val="0"/>
              <w:spacing w:before="0" w:after="283"/>
              <w:jc w:val="center"/>
              <w:rPr/>
            </w:pPr>
            <w:r>
              <w:rPr/>
              <w:t> </w:t>
            </w:r>
          </w:p>
        </w:tc>
        <w:tc>
          <w:tcPr>
            <w:tcW w:w="6196"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c>
          <w:tcPr>
            <w:tcW w:w="90" w:type="dxa"/>
            <w:tcBorders/>
            <w:tcMar>
              <w:bottom w:w="0" w:type="dxa"/>
            </w:tcMar>
            <w:vAlign w:val="center"/>
          </w:tcPr>
          <w:p>
            <w:pPr>
              <w:pStyle w:val="TableContents"/>
              <w:bidi w:val="0"/>
              <w:spacing w:before="0" w:after="283"/>
              <w:jc w:val="center"/>
              <w:rPr/>
            </w:pPr>
            <w:r>
              <w:rPr/>
              <w:t> </w:t>
            </w:r>
          </w:p>
        </w:tc>
        <w:tc>
          <w:tcPr>
            <w:tcW w:w="6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FORM</w:t>
            </w:r>
          </w:p>
        </w:tc>
        <w:tc>
          <w:tcPr>
            <w:tcW w:w="90" w:type="dxa"/>
            <w:tcBorders/>
            <w:tcMar>
              <w:bottom w:w="0" w:type="dxa"/>
            </w:tcMar>
            <w:vAlign w:val="center"/>
          </w:tcPr>
          <w:p>
            <w:pPr>
              <w:pStyle w:val="TableContents"/>
              <w:bidi w:val="0"/>
              <w:spacing w:before="0" w:after="283"/>
              <w:jc w:val="center"/>
              <w:rPr/>
            </w:pPr>
            <w:r>
              <w:rPr/>
              <w:t> </w:t>
            </w:r>
          </w:p>
        </w:tc>
        <w:tc>
          <w:tcPr>
            <w:tcW w:w="89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r>
          </w:p>
        </w:tc>
        <w:tc>
          <w:tcPr>
            <w:tcW w:w="90" w:type="dxa"/>
            <w:tcBorders/>
            <w:tcMar>
              <w:bottom w:w="0" w:type="dxa"/>
            </w:tcMar>
            <w:vAlign w:val="center"/>
          </w:tcPr>
          <w:p>
            <w:pPr>
              <w:pStyle w:val="TableContents"/>
              <w:bidi w:val="0"/>
              <w:spacing w:before="0" w:after="283"/>
              <w:jc w:val="center"/>
              <w:rPr/>
            </w:pPr>
            <w:r>
              <w:rPr/>
              <w:t> </w:t>
            </w:r>
          </w:p>
        </w:tc>
        <w:tc>
          <w:tcPr>
            <w:tcW w:w="1204"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FILING DATE</w:t>
            </w:r>
          </w:p>
        </w:tc>
      </w:tr>
      <w:tr>
        <w:trPr/>
        <w:tc>
          <w:tcPr>
            <w:tcW w:w="92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196"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204" w:type="dxa"/>
            <w:tcBorders/>
            <w:tcMar>
              <w:bottom w:w="0" w:type="dxa"/>
            </w:tcMar>
            <w:vAlign w:val="center"/>
          </w:tcPr>
          <w:p>
            <w:pPr>
              <w:pStyle w:val="TableContents"/>
              <w:bidi w:val="0"/>
              <w:spacing w:before="0" w:after="283"/>
              <w:jc w:val="center"/>
              <w:rPr/>
            </w:pPr>
            <w:r>
              <w:rPr/>
              <w:t> </w:t>
            </w:r>
          </w:p>
        </w:tc>
      </w:tr>
      <w:tr>
        <w:trPr/>
        <w:tc>
          <w:tcPr>
            <w:tcW w:w="9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6196" w:type="dxa"/>
            <w:tcBorders/>
            <w:shd w:fill="CCEEFF" w:val="clear"/>
            <w:tcMar>
              <w:bottom w:w="0" w:type="dxa"/>
            </w:tcMar>
            <w:vAlign w:val="center"/>
          </w:tcPr>
          <w:p>
            <w:pPr>
              <w:pStyle w:val="TableContents"/>
              <w:bidi w:val="0"/>
              <w:spacing w:before="0" w:after="283"/>
              <w:jc w:val="left"/>
              <w:rPr/>
            </w:pPr>
            <w:hyperlink r:id="rId2">
              <w:r>
                <w:rPr>
                  <w:rStyle w:val="InternetLink"/>
                  <w:rFonts w:ascii="Times New Roman;Times;Serif" w:hAnsi="Times New Roman;Times;Serif"/>
                  <w:sz w:val="20"/>
                </w:rPr>
                <w:t>Agreement and Plan of Merger and Reorganization, dated as of April 3, 2024, by and among ARCA biopharma, Inc., Atlas Merger Sub Corp., Atlas Merger Sub II, LLC and Oruka Therapeutics, Inc.</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3, 2024</w:t>
            </w:r>
          </w:p>
        </w:tc>
      </w:tr>
      <w:tr>
        <w:trPr/>
        <w:tc>
          <w:tcPr>
            <w:tcW w:w="9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90" w:type="dxa"/>
            <w:tcBorders/>
            <w:tcMar>
              <w:bottom w:w="0" w:type="dxa"/>
            </w:tcMar>
            <w:vAlign w:val="center"/>
          </w:tcPr>
          <w:p>
            <w:pPr>
              <w:pStyle w:val="TableContents"/>
              <w:bidi w:val="0"/>
              <w:spacing w:before="0" w:after="283"/>
              <w:jc w:val="left"/>
              <w:rPr/>
            </w:pPr>
            <w:r>
              <w:rPr/>
              <w:t> </w:t>
            </w:r>
          </w:p>
        </w:tc>
        <w:tc>
          <w:tcPr>
            <w:tcW w:w="6196" w:type="dxa"/>
            <w:tcBorders/>
            <w:tcMar>
              <w:bottom w:w="0" w:type="dxa"/>
            </w:tcMar>
            <w:vAlign w:val="center"/>
          </w:tcPr>
          <w:p>
            <w:pPr>
              <w:pStyle w:val="TableContents"/>
              <w:bidi w:val="0"/>
              <w:spacing w:before="0" w:after="283"/>
              <w:jc w:val="left"/>
              <w:rPr/>
            </w:pPr>
            <w:hyperlink r:id="rId3">
              <w:r>
                <w:rPr>
                  <w:rStyle w:val="InternetLink"/>
                  <w:rFonts w:ascii="Times New Roman;Times;Serif" w:hAnsi="Times New Roman;Times;Serif"/>
                  <w:sz w:val="20"/>
                </w:rPr>
                <w:t>Second Amended and Restated Certificate of Incorporation of the Company, filed September 3, 2024.</w:t>
              </w:r>
            </w:hyperlink>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c>
          <w:tcPr>
            <w:tcW w:w="90" w:type="dxa"/>
            <w:tcBorders/>
            <w:tcMar>
              <w:bottom w:w="0" w:type="dxa"/>
            </w:tcMar>
            <w:vAlign w:val="center"/>
          </w:tcPr>
          <w:p>
            <w:pPr>
              <w:pStyle w:val="TableContents"/>
              <w:bidi w:val="0"/>
              <w:spacing w:before="0" w:after="283"/>
              <w:jc w:val="left"/>
              <w:rPr/>
            </w:pPr>
            <w:r>
              <w:rPr/>
              <w:t> </w:t>
            </w:r>
          </w:p>
        </w:tc>
        <w:tc>
          <w:tcPr>
            <w:tcW w:w="120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5, 2024</w:t>
            </w:r>
          </w:p>
        </w:tc>
      </w:tr>
      <w:tr>
        <w:trPr/>
        <w:tc>
          <w:tcPr>
            <w:tcW w:w="9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90" w:type="dxa"/>
            <w:tcBorders/>
            <w:shd w:fill="CCEEFF" w:val="clear"/>
            <w:tcMar>
              <w:bottom w:w="0" w:type="dxa"/>
            </w:tcMar>
            <w:vAlign w:val="center"/>
          </w:tcPr>
          <w:p>
            <w:pPr>
              <w:pStyle w:val="TableContents"/>
              <w:bidi w:val="0"/>
              <w:spacing w:before="0" w:after="283"/>
              <w:jc w:val="left"/>
              <w:rPr/>
            </w:pPr>
            <w:r>
              <w:rPr/>
              <w:t> </w:t>
            </w:r>
          </w:p>
        </w:tc>
        <w:tc>
          <w:tcPr>
            <w:tcW w:w="6196" w:type="dxa"/>
            <w:tcBorders/>
            <w:shd w:fill="CCEEFF" w:val="clear"/>
            <w:tcMar>
              <w:bottom w:w="0" w:type="dxa"/>
            </w:tcMar>
            <w:vAlign w:val="center"/>
          </w:tcPr>
          <w:p>
            <w:pPr>
              <w:pStyle w:val="TableContents"/>
              <w:bidi w:val="0"/>
              <w:spacing w:before="0" w:after="283"/>
              <w:jc w:val="left"/>
              <w:rPr/>
            </w:pPr>
            <w:hyperlink r:id="rId4">
              <w:r>
                <w:rPr>
                  <w:rStyle w:val="InternetLink"/>
                  <w:rFonts w:ascii="Times New Roman;Times;Serif" w:hAnsi="Times New Roman;Times;Serif"/>
                  <w:sz w:val="20"/>
                </w:rPr>
                <w:t>Amended and Restated Bylaws of the Company.</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5, 2024</w:t>
            </w:r>
          </w:p>
        </w:tc>
      </w:tr>
      <w:tr>
        <w:trPr/>
        <w:tc>
          <w:tcPr>
            <w:tcW w:w="9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c>
          <w:tcPr>
            <w:tcW w:w="90" w:type="dxa"/>
            <w:tcBorders/>
            <w:tcMar>
              <w:bottom w:w="0" w:type="dxa"/>
            </w:tcMar>
            <w:vAlign w:val="center"/>
          </w:tcPr>
          <w:p>
            <w:pPr>
              <w:pStyle w:val="TableContents"/>
              <w:bidi w:val="0"/>
              <w:spacing w:before="0" w:after="283"/>
              <w:jc w:val="left"/>
              <w:rPr/>
            </w:pPr>
            <w:r>
              <w:rPr/>
              <w:t> </w:t>
            </w:r>
          </w:p>
        </w:tc>
        <w:tc>
          <w:tcPr>
            <w:tcW w:w="6196" w:type="dxa"/>
            <w:tcBorders/>
            <w:tcMar>
              <w:bottom w:w="0" w:type="dxa"/>
            </w:tcMar>
            <w:vAlign w:val="center"/>
          </w:tcPr>
          <w:p>
            <w:pPr>
              <w:pStyle w:val="TableContents"/>
              <w:bidi w:val="0"/>
              <w:spacing w:before="0" w:after="283"/>
              <w:jc w:val="left"/>
              <w:rPr/>
            </w:pPr>
            <w:hyperlink r:id="rId5">
              <w:r>
                <w:rPr>
                  <w:rStyle w:val="InternetLink"/>
                  <w:rFonts w:ascii="Times New Roman;Times;Serif" w:hAnsi="Times New Roman;Times;Serif"/>
                  <w:sz w:val="20"/>
                </w:rPr>
                <w:t>Form of Certificate of Designation of Preferences, Rights and Limitations of Series A Convertible Preferred Stock.</w:t>
              </w:r>
            </w:hyperlink>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S-1/A</w:t>
            </w:r>
          </w:p>
        </w:tc>
        <w:tc>
          <w:tcPr>
            <w:tcW w:w="9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3.1(b)</w:t>
            </w:r>
          </w:p>
        </w:tc>
        <w:tc>
          <w:tcPr>
            <w:tcW w:w="90" w:type="dxa"/>
            <w:tcBorders/>
            <w:tcMar>
              <w:bottom w:w="0" w:type="dxa"/>
            </w:tcMar>
            <w:vAlign w:val="center"/>
          </w:tcPr>
          <w:p>
            <w:pPr>
              <w:pStyle w:val="TableContents"/>
              <w:bidi w:val="0"/>
              <w:spacing w:before="0" w:after="283"/>
              <w:jc w:val="left"/>
              <w:rPr/>
            </w:pPr>
            <w:r>
              <w:rPr/>
              <w:t> </w:t>
            </w:r>
          </w:p>
        </w:tc>
        <w:tc>
          <w:tcPr>
            <w:tcW w:w="120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24, 2013</w:t>
            </w:r>
          </w:p>
        </w:tc>
      </w:tr>
      <w:tr>
        <w:trPr/>
        <w:tc>
          <w:tcPr>
            <w:tcW w:w="9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w:t>
            </w:r>
          </w:p>
        </w:tc>
        <w:tc>
          <w:tcPr>
            <w:tcW w:w="90" w:type="dxa"/>
            <w:tcBorders/>
            <w:shd w:fill="CCEEFF" w:val="clear"/>
            <w:tcMar>
              <w:bottom w:w="0" w:type="dxa"/>
            </w:tcMar>
            <w:vAlign w:val="center"/>
          </w:tcPr>
          <w:p>
            <w:pPr>
              <w:pStyle w:val="TableContents"/>
              <w:bidi w:val="0"/>
              <w:spacing w:before="0" w:after="283"/>
              <w:jc w:val="left"/>
              <w:rPr/>
            </w:pPr>
            <w:r>
              <w:rPr/>
              <w:t> </w:t>
            </w:r>
          </w:p>
        </w:tc>
        <w:tc>
          <w:tcPr>
            <w:tcW w:w="6196" w:type="dxa"/>
            <w:tcBorders/>
            <w:shd w:fill="CCEEFF" w:val="clear"/>
            <w:tcMar>
              <w:bottom w:w="0" w:type="dxa"/>
            </w:tcMar>
            <w:vAlign w:val="center"/>
          </w:tcPr>
          <w:p>
            <w:pPr>
              <w:pStyle w:val="TableContents"/>
              <w:bidi w:val="0"/>
              <w:spacing w:before="0" w:after="283"/>
              <w:jc w:val="left"/>
              <w:rPr/>
            </w:pPr>
            <w:hyperlink r:id="rId6">
              <w:r>
                <w:rPr>
                  <w:rStyle w:val="InternetLink"/>
                  <w:rFonts w:ascii="Times New Roman;Times;Serif" w:hAnsi="Times New Roman;Times;Serif"/>
                  <w:sz w:val="20"/>
                </w:rPr>
                <w:t>Certificate of Elimination of Series A Convertible Preferred Stock, effective August 29, 2024.</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5, 2024</w:t>
            </w:r>
          </w:p>
        </w:tc>
      </w:tr>
      <w:tr>
        <w:trPr/>
        <w:tc>
          <w:tcPr>
            <w:tcW w:w="9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3.6</w:t>
            </w:r>
          </w:p>
        </w:tc>
        <w:tc>
          <w:tcPr>
            <w:tcW w:w="90" w:type="dxa"/>
            <w:tcBorders/>
            <w:tcMar>
              <w:bottom w:w="0" w:type="dxa"/>
            </w:tcMar>
            <w:vAlign w:val="center"/>
          </w:tcPr>
          <w:p>
            <w:pPr>
              <w:pStyle w:val="TableContents"/>
              <w:bidi w:val="0"/>
              <w:spacing w:before="0" w:after="283"/>
              <w:jc w:val="left"/>
              <w:rPr/>
            </w:pPr>
            <w:r>
              <w:rPr/>
              <w:t> </w:t>
            </w:r>
          </w:p>
        </w:tc>
        <w:tc>
          <w:tcPr>
            <w:tcW w:w="6196" w:type="dxa"/>
            <w:tcBorders/>
            <w:tcMar>
              <w:bottom w:w="0" w:type="dxa"/>
            </w:tcMar>
            <w:vAlign w:val="center"/>
          </w:tcPr>
          <w:p>
            <w:pPr>
              <w:pStyle w:val="TableContents"/>
              <w:bidi w:val="0"/>
              <w:spacing w:before="0" w:after="283"/>
              <w:jc w:val="left"/>
              <w:rPr/>
            </w:pPr>
            <w:hyperlink r:id="rId7">
              <w:r>
                <w:rPr>
                  <w:rStyle w:val="InternetLink"/>
                  <w:rFonts w:ascii="Times New Roman;Times;Serif" w:hAnsi="Times New Roman;Times;Serif"/>
                  <w:sz w:val="20"/>
                </w:rPr>
                <w:t>Certificate of Designation of Preferences, Rights and Limitations of Series B Non-Voting Convertible Preferred Stock.</w:t>
              </w:r>
            </w:hyperlink>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c>
          <w:tcPr>
            <w:tcW w:w="90" w:type="dxa"/>
            <w:tcBorders/>
            <w:tcMar>
              <w:bottom w:w="0" w:type="dxa"/>
            </w:tcMar>
            <w:vAlign w:val="center"/>
          </w:tcPr>
          <w:p>
            <w:pPr>
              <w:pStyle w:val="TableContents"/>
              <w:bidi w:val="0"/>
              <w:spacing w:before="0" w:after="283"/>
              <w:jc w:val="left"/>
              <w:rPr/>
            </w:pPr>
            <w:r>
              <w:rPr/>
              <w:t> </w:t>
            </w:r>
          </w:p>
        </w:tc>
        <w:tc>
          <w:tcPr>
            <w:tcW w:w="120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5, 2024</w:t>
            </w:r>
          </w:p>
        </w:tc>
      </w:tr>
      <w:tr>
        <w:trPr/>
        <w:tc>
          <w:tcPr>
            <w:tcW w:w="9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3.7</w:t>
            </w:r>
          </w:p>
        </w:tc>
        <w:tc>
          <w:tcPr>
            <w:tcW w:w="90" w:type="dxa"/>
            <w:tcBorders/>
            <w:shd w:fill="CCEEFF" w:val="clear"/>
            <w:tcMar>
              <w:bottom w:w="0" w:type="dxa"/>
            </w:tcMar>
            <w:vAlign w:val="center"/>
          </w:tcPr>
          <w:p>
            <w:pPr>
              <w:pStyle w:val="TableContents"/>
              <w:bidi w:val="0"/>
              <w:spacing w:before="0" w:after="283"/>
              <w:jc w:val="left"/>
              <w:rPr/>
            </w:pPr>
            <w:r>
              <w:rPr/>
              <w:t> </w:t>
            </w:r>
          </w:p>
        </w:tc>
        <w:tc>
          <w:tcPr>
            <w:tcW w:w="6196" w:type="dxa"/>
            <w:tcBorders/>
            <w:shd w:fill="CCEEFF" w:val="clear"/>
            <w:tcMar>
              <w:bottom w:w="0" w:type="dxa"/>
            </w:tcMar>
            <w:vAlign w:val="center"/>
          </w:tcPr>
          <w:p>
            <w:pPr>
              <w:pStyle w:val="TableContents"/>
              <w:bidi w:val="0"/>
              <w:spacing w:before="0" w:after="283"/>
              <w:jc w:val="left"/>
              <w:rPr/>
            </w:pPr>
            <w:hyperlink r:id="rId8">
              <w:r>
                <w:rPr>
                  <w:rStyle w:val="InternetLink"/>
                  <w:rFonts w:ascii="Times New Roman;Times;Serif" w:hAnsi="Times New Roman;Times;Serif"/>
                  <w:sz w:val="20"/>
                </w:rPr>
                <w:t>Certificate of Designation of Preferences, Rights and Limitations of Series A Non-Voting Convertible Preferred Stock.</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13, 2024</w:t>
            </w:r>
          </w:p>
        </w:tc>
      </w:tr>
      <w:tr>
        <w:trPr/>
        <w:tc>
          <w:tcPr>
            <w:tcW w:w="9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90" w:type="dxa"/>
            <w:tcBorders/>
            <w:tcMar>
              <w:bottom w:w="0" w:type="dxa"/>
            </w:tcMar>
            <w:vAlign w:val="center"/>
          </w:tcPr>
          <w:p>
            <w:pPr>
              <w:pStyle w:val="TableContents"/>
              <w:bidi w:val="0"/>
              <w:spacing w:before="0" w:after="283"/>
              <w:jc w:val="left"/>
              <w:rPr/>
            </w:pPr>
            <w:r>
              <w:rPr/>
              <w:t> </w:t>
            </w:r>
          </w:p>
        </w:tc>
        <w:tc>
          <w:tcPr>
            <w:tcW w:w="6196" w:type="dxa"/>
            <w:tcBorders/>
            <w:tcMar>
              <w:bottom w:w="0" w:type="dxa"/>
            </w:tcMar>
            <w:vAlign w:val="center"/>
          </w:tcPr>
          <w:p>
            <w:pPr>
              <w:pStyle w:val="TableContents"/>
              <w:bidi w:val="0"/>
              <w:spacing w:before="0" w:after="283"/>
              <w:jc w:val="left"/>
              <w:rPr/>
            </w:pPr>
            <w:hyperlink r:id="rId9">
              <w:r>
                <w:rPr>
                  <w:rStyle w:val="InternetLink"/>
                  <w:rFonts w:ascii="Times New Roman;Times;Serif" w:hAnsi="Times New Roman;Times;Serif"/>
                  <w:sz w:val="20"/>
                </w:rPr>
                <w:t>Description of Securities.</w:t>
              </w:r>
            </w:hyperlink>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10-K</w:t>
            </w:r>
          </w:p>
        </w:tc>
        <w:tc>
          <w:tcPr>
            <w:tcW w:w="9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90" w:type="dxa"/>
            <w:tcBorders/>
            <w:tcMar>
              <w:bottom w:w="0" w:type="dxa"/>
            </w:tcMar>
            <w:vAlign w:val="center"/>
          </w:tcPr>
          <w:p>
            <w:pPr>
              <w:pStyle w:val="TableContents"/>
              <w:bidi w:val="0"/>
              <w:spacing w:before="0" w:after="283"/>
              <w:jc w:val="left"/>
              <w:rPr/>
            </w:pPr>
            <w:r>
              <w:rPr/>
              <w:t> </w:t>
            </w:r>
          </w:p>
        </w:tc>
        <w:tc>
          <w:tcPr>
            <w:tcW w:w="120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6, 2025</w:t>
            </w:r>
          </w:p>
        </w:tc>
      </w:tr>
      <w:tr>
        <w:trPr/>
        <w:tc>
          <w:tcPr>
            <w:tcW w:w="9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90" w:type="dxa"/>
            <w:tcBorders/>
            <w:shd w:fill="CCEEFF" w:val="clear"/>
            <w:tcMar>
              <w:bottom w:w="0" w:type="dxa"/>
            </w:tcMar>
            <w:vAlign w:val="center"/>
          </w:tcPr>
          <w:p>
            <w:pPr>
              <w:pStyle w:val="TableContents"/>
              <w:bidi w:val="0"/>
              <w:spacing w:before="0" w:after="283"/>
              <w:jc w:val="left"/>
              <w:rPr/>
            </w:pPr>
            <w:r>
              <w:rPr/>
              <w:t> </w:t>
            </w:r>
          </w:p>
        </w:tc>
        <w:tc>
          <w:tcPr>
            <w:tcW w:w="6196" w:type="dxa"/>
            <w:tcBorders/>
            <w:shd w:fill="CCEEFF" w:val="clear"/>
            <w:tcMar>
              <w:bottom w:w="0" w:type="dxa"/>
            </w:tcMar>
            <w:vAlign w:val="center"/>
          </w:tcPr>
          <w:p>
            <w:pPr>
              <w:pStyle w:val="TableContents"/>
              <w:bidi w:val="0"/>
              <w:spacing w:before="0" w:after="283"/>
              <w:jc w:val="left"/>
              <w:rPr/>
            </w:pPr>
            <w:hyperlink r:id="rId10">
              <w:r>
                <w:rPr>
                  <w:rStyle w:val="InternetLink"/>
                  <w:rFonts w:ascii="Times New Roman;Times;Serif" w:hAnsi="Times New Roman;Times;Serif"/>
                  <w:sz w:val="20"/>
                </w:rPr>
                <w:t>Investor Rights Agreement, dated March 6, 2024, by and among Oruka Therapeutics, Inc. and certain parties thereto.</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S-4</w:t>
            </w:r>
          </w:p>
        </w:tc>
        <w:tc>
          <w:tcPr>
            <w:tcW w:w="9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14, 2024</w:t>
            </w:r>
          </w:p>
        </w:tc>
      </w:tr>
      <w:tr>
        <w:trPr/>
        <w:tc>
          <w:tcPr>
            <w:tcW w:w="9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90" w:type="dxa"/>
            <w:tcBorders/>
            <w:tcMar>
              <w:bottom w:w="0" w:type="dxa"/>
            </w:tcMar>
            <w:vAlign w:val="center"/>
          </w:tcPr>
          <w:p>
            <w:pPr>
              <w:pStyle w:val="TableContents"/>
              <w:bidi w:val="0"/>
              <w:spacing w:before="0" w:after="283"/>
              <w:jc w:val="left"/>
              <w:rPr/>
            </w:pPr>
            <w:r>
              <w:rPr/>
              <w:t> </w:t>
            </w:r>
          </w:p>
        </w:tc>
        <w:tc>
          <w:tcPr>
            <w:tcW w:w="6196" w:type="dxa"/>
            <w:tcBorders/>
            <w:tcMar>
              <w:bottom w:w="0" w:type="dxa"/>
            </w:tcMar>
            <w:vAlign w:val="center"/>
          </w:tcPr>
          <w:p>
            <w:pPr>
              <w:pStyle w:val="TableContents"/>
              <w:bidi w:val="0"/>
              <w:spacing w:before="0" w:after="283"/>
              <w:jc w:val="left"/>
              <w:rPr/>
            </w:pPr>
            <w:hyperlink r:id="rId11">
              <w:r>
                <w:rPr>
                  <w:rStyle w:val="InternetLink"/>
                  <w:rFonts w:ascii="Times New Roman;Times;Serif" w:hAnsi="Times New Roman;Times;Serif"/>
                  <w:sz w:val="20"/>
                </w:rPr>
                <w:t>Form of Pre-Funded Warrant, dated August 29, 2024.</w:t>
              </w:r>
            </w:hyperlink>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10-K</w:t>
            </w:r>
          </w:p>
        </w:tc>
        <w:tc>
          <w:tcPr>
            <w:tcW w:w="9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c>
          <w:tcPr>
            <w:tcW w:w="90" w:type="dxa"/>
            <w:tcBorders/>
            <w:tcMar>
              <w:bottom w:w="0" w:type="dxa"/>
            </w:tcMar>
            <w:vAlign w:val="center"/>
          </w:tcPr>
          <w:p>
            <w:pPr>
              <w:pStyle w:val="TableContents"/>
              <w:bidi w:val="0"/>
              <w:spacing w:before="0" w:after="283"/>
              <w:jc w:val="left"/>
              <w:rPr/>
            </w:pPr>
            <w:r>
              <w:rPr/>
              <w:t> </w:t>
            </w:r>
          </w:p>
        </w:tc>
        <w:tc>
          <w:tcPr>
            <w:tcW w:w="120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6, 2025</w:t>
            </w:r>
          </w:p>
        </w:tc>
      </w:tr>
      <w:tr>
        <w:trPr/>
        <w:tc>
          <w:tcPr>
            <w:tcW w:w="9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90" w:type="dxa"/>
            <w:tcBorders/>
            <w:shd w:fill="CCEEFF" w:val="clear"/>
            <w:tcMar>
              <w:bottom w:w="0" w:type="dxa"/>
            </w:tcMar>
            <w:vAlign w:val="center"/>
          </w:tcPr>
          <w:p>
            <w:pPr>
              <w:pStyle w:val="TableContents"/>
              <w:bidi w:val="0"/>
              <w:spacing w:before="0" w:after="283"/>
              <w:jc w:val="left"/>
              <w:rPr/>
            </w:pPr>
            <w:r>
              <w:rPr/>
              <w:t> </w:t>
            </w:r>
          </w:p>
        </w:tc>
        <w:tc>
          <w:tcPr>
            <w:tcW w:w="6196" w:type="dxa"/>
            <w:tcBorders/>
            <w:shd w:fill="CCEEFF" w:val="clear"/>
            <w:tcMar>
              <w:bottom w:w="0" w:type="dxa"/>
            </w:tcMar>
            <w:vAlign w:val="center"/>
          </w:tcPr>
          <w:p>
            <w:pPr>
              <w:pStyle w:val="TableContents"/>
              <w:bidi w:val="0"/>
              <w:spacing w:before="0" w:after="283"/>
              <w:jc w:val="left"/>
              <w:rPr/>
            </w:pPr>
            <w:hyperlink r:id="rId12">
              <w:r>
                <w:rPr>
                  <w:rStyle w:val="InternetLink"/>
                  <w:rFonts w:ascii="Times New Roman;Times;Serif" w:hAnsi="Times New Roman;Times;Serif"/>
                  <w:sz w:val="20"/>
                </w:rPr>
                <w:t>Form of Pre-Funded Warrant, dated September 13, 2024.</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13, 2024</w:t>
            </w:r>
          </w:p>
        </w:tc>
      </w:tr>
      <w:tr>
        <w:trPr/>
        <w:tc>
          <w:tcPr>
            <w:tcW w:w="920" w:type="dxa"/>
            <w:tcBorders/>
            <w:tcMar>
              <w:bottom w:w="0" w:type="dxa"/>
            </w:tcMar>
            <w:vAlign w:val="center"/>
          </w:tcPr>
          <w:p>
            <w:pPr>
              <w:pStyle w:val="TableContents"/>
              <w:bidi w:val="0"/>
              <w:spacing w:before="0" w:after="283"/>
              <w:jc w:val="left"/>
              <w:rPr/>
            </w:pPr>
            <w:r>
              <w:rPr/>
              <w:t>4.5*</w:t>
            </w:r>
          </w:p>
        </w:tc>
        <w:tc>
          <w:tcPr>
            <w:tcW w:w="90" w:type="dxa"/>
            <w:tcBorders/>
            <w:tcMar>
              <w:bottom w:w="0" w:type="dxa"/>
            </w:tcMar>
            <w:vAlign w:val="center"/>
          </w:tcPr>
          <w:p>
            <w:pPr>
              <w:pStyle w:val="TableContents"/>
              <w:bidi w:val="0"/>
              <w:spacing w:before="0" w:after="283"/>
              <w:jc w:val="left"/>
              <w:rPr/>
            </w:pPr>
            <w:r>
              <w:rPr/>
              <w:t> </w:t>
            </w:r>
          </w:p>
        </w:tc>
        <w:tc>
          <w:tcPr>
            <w:tcW w:w="6196" w:type="dxa"/>
            <w:tcBorders/>
            <w:tcMar>
              <w:bottom w:w="0" w:type="dxa"/>
            </w:tcMar>
            <w:vAlign w:val="center"/>
          </w:tcPr>
          <w:p>
            <w:pPr>
              <w:pStyle w:val="TableContents"/>
              <w:bidi w:val="0"/>
              <w:spacing w:before="0" w:after="283"/>
              <w:jc w:val="left"/>
              <w:rPr/>
            </w:pPr>
            <w:hyperlink w:anchor="ea023989801ex4-5_oruka.htm">
              <w:r>
                <w:rPr>
                  <w:rStyle w:val="InternetLink"/>
                </w:rPr>
                <w:t>Paruka Warrant, dated December 31, 2024</w:t>
              </w:r>
            </w:hyperlink>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204" w:type="dxa"/>
            <w:tcBorders/>
            <w:tcMar>
              <w:bottom w:w="0" w:type="dxa"/>
            </w:tcMar>
            <w:vAlign w:val="center"/>
          </w:tcPr>
          <w:p>
            <w:pPr>
              <w:pStyle w:val="TableContents"/>
              <w:bidi w:val="0"/>
              <w:spacing w:before="0" w:after="283"/>
              <w:jc w:val="center"/>
              <w:rPr/>
            </w:pPr>
            <w:r>
              <w:rPr/>
              <w:t> </w:t>
            </w:r>
          </w:p>
        </w:tc>
      </w:tr>
      <w:tr>
        <w:trPr/>
        <w:tc>
          <w:tcPr>
            <w:tcW w:w="920" w:type="dxa"/>
            <w:tcBorders/>
            <w:shd w:fill="CCEEFF" w:val="clear"/>
            <w:tcMar>
              <w:bottom w:w="0" w:type="dxa"/>
            </w:tcMar>
            <w:vAlign w:val="center"/>
          </w:tcPr>
          <w:p>
            <w:pPr>
              <w:pStyle w:val="TableContents"/>
              <w:bidi w:val="0"/>
              <w:spacing w:before="0" w:after="283"/>
              <w:jc w:val="left"/>
              <w:rPr/>
            </w:pPr>
            <w:r>
              <w:rPr/>
              <w:t>10.1†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6196" w:type="dxa"/>
            <w:tcBorders/>
            <w:shd w:fill="CCEEFF" w:val="clear"/>
            <w:tcMar>
              <w:bottom w:w="0" w:type="dxa"/>
            </w:tcMar>
            <w:vAlign w:val="center"/>
          </w:tcPr>
          <w:p>
            <w:pPr>
              <w:pStyle w:val="TableContents"/>
              <w:bidi w:val="0"/>
              <w:spacing w:before="0" w:after="283"/>
              <w:jc w:val="left"/>
              <w:rPr/>
            </w:pPr>
            <w:hyperlink r:id="rId13">
              <w:r>
                <w:rPr>
                  <w:rStyle w:val="InternetLink"/>
                </w:rPr>
                <w:t>IL-17 License Agreement by and between Paragon Therapeutics, Inc. and Oruka Therapeutics, Inc., dated February 4, 2025.</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pPr>
            <w:r>
              <w:rPr/>
              <w:t>10-K</w:t>
            </w:r>
          </w:p>
        </w:tc>
        <w:tc>
          <w:tcPr>
            <w:tcW w:w="9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center"/>
              <w:rPr/>
            </w:pPr>
            <w:r>
              <w:rPr/>
              <w:t>10.29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center"/>
              <w:rPr/>
            </w:pPr>
            <w:r>
              <w:rPr/>
              <w:t>March 6, 2025</w:t>
            </w:r>
          </w:p>
        </w:tc>
      </w:tr>
      <w:tr>
        <w:trPr/>
        <w:tc>
          <w:tcPr>
            <w:tcW w:w="9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w:t>
            </w:r>
          </w:p>
        </w:tc>
        <w:tc>
          <w:tcPr>
            <w:tcW w:w="90" w:type="dxa"/>
            <w:tcBorders/>
            <w:tcMar>
              <w:bottom w:w="0" w:type="dxa"/>
            </w:tcMar>
            <w:vAlign w:val="center"/>
          </w:tcPr>
          <w:p>
            <w:pPr>
              <w:pStyle w:val="TableContents"/>
              <w:bidi w:val="0"/>
              <w:spacing w:before="0" w:after="283"/>
              <w:jc w:val="left"/>
              <w:rPr/>
            </w:pPr>
            <w:r>
              <w:rPr/>
              <w:t> </w:t>
            </w:r>
          </w:p>
        </w:tc>
        <w:tc>
          <w:tcPr>
            <w:tcW w:w="6196" w:type="dxa"/>
            <w:tcBorders/>
            <w:tcMar>
              <w:bottom w:w="0" w:type="dxa"/>
            </w:tcMar>
            <w:vAlign w:val="center"/>
          </w:tcPr>
          <w:p>
            <w:pPr>
              <w:pStyle w:val="TableContents"/>
              <w:bidi w:val="0"/>
              <w:spacing w:before="0" w:after="283"/>
              <w:jc w:val="left"/>
              <w:rPr/>
            </w:pPr>
            <w:hyperlink w:anchor="ea023989801ex31-1_oruka.htm">
              <w:r>
                <w:rPr>
                  <w:rStyle w:val="InternetLink"/>
                  <w:rFonts w:ascii="Times New Roman;Times;Serif" w:hAnsi="Times New Roman;Times;Serif"/>
                  <w:sz w:val="20"/>
                </w:rPr>
                <w:t>Certification of the Principal Executive Officer pursuant to Rule 13a-14(a) or 15d-14(a) promulgated under the Securities Exchange Act of 1934</w:t>
              </w:r>
            </w:hyperlink>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204" w:type="dxa"/>
            <w:tcBorders/>
            <w:tcMar>
              <w:bottom w:w="0" w:type="dxa"/>
            </w:tcMar>
            <w:vAlign w:val="center"/>
          </w:tcPr>
          <w:p>
            <w:pPr>
              <w:pStyle w:val="TableContents"/>
              <w:bidi w:val="0"/>
              <w:spacing w:before="0" w:after="283"/>
              <w:jc w:val="center"/>
              <w:rPr/>
            </w:pPr>
            <w:r>
              <w:rPr/>
              <w:t> </w:t>
            </w:r>
          </w:p>
        </w:tc>
      </w:tr>
      <w:tr>
        <w:trPr/>
        <w:tc>
          <w:tcPr>
            <w:tcW w:w="9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6196" w:type="dxa"/>
            <w:tcBorders/>
            <w:shd w:fill="CCEEFF" w:val="clear"/>
            <w:tcMar>
              <w:bottom w:w="0" w:type="dxa"/>
            </w:tcMar>
            <w:vAlign w:val="center"/>
          </w:tcPr>
          <w:p>
            <w:pPr>
              <w:pStyle w:val="TableContents"/>
              <w:bidi w:val="0"/>
              <w:spacing w:before="0" w:after="283"/>
              <w:jc w:val="left"/>
              <w:rPr/>
            </w:pPr>
            <w:hyperlink w:anchor="ea023989801ex31-2_oruka.htm">
              <w:r>
                <w:rPr>
                  <w:rStyle w:val="InternetLink"/>
                  <w:rFonts w:ascii="Times New Roman;Times;Serif" w:hAnsi="Times New Roman;Times;Serif"/>
                  <w:sz w:val="20"/>
                </w:rPr>
                <w:t>Certification of the Principal Financial Officer pursuant to Rule 13a-14(a) or 15d-14(a) promulgated under the Securities Exchange Act of 1934</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center"/>
              <w:rPr/>
            </w:pPr>
            <w:r>
              <w:rPr/>
              <w:t> </w:t>
            </w:r>
          </w:p>
        </w:tc>
      </w:tr>
      <w:tr>
        <w:trPr/>
        <w:tc>
          <w:tcPr>
            <w:tcW w:w="9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32.1**</w:t>
            </w:r>
          </w:p>
        </w:tc>
        <w:tc>
          <w:tcPr>
            <w:tcW w:w="90" w:type="dxa"/>
            <w:tcBorders/>
            <w:tcMar>
              <w:bottom w:w="0" w:type="dxa"/>
            </w:tcMar>
            <w:vAlign w:val="center"/>
          </w:tcPr>
          <w:p>
            <w:pPr>
              <w:pStyle w:val="TableContents"/>
              <w:bidi w:val="0"/>
              <w:spacing w:before="0" w:after="283"/>
              <w:jc w:val="left"/>
              <w:rPr/>
            </w:pPr>
            <w:r>
              <w:rPr/>
              <w:t> </w:t>
            </w:r>
          </w:p>
        </w:tc>
        <w:tc>
          <w:tcPr>
            <w:tcW w:w="6196" w:type="dxa"/>
            <w:tcBorders/>
            <w:tcMar>
              <w:bottom w:w="0" w:type="dxa"/>
            </w:tcMar>
            <w:vAlign w:val="center"/>
          </w:tcPr>
          <w:p>
            <w:pPr>
              <w:pStyle w:val="TableContents"/>
              <w:bidi w:val="0"/>
              <w:spacing w:before="0" w:after="283"/>
              <w:jc w:val="left"/>
              <w:rPr/>
            </w:pPr>
            <w:hyperlink w:anchor="ea023989801ex32-1_oruka.htm">
              <w:r>
                <w:rPr>
                  <w:rStyle w:val="InternetLink"/>
                  <w:rFonts w:ascii="Times New Roman;Times;Serif" w:hAnsi="Times New Roman;Times;Serif"/>
                  <w:sz w:val="20"/>
                </w:rPr>
                <w:t>Certification of the Principal Executive Officer and Principal Financial Officer pursuant to 18 U.S.C. Section 1350 and Rule 13a-14(B) promulgated under the Securities Exchange Act of 1934</w:t>
              </w:r>
            </w:hyperlink>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204" w:type="dxa"/>
            <w:tcBorders/>
            <w:tcMar>
              <w:bottom w:w="0" w:type="dxa"/>
            </w:tcMar>
            <w:vAlign w:val="center"/>
          </w:tcPr>
          <w:p>
            <w:pPr>
              <w:pStyle w:val="TableContents"/>
              <w:bidi w:val="0"/>
              <w:spacing w:before="0" w:after="283"/>
              <w:jc w:val="center"/>
              <w:rPr/>
            </w:pPr>
            <w:r>
              <w:rPr/>
              <w:t> </w:t>
            </w:r>
          </w:p>
        </w:tc>
      </w:tr>
      <w:tr>
        <w:trPr/>
        <w:tc>
          <w:tcPr>
            <w:tcW w:w="9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101.INS</w:t>
            </w:r>
          </w:p>
        </w:tc>
        <w:tc>
          <w:tcPr>
            <w:tcW w:w="90" w:type="dxa"/>
            <w:tcBorders/>
            <w:shd w:fill="CCEEFF" w:val="clear"/>
            <w:tcMar>
              <w:bottom w:w="0" w:type="dxa"/>
            </w:tcMar>
            <w:vAlign w:val="center"/>
          </w:tcPr>
          <w:p>
            <w:pPr>
              <w:pStyle w:val="TableContents"/>
              <w:bidi w:val="0"/>
              <w:spacing w:before="0" w:after="283"/>
              <w:jc w:val="left"/>
              <w:rPr/>
            </w:pPr>
            <w:r>
              <w:rPr/>
              <w:t> </w:t>
            </w:r>
          </w:p>
        </w:tc>
        <w:tc>
          <w:tcPr>
            <w:tcW w:w="619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Instance Document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center"/>
              <w:rPr/>
            </w:pPr>
            <w:r>
              <w:rPr/>
              <w:t> </w:t>
            </w:r>
          </w:p>
        </w:tc>
      </w:tr>
      <w:tr>
        <w:trPr/>
        <w:tc>
          <w:tcPr>
            <w:tcW w:w="9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101.SCH</w:t>
            </w:r>
          </w:p>
        </w:tc>
        <w:tc>
          <w:tcPr>
            <w:tcW w:w="90" w:type="dxa"/>
            <w:tcBorders/>
            <w:tcMar>
              <w:bottom w:w="0" w:type="dxa"/>
            </w:tcMar>
            <w:vAlign w:val="center"/>
          </w:tcPr>
          <w:p>
            <w:pPr>
              <w:pStyle w:val="TableContents"/>
              <w:bidi w:val="0"/>
              <w:spacing w:before="0" w:after="283"/>
              <w:jc w:val="left"/>
              <w:rPr/>
            </w:pPr>
            <w:r>
              <w:rPr/>
              <w:t> </w:t>
            </w:r>
          </w:p>
        </w:tc>
        <w:tc>
          <w:tcPr>
            <w:tcW w:w="619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Schema with Embedded Linkbases Document</w:t>
            </w:r>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204" w:type="dxa"/>
            <w:tcBorders/>
            <w:tcMar>
              <w:bottom w:w="0" w:type="dxa"/>
            </w:tcMar>
            <w:vAlign w:val="center"/>
          </w:tcPr>
          <w:p>
            <w:pPr>
              <w:pStyle w:val="TableContents"/>
              <w:bidi w:val="0"/>
              <w:spacing w:before="0" w:after="283"/>
              <w:jc w:val="center"/>
              <w:rPr/>
            </w:pPr>
            <w:r>
              <w:rPr/>
              <w:t> </w:t>
            </w:r>
          </w:p>
        </w:tc>
      </w:tr>
      <w:tr>
        <w:trPr/>
        <w:tc>
          <w:tcPr>
            <w:tcW w:w="92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101.CAL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619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left"/>
              <w:rPr/>
            </w:pPr>
            <w:r>
              <w:rPr/>
              <w:t> </w:t>
            </w:r>
          </w:p>
        </w:tc>
      </w:tr>
      <w:tr>
        <w:trPr/>
        <w:tc>
          <w:tcPr>
            <w:tcW w:w="92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101.DEF</w:t>
            </w:r>
          </w:p>
        </w:tc>
        <w:tc>
          <w:tcPr>
            <w:tcW w:w="90" w:type="dxa"/>
            <w:tcBorders/>
            <w:tcMar>
              <w:bottom w:w="0" w:type="dxa"/>
            </w:tcMar>
            <w:vAlign w:val="center"/>
          </w:tcPr>
          <w:p>
            <w:pPr>
              <w:pStyle w:val="TableContents"/>
              <w:bidi w:val="0"/>
              <w:spacing w:before="0" w:after="283"/>
              <w:jc w:val="left"/>
              <w:rPr/>
            </w:pPr>
            <w:r>
              <w:rPr/>
              <w:t> </w:t>
            </w:r>
          </w:p>
        </w:tc>
        <w:tc>
          <w:tcPr>
            <w:tcW w:w="619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04" w:type="dxa"/>
            <w:tcBorders/>
            <w:tcMar>
              <w:bottom w:w="0" w:type="dxa"/>
            </w:tcMar>
            <w:vAlign w:val="center"/>
          </w:tcPr>
          <w:p>
            <w:pPr>
              <w:pStyle w:val="TableContents"/>
              <w:bidi w:val="0"/>
              <w:spacing w:before="0" w:after="283"/>
              <w:jc w:val="left"/>
              <w:rPr/>
            </w:pPr>
            <w:r>
              <w:rPr/>
              <w:t> </w:t>
            </w:r>
          </w:p>
        </w:tc>
      </w:tr>
      <w:tr>
        <w:trPr/>
        <w:tc>
          <w:tcPr>
            <w:tcW w:w="92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101.LAB</w:t>
            </w:r>
          </w:p>
        </w:tc>
        <w:tc>
          <w:tcPr>
            <w:tcW w:w="90" w:type="dxa"/>
            <w:tcBorders/>
            <w:shd w:fill="CCEEFF" w:val="clear"/>
            <w:tcMar>
              <w:bottom w:w="0" w:type="dxa"/>
            </w:tcMar>
            <w:vAlign w:val="center"/>
          </w:tcPr>
          <w:p>
            <w:pPr>
              <w:pStyle w:val="TableContents"/>
              <w:bidi w:val="0"/>
              <w:spacing w:before="0" w:after="283"/>
              <w:jc w:val="left"/>
              <w:rPr/>
            </w:pPr>
            <w:r>
              <w:rPr/>
              <w:t> </w:t>
            </w:r>
          </w:p>
        </w:tc>
        <w:tc>
          <w:tcPr>
            <w:tcW w:w="619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left"/>
              <w:rPr/>
            </w:pPr>
            <w:r>
              <w:rPr/>
              <w:t> </w:t>
            </w:r>
          </w:p>
        </w:tc>
      </w:tr>
      <w:tr>
        <w:trPr/>
        <w:tc>
          <w:tcPr>
            <w:tcW w:w="92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101.PRE</w:t>
            </w:r>
          </w:p>
        </w:tc>
        <w:tc>
          <w:tcPr>
            <w:tcW w:w="90" w:type="dxa"/>
            <w:tcBorders/>
            <w:tcMar>
              <w:bottom w:w="0" w:type="dxa"/>
            </w:tcMar>
            <w:vAlign w:val="center"/>
          </w:tcPr>
          <w:p>
            <w:pPr>
              <w:pStyle w:val="TableContents"/>
              <w:bidi w:val="0"/>
              <w:spacing w:before="0" w:after="283"/>
              <w:jc w:val="left"/>
              <w:rPr/>
            </w:pPr>
            <w:r>
              <w:rPr/>
              <w:t> </w:t>
            </w:r>
          </w:p>
        </w:tc>
        <w:tc>
          <w:tcPr>
            <w:tcW w:w="619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04" w:type="dxa"/>
            <w:tcBorders/>
            <w:tcMar>
              <w:bottom w:w="0" w:type="dxa"/>
            </w:tcMar>
            <w:vAlign w:val="center"/>
          </w:tcPr>
          <w:p>
            <w:pPr>
              <w:pStyle w:val="TableContents"/>
              <w:bidi w:val="0"/>
              <w:spacing w:before="0" w:after="283"/>
              <w:jc w:val="left"/>
              <w:rPr/>
            </w:pPr>
            <w:r>
              <w:rPr/>
              <w:t> </w:t>
            </w:r>
          </w:p>
        </w:tc>
      </w:tr>
      <w:tr>
        <w:trPr/>
        <w:tc>
          <w:tcPr>
            <w:tcW w:w="9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0" w:type="dxa"/>
            <w:tcBorders/>
            <w:shd w:fill="CCEEFF" w:val="clear"/>
            <w:tcMar>
              <w:bottom w:w="0" w:type="dxa"/>
            </w:tcMar>
            <w:vAlign w:val="center"/>
          </w:tcPr>
          <w:p>
            <w:pPr>
              <w:pStyle w:val="TableContents"/>
              <w:bidi w:val="0"/>
              <w:spacing w:before="0" w:after="283"/>
              <w:jc w:val="left"/>
              <w:rPr/>
            </w:pPr>
            <w:r>
              <w:rPr/>
              <w:t> </w:t>
            </w:r>
          </w:p>
        </w:tc>
        <w:tc>
          <w:tcPr>
            <w:tcW w:w="619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105"/>
        <w:gridCol w:w="155"/>
        <w:gridCol w:w="1310"/>
      </w:tblGrid>
      <w:tr>
        <w:trPr/>
        <w:tc>
          <w:tcPr>
            <w:tcW w:w="10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93"/>
        <w:gridCol w:w="9907"/>
      </w:tblGrid>
      <w:tr>
        <w:trPr/>
        <w:tc>
          <w:tcPr>
            <w:tcW w:w="10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Furnished herewith. The certifications on Exhibit 32.1 hereto are deemed not “filed” for purposes of Section 18 of the Exchange Act or otherwise subject to the liability of that Section. Such certifications will not be deemed incorporated by reference into any filing under the Securities Act or the Exchange Act.</w:t>
            </w:r>
          </w:p>
        </w:tc>
      </w:tr>
    </w:tbl>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105"/>
        <w:gridCol w:w="155"/>
        <w:gridCol w:w="4460"/>
      </w:tblGrid>
      <w:tr>
        <w:trPr/>
        <w:tc>
          <w:tcPr>
            <w:tcW w:w="10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4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Indicates management contract or compensatory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70"/>
        <w:gridCol w:w="9930"/>
      </w:tblGrid>
      <w:tr>
        <w:trPr/>
        <w:tc>
          <w:tcPr>
            <w:tcW w:w="10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Exhibits and/or schedules have been omitted pursuant to Item 601(a)(5) of Regulation S-K. The Company hereby undertakes to furnish supplementally copies of any of the omitted exhibits and schedules upon request by the SEC; provided, however, that the Company may request confidential treatment pursuant to Rule 24b-2 under the Exchange Act for any exhibits or schedules so furnished. Certain portions of this exhibit (indicated by “[***]”) have been omitted because they are both (i) not material and (ii) is the type of information that the registrant both customarily and actually treats as private and confidential.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SIGNATURES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490"/>
        <w:jc w:val="left"/>
        <w:rPr>
          <w:caps w:val="false"/>
          <w:smallCaps w:val="false"/>
        </w:rPr>
      </w:pPr>
      <w:r>
        <w:rPr>
          <w:caps w:val="false"/>
          <w:smallCaps w:val="false"/>
        </w:rPr>
        <w:t> </w:t>
      </w:r>
    </w:p>
    <w:tbl>
      <w:tblPr>
        <w:tblW w:w="5220" w:type="dxa"/>
        <w:jc w:val="left"/>
        <w:tblInd w:w="0" w:type="dxa"/>
        <w:tblLayout w:type="fixed"/>
        <w:tblCellMar>
          <w:top w:w="0" w:type="dxa"/>
          <w:left w:w="0" w:type="dxa"/>
          <w:bottom w:w="0" w:type="dxa"/>
          <w:right w:w="0" w:type="dxa"/>
        </w:tblCellMar>
      </w:tblPr>
      <w:tblGrid>
        <w:gridCol w:w="1685"/>
        <w:gridCol w:w="350"/>
        <w:gridCol w:w="3185"/>
      </w:tblGrid>
      <w:tr>
        <w:trPr/>
        <w:tc>
          <w:tcPr>
            <w:tcW w:w="1685" w:type="dxa"/>
            <w:tcBorders/>
            <w:vAlign w:val="center"/>
          </w:tcPr>
          <w:p>
            <w:pPr>
              <w:pStyle w:val="TableContents"/>
              <w:bidi w:val="0"/>
              <w:spacing w:before="0" w:after="283"/>
              <w:jc w:val="left"/>
              <w:rPr/>
            </w:pPr>
            <w:r>
              <w:rPr/>
              <w:t> </w:t>
            </w:r>
          </w:p>
        </w:tc>
        <w:tc>
          <w:tcPr>
            <w:tcW w:w="353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Oruka Therapeutics, Inc.</w:t>
            </w:r>
          </w:p>
        </w:tc>
      </w:tr>
      <w:tr>
        <w:trPr/>
        <w:tc>
          <w:tcPr>
            <w:tcW w:w="16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14, 2025</w:t>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8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Lawrence Klein, PhD.</w:t>
            </w:r>
          </w:p>
        </w:tc>
      </w:tr>
      <w:tr>
        <w:trPr/>
        <w:tc>
          <w:tcPr>
            <w:tcW w:w="16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Lawrence Klein, PhD.</w:t>
              <w:br/>
            </w:r>
            <w:r>
              <w:rPr>
                <w:rFonts w:ascii="Times New Roman;Times;Serif" w:hAnsi="Times New Roman;Times;Serif"/>
                <w:b w:val="false"/>
                <w:i/>
                <w:caps w:val="false"/>
                <w:smallCaps w:val="false"/>
                <w:sz w:val="20"/>
              </w:rPr>
              <w:t>President and Chief Executive Officer</w:t>
              <w:br/>
              <w:t>(Principal Executive Officer)</w:t>
            </w:r>
          </w:p>
        </w:tc>
      </w:tr>
    </w:tbl>
    <w:p>
      <w:pPr>
        <w:pStyle w:val="TextBody"/>
        <w:bidi w:val="0"/>
        <w:jc w:val="left"/>
        <w:rPr>
          <w:caps w:val="false"/>
          <w:smallCaps w:val="false"/>
        </w:rPr>
      </w:pPr>
      <w:r>
        <w:rPr>
          <w:caps w:val="false"/>
          <w:smallCaps w:val="false"/>
        </w:rPr>
        <w:t> </w:t>
      </w:r>
    </w:p>
    <w:tbl>
      <w:tblPr>
        <w:tblW w:w="5865" w:type="dxa"/>
        <w:jc w:val="left"/>
        <w:tblInd w:w="0" w:type="dxa"/>
        <w:tblLayout w:type="fixed"/>
        <w:tblCellMar>
          <w:top w:w="0" w:type="dxa"/>
          <w:left w:w="0" w:type="dxa"/>
          <w:bottom w:w="0" w:type="dxa"/>
          <w:right w:w="0" w:type="dxa"/>
        </w:tblCellMar>
      </w:tblPr>
      <w:tblGrid>
        <w:gridCol w:w="1685"/>
        <w:gridCol w:w="350"/>
        <w:gridCol w:w="3830"/>
      </w:tblGrid>
      <w:tr>
        <w:trPr/>
        <w:tc>
          <w:tcPr>
            <w:tcW w:w="1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14, 2025</w:t>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83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Arjun Agarwal</w:t>
            </w:r>
          </w:p>
        </w:tc>
      </w:tr>
      <w:tr>
        <w:trPr/>
        <w:tc>
          <w:tcPr>
            <w:tcW w:w="16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Arjun Agarwal</w:t>
              <w:br/>
            </w:r>
            <w:r>
              <w:rPr>
                <w:rFonts w:ascii="Times New Roman;Times;Serif" w:hAnsi="Times New Roman;Times;Serif"/>
                <w:b w:val="false"/>
                <w:i/>
                <w:caps w:val="false"/>
                <w:smallCaps w:val="false"/>
                <w:sz w:val="20"/>
              </w:rPr>
              <w:t>Senior Vice President, Finance and Treasurer</w:t>
              <w:br/>
              <w:t>(Principal Financial Officer and</w:t>
              <w:br/>
              <w:t>Principal Accounting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1" w:name="ea023989801ex4-5_oruka.htm"/>
      <w:bookmarkStart w:id="22" w:name="ksea023989801ex45_oruka"/>
      <w:bookmarkEnd w:id="21"/>
      <w:bookmarkEnd w:id="22"/>
      <w:r>
        <w:rPr>
          <w:rFonts w:ascii="Times New Roman;Times;Serif" w:hAnsi="Times New Roman;Times;Serif"/>
          <w:b/>
          <w:i w:val="false"/>
          <w:caps w:val="false"/>
          <w:smallCaps w:val="false"/>
          <w:sz w:val="20"/>
        </w:rPr>
        <w:t>Exhibit 4.5</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ORUKA THERAPEUTICS,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TO PURCHASE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Warrant Shares: 596,930</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adjustment)</w:t>
      </w:r>
    </w:p>
    <w:tbl>
      <w:tblPr>
        <w:tblW w:w="5230" w:type="dxa"/>
        <w:jc w:val="left"/>
        <w:tblInd w:w="0" w:type="dxa"/>
        <w:tblLayout w:type="fixed"/>
        <w:tblCellMar>
          <w:top w:w="0" w:type="dxa"/>
          <w:left w:w="0" w:type="dxa"/>
          <w:bottom w:w="0" w:type="dxa"/>
          <w:right w:w="0" w:type="dxa"/>
        </w:tblCellMar>
      </w:tblPr>
      <w:tblGrid>
        <w:gridCol w:w="1970"/>
        <w:gridCol w:w="3260"/>
      </w:tblGrid>
      <w:tr>
        <w:trPr/>
        <w:tc>
          <w:tcPr>
            <w:tcW w:w="1970" w:type="dxa"/>
            <w:tcBorders/>
            <w:vAlign w:val="center"/>
          </w:tcPr>
          <w:p>
            <w:pPr>
              <w:pStyle w:val="TableContents"/>
              <w:bidi w:val="0"/>
              <w:spacing w:before="0" w:after="283"/>
              <w:jc w:val="left"/>
              <w:rPr>
                <w:sz w:val="20"/>
              </w:rPr>
            </w:pPr>
            <w:r>
              <w:rPr>
                <w:sz w:val="20"/>
              </w:rPr>
              <w:t>Warrant No. ORKA-001</w:t>
            </w:r>
          </w:p>
        </w:tc>
        <w:tc>
          <w:tcPr>
            <w:tcW w:w="3260" w:type="dxa"/>
            <w:tcBorders/>
            <w:vAlign w:val="center"/>
          </w:tcPr>
          <w:p>
            <w:pPr>
              <w:pStyle w:val="TableContents"/>
              <w:bidi w:val="0"/>
              <w:spacing w:before="0" w:after="283"/>
              <w:jc w:val="right"/>
              <w:rPr>
                <w:sz w:val="20"/>
              </w:rPr>
            </w:pPr>
            <w:r>
              <w:rPr>
                <w:sz w:val="20"/>
              </w:rPr>
              <w:t>Original Issue Date: December 31, 2024</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WARRANT TO PURCHASE COMMON STOCK</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Paruka Holding LLC 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the date hereof (the “</w:t>
      </w:r>
      <w:r>
        <w:rPr>
          <w:rFonts w:ascii="Times New Roman;Times;Serif" w:hAnsi="Times New Roman;Times;Serif"/>
          <w:b w:val="false"/>
          <w:i w:val="false"/>
          <w:caps w:val="false"/>
          <w:smallCaps w:val="false"/>
          <w:sz w:val="20"/>
          <w:u w:val="single"/>
        </w:rPr>
        <w:t>Original Issue Date</w:t>
      </w:r>
      <w:r>
        <w:rPr>
          <w:rFonts w:ascii="Times New Roman;Times;Serif" w:hAnsi="Times New Roman;Times;Serif"/>
          <w:b w:val="false"/>
          <w:i w:val="false"/>
          <w:caps w:val="false"/>
          <w:smallCaps w:val="false"/>
          <w:sz w:val="20"/>
        </w:rPr>
        <w:t>”) and on or prior to 5:00 p.m. (New York City time) on December 31, 2034,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Oruka Therapeutics,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596,930 shares (as subject to adjustment hereunder,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of common stock, $0.001 par value per share, of the Company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xml:space="preserve">”). The purchase price of one share of Common Stock under this Warrant shall be equal to the Exercise Price, as defined in </w:t>
      </w:r>
      <w:r>
        <w:rPr>
          <w:rFonts w:ascii="Times New Roman;Times;Serif" w:hAnsi="Times New Roman;Times;Serif"/>
          <w:b w:val="false"/>
          <w:i w:val="false"/>
          <w:caps w:val="false"/>
          <w:smallCaps w:val="false"/>
          <w:sz w:val="20"/>
          <w:u w:val="single"/>
        </w:rPr>
        <w:t>Section 2(b)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and not otherwise defined herein shall have the meanings set forth in those certain Amended and Restated Antibody Discovery and Option Agreements, each dated as of March 6, 2024 and subsequently amended and restated as of March 28, 2024 (as amended and restated, the “</w:t>
      </w:r>
      <w:r>
        <w:rPr>
          <w:rFonts w:ascii="Times New Roman;Times;Serif" w:hAnsi="Times New Roman;Times;Serif"/>
          <w:b w:val="false"/>
          <w:i w:val="false"/>
          <w:caps w:val="false"/>
          <w:smallCaps w:val="false"/>
          <w:sz w:val="20"/>
          <w:u w:val="single"/>
        </w:rPr>
        <w:t>Option Agreements</w:t>
      </w:r>
      <w:r>
        <w:rPr>
          <w:rFonts w:ascii="Times New Roman;Times;Serif" w:hAnsi="Times New Roman;Times;Serif"/>
          <w:b w:val="false"/>
          <w:i w:val="false"/>
          <w:caps w:val="false"/>
          <w:smallCaps w:val="false"/>
          <w:sz w:val="20"/>
        </w:rPr>
        <w:t>”), by and among the Company, Paragon Therapeutics, Inc. and Paruka Holding LLC.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Closing Sale Price</w:t>
      </w:r>
      <w:r>
        <w:rPr>
          <w:rFonts w:ascii="Times New Roman;Times;Serif" w:hAnsi="Times New Roman;Times;Serif"/>
          <w:b w:val="false"/>
          <w:i w:val="false"/>
          <w:caps w:val="false"/>
          <w:smallCaps w:val="false"/>
          <w:sz w:val="20"/>
        </w:rPr>
        <w:t>” means, for any security as of any date, the last trade price for such security on the Principal Trading Market for such security, as reported by Bloomberg L.P., or, if such Principal Trading Market begins to operate on an extended hours basis and does not designate the last trade price, then the last trade price of such security prior to 4:00 P.M., New York City time, as reported by Bloomberg L.P., or if the security is not listed for trading on a national securities exchange or other trading market on the relevant date, the last quoted bid price for the security in the over-the-counter market on the relevant date as reported by OTC Markets Group Inc. (or a similar organization or agency succeeding to its functions of reporting prices).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natural person or legal entity.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Principal Trading Market</w:t>
      </w:r>
      <w:r>
        <w:rPr>
          <w:rFonts w:ascii="Times New Roman;Times;Serif" w:hAnsi="Times New Roman;Times;Serif"/>
          <w:b w:val="false"/>
          <w:i w:val="false"/>
          <w:caps w:val="false"/>
          <w:smallCaps w:val="false"/>
          <w:sz w:val="20"/>
        </w:rPr>
        <w:t>” means the national securities exchange or other trading market on which the Common Stock is primarily listed on and quoted for trading, which, as of the Original Issue Date was the Nasdaq Global Market.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any weekday on which the Principal Trading Market is open for trading. If the Common Stock is not listed or admitted for trading, “Trading Day” means any day except any Saturday, any Sunday, any day which is a federal legal holiday in the United States or any day on which banking institutions in New York City are authorized or required by law or other governmental action to close.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means Computershare Trust Company, N.A., the Company’s transfer agent and registrar for the Common Stock, and any successor appointed in such capacity.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Exercise of the purchase rights represented by this Warrant may be made, in whole or in part, at any time or times on or after the Original Issue Date and on or before the Termination Date, including by means of a “cashless exercise” as described in Section 2(c) below, by delivery to the Company of a duly executed facsimile copy or PDF copy submitted by e-mail (or e-mail attachment) of the Notice of Exercise in the form annexed hereto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Within the earlier of (i) two (2) Trading Days and (ii) the number of Trading Days comprising the Standard Settlement Period following the date of exercise (the “</w:t>
      </w:r>
      <w:r>
        <w:rPr>
          <w:rFonts w:ascii="Times New Roman;Times;Serif" w:hAnsi="Times New Roman;Times;Serif"/>
          <w:b w:val="false"/>
          <w:i w:val="false"/>
          <w:caps w:val="false"/>
          <w:smallCaps w:val="false"/>
          <w:sz w:val="20"/>
          <w:u w:val="single"/>
        </w:rPr>
        <w:t>Exercise Date</w:t>
      </w:r>
      <w:r>
        <w:rPr>
          <w:rFonts w:ascii="Times New Roman;Times;Serif" w:hAnsi="Times New Roman;Times;Serif"/>
          <w:b w:val="false"/>
          <w:i w:val="false"/>
          <w:caps w:val="false"/>
          <w:smallCaps w:val="false"/>
          <w:sz w:val="20"/>
        </w:rPr>
        <w:t xml:space="preserv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its receipt of such notice. </w:t>
      </w:r>
      <w:r>
        <w:rPr>
          <w:rFonts w:ascii="Times New Roman;Times;Serif" w:hAnsi="Times New Roman;Times;Serif"/>
          <w:b/>
          <w:i w:val="false"/>
          <w:caps w:val="false"/>
          <w:smallCaps w:val="false"/>
          <w:sz w:val="20"/>
        </w:rPr>
        <w:t xml:space="preserve">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Times New Roman;Times;Serif" w:hAnsi="Times New Roman;Times;Serif"/>
          <w:b w:val="false"/>
          <w:i w:val="false"/>
          <w:caps w:val="false"/>
          <w:smallCaps w:val="false"/>
          <w:sz w:val="20"/>
        </w:rPr>
        <w:t>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Principal Trading Market with respect to the Common Stock as in effect on the date of delivery of the Notice of Exercise to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exercise price per share of Common Stock under this Warrant shall be $19.39, subject to adjustment hereunder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This Warrant may be exercised, in whole or in part, by means of a “cashless exercise” in which the Holder shall be entitled to receive a number of Warrant Shares as determined as follows: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 Y [(A-B)/A]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X” equals the number of Warrant Shares to be issued to the Holder;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Y” equals the total number of Warrant Shares with respect to which this Warrant is then being exercised;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987" w:right="0" w:hanging="547"/>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 equals the Closing Sale Price per share of Common Stock as of the Trading Day on the date immediately preceding the Exercise Date; and</w:t>
      </w:r>
    </w:p>
    <w:p>
      <w:pPr>
        <w:pStyle w:val="TextBody"/>
        <w:bidi w:val="0"/>
        <w:spacing w:before="0" w:after="0"/>
        <w:ind w:left="1987" w:right="0" w:hanging="547"/>
        <w:jc w:val="left"/>
        <w:rPr>
          <w:caps w:val="false"/>
          <w:smallCaps w:val="false"/>
        </w:rPr>
      </w:pPr>
      <w:r>
        <w:rPr>
          <w:caps w:val="false"/>
          <w:smallCaps w:val="false"/>
        </w:rPr>
        <w:t> </w:t>
      </w:r>
    </w:p>
    <w:p>
      <w:pPr>
        <w:pStyle w:val="TextBody"/>
        <w:bidi w:val="0"/>
        <w:spacing w:before="0" w:after="0"/>
        <w:ind w:left="1987" w:right="0" w:hanging="547"/>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 equals the Exercise Price per Warrant Share then in effect on the Exercise Date.</w:t>
      </w:r>
    </w:p>
    <w:p>
      <w:pPr>
        <w:pStyle w:val="TextBody"/>
        <w:bidi w:val="0"/>
        <w:spacing w:before="0" w:after="0"/>
        <w:ind w:left="1987" w:right="0" w:hanging="547"/>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p>
      <w:pPr>
        <w:pStyle w:val="TextBody"/>
        <w:bidi w:val="0"/>
        <w:spacing w:before="0" w:after="0"/>
        <w:ind w:left="2347" w:right="0" w:firstLine="720"/>
        <w:jc w:val="both"/>
        <w:rPr>
          <w:caps w:val="false"/>
          <w:smallCaps w:val="false"/>
        </w:rPr>
      </w:pPr>
      <w:r>
        <w:rPr>
          <w:caps w:val="false"/>
          <w:smallCaps w:val="false"/>
        </w:rPr>
        <w:t> </w:t>
      </w:r>
    </w:p>
    <w:p>
      <w:pPr>
        <w:pStyle w:val="TextBody"/>
        <w:bidi w:val="0"/>
        <w:spacing w:before="0" w:after="0"/>
        <w:ind w:left="180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Delivery of Warrant Shares Upon Exercise</w:t>
      </w:r>
      <w:r>
        <w:rPr>
          <w:rFonts w:ascii="Times New Roman;Times;Serif" w:hAnsi="Times New Roman;Times;Serif"/>
          <w:b w:val="false"/>
          <w:i w:val="false"/>
          <w:caps w:val="false"/>
          <w:smallCaps w:val="false"/>
          <w:sz w:val="20"/>
        </w:rPr>
        <w:t>. Within a reasonable time after Holder exercises this Warrant in the manner set forth in Section 2(a) or 2(c) above, the Company shall deliver to Holder a certificate (which certificate may be in the form of an electronic certificate or DTC entry, to the extent used by the Company at the time of such exercise) or evidence of book entry representing the Warrant Shares issued to such Holder upon such exercise.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Principal Trading Market with respect to the Common Stock as in effect on the date of delivery of the Notice of Exercise to the Company.</w:t>
      </w:r>
    </w:p>
    <w:p>
      <w:pPr>
        <w:pStyle w:val="TextBody"/>
        <w:bidi w:val="0"/>
        <w:spacing w:before="0" w:after="0"/>
        <w:ind w:left="2347" w:right="0" w:firstLine="634"/>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0"/>
        <w:ind w:left="2347" w:right="0" w:firstLine="720"/>
        <w:jc w:val="both"/>
        <w:rPr>
          <w:caps w:val="false"/>
          <w:smallCaps w:val="false"/>
        </w:rPr>
      </w:pPr>
      <w:r>
        <w:rPr>
          <w:caps w:val="false"/>
          <w:smallCaps w:val="false"/>
        </w:rPr>
        <w:t> </w:t>
      </w:r>
    </w:p>
    <w:p>
      <w:pPr>
        <w:pStyle w:val="TextBody"/>
        <w:bidi w:val="0"/>
        <w:spacing w:before="0" w:after="0"/>
        <w:ind w:left="180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down to the next whole share.</w:t>
      </w:r>
    </w:p>
    <w:p>
      <w:pPr>
        <w:pStyle w:val="TextBody"/>
        <w:bidi w:val="0"/>
        <w:spacing w:before="0" w:after="0"/>
        <w:ind w:left="2347" w:right="0" w:firstLine="720"/>
        <w:jc w:val="both"/>
        <w:rPr>
          <w:caps w:val="false"/>
          <w:smallCaps w:val="false"/>
        </w:rPr>
      </w:pPr>
      <w:r>
        <w:rPr>
          <w:caps w:val="false"/>
          <w:smallCaps w:val="false"/>
        </w:rPr>
        <w:t> </w:t>
      </w:r>
    </w:p>
    <w:p>
      <w:pPr>
        <w:pStyle w:val="TextBody"/>
        <w:bidi w:val="0"/>
        <w:spacing w:before="0" w:after="0"/>
        <w:ind w:left="180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180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stockholder books or records in any manner which prevents the timely exercise of this Warrant, pursuant to the terms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Holder’s Exercise Limitations</w:t>
      </w:r>
      <w:r>
        <w:rPr>
          <w:rFonts w:ascii="Times New Roman;Times;Serif" w:hAnsi="Times New Roman;Times;Serif"/>
          <w:b w:val="false"/>
          <w:i w:val="false"/>
          <w:caps w:val="false"/>
          <w:smallCaps w:val="false"/>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Holder’s submission of a Notice of Exercise to the Company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absent manifest error,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As used herein,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shall mean any Person directly or indirectly controlled by, controlling or under common control with, a Holder, as such terms are used in and construed under Rule 405 under the Securities Act, but only for so long as such control shall continue.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4.99% of the number of shares of the Common Stock outstanding immediately after giving effect to the issuance of shares of Common Stock issuable upon exercise of this Warrant.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Stock Dividends and Splits</w:t>
      </w:r>
      <w:r>
        <w:rPr>
          <w:rFonts w:ascii="Times New Roman;Times;Serif" w:hAnsi="Times New Roman;Times;Serif"/>
          <w:b w:val="false"/>
          <w:i w:val="false"/>
          <w:caps w:val="false"/>
          <w:smallCaps w:val="false"/>
          <w:sz w:val="20"/>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Warrant Shares shall be multiplied by a fraction of which the numerator shall be the number of shares of Common Stock (excluding treasury shares, if any) outstanding immediately after such event and of which the denominator shall be the number of shares of Common Stock outstanding immediately before such event, and the Exercise Price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Person,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or 50% or more of the outstanding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or 50% or more of the outstanding voting power of the common equity of the Company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then, to the extent the fair market value of one Warrant Share as determined in accordance with Section 1(a) above would be greater than the Exercise Price in effect on such date immediately prior to such Fundamental Transaction, and Holder has not exercised this Warrant pursuant to Section 2 above as to all Warrant Shares, then this Warrant shall automatically be deemed to be cashless exercised pursuant to Section 2(c) above as to all Warrant Shares effective immediately prior to and contingent upon the consummation of a Fundamental Transaction. For the avoidance of doubt, if, immediately prior to the Fundamental Transaction, the fair market value of one Warrant Share as determined in accordance with Section 1(a) above is not greater than the Exercise Price in effect on the Trading Day immediately prior to the closing of such Fundamental Transaction, then this Warrant shall terminate without exercise or conversion immediately prior to, and subject to, the closing of such Fundamental Transaction.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one-hundredth of one cent or the nearest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the rules and regulations of the Principal Trading Market, the Company may at any time during the term of this Warrant, subject to the prior written consent of the Holder, reduce the then current Exercise Price to any amount and for any period of time deemed appropriate by the board of directors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Notice of Adjustments</w:t>
      </w:r>
      <w:r>
        <w:rPr>
          <w:rFonts w:ascii="Times New Roman;Times;Serif" w:hAnsi="Times New Roman;Times;Serif"/>
          <w:b w:val="false"/>
          <w:i w:val="false"/>
          <w:caps w:val="false"/>
          <w:smallCaps w:val="false"/>
          <w:sz w:val="20"/>
        </w:rPr>
        <w:t>. Upon the occurrence of each adjustment pursuant to this Section 3,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Transfer Agent.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Notice of Corporate Events</w:t>
      </w:r>
      <w:r>
        <w:rPr>
          <w:rFonts w:ascii="Times New Roman;Times;Serif" w:hAnsi="Times New Roman;Times;Serif"/>
          <w:b w:val="false"/>
          <w:i w:val="false"/>
          <w:caps w:val="false"/>
          <w:smallCaps w:val="false"/>
          <w:sz w:val="20"/>
        </w:rPr>
        <w:t>.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except if such notice and the contents thereof shall be deemed to constitute material non-public information, the Company shall deliver to the Holder a notice of such transaction at least ten (10)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Section 3(b), other than a Fundamental Transaction under clause (iii) of Section 3(b), the Company shall deliver to the Holder a notice of such Fundamental Transaction at least ten (10) days prior to the date such Fundamental Transaction is consummated. Holder agrees to maintain any information disclosed pursuant to this Section 3(f) in confidence until such information is publicly available, and shall comply with applicable law with respect to trading in the Company’s securities following receipt of any such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This Warrant and all rights hereunder (including, without limitation, any registration rights) are transferable only to employees of Paragon Therapeutics, Inc. that are limited partners of Paruka Holding LLC at the time of transfer,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if any,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Original Issue Date and shall be identical with this Warrant except as to the number of Warrant Shares issuable pursuant thereto and the Exercise Price.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shall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Rights as Stockholder Until Exercise; No Settlement in Cash</w:t>
      </w:r>
      <w:r>
        <w:rPr>
          <w:rFonts w:ascii="Times New Roman;Times;Serif" w:hAnsi="Times New Roman;Times;Serif"/>
          <w:b w:val="false"/>
          <w:i w:val="false"/>
          <w:caps w:val="false"/>
          <w:smallCaps w:val="false"/>
          <w:sz w:val="20"/>
        </w:rPr>
        <w:t>. This Warrant does not entitle the Holder to any voting rights, dividends or other rights as a stockholder of the Company prior to the exercise hereof as set forth in Section 2(d)(i), except as expressly set forth in Section 3.</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Principal Trading Market.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represents, warrants and covenants that, as of the date hereof, (i) the issued and outstanding Common Stock of the Company is registered pursuant to </w:t>
      </w:r>
      <w:r>
        <w:rPr>
          <w:rFonts w:ascii="Times New Roman;Times;Serif" w:hAnsi="Times New Roman;Times;Serif"/>
          <w:b w:val="false"/>
          <w:i w:val="false"/>
          <w:caps w:val="false"/>
          <w:smallCaps w:val="false"/>
          <w:sz w:val="20"/>
          <w:u w:val="single"/>
        </w:rPr>
        <w:t xml:space="preserve">Section 12(b) </w:t>
      </w:r>
      <w:r>
        <w:rPr>
          <w:rFonts w:ascii="Times New Roman;Times;Serif" w:hAnsi="Times New Roman;Times;Serif"/>
          <w:b w:val="false"/>
          <w:i w:val="false"/>
          <w:caps w:val="false"/>
          <w:smallCaps w:val="false"/>
          <w:sz w:val="20"/>
        </w:rPr>
        <w:t>of the Exchange Act, and listed for trading on the Nasdaq Global Market; (ii) there is no suit, action, proceeding or investigation pending or, to the knowledge of the Company, threatened against the Company by the Principal Trading Market, or the Commission with respect to any intention by such entity to deregister the Common Stock or prohibit or terminate the listing of the Common Stock on the Principal Trading Market; and (iii) the Company has taken no action that is designed to terminate the registration of Common Stock under the Exchange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 All questions concerning the construction, validity, enforcement and interpretation of this Warrant shall be determined in accordance with the provisions of the Option Agreements.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acquired upon the exercise of this Warrant, if not registered, will have restrictions upon resale imposed by state and federal securities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Nonwaiver</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hereunder (including, without limitation, any Notice of Exercise) shall be in writing and shall be deemed given and effective on the earliest of (i) the date of transmission, if such notice or communication is delivered via facsimile or confirmed e-mail prior to 5:30 P.M., New York City time, on a Trading Day, (ii) the next Trading Day after the date of transmission, if such notice or communication is delivered via confirmed e-mail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 The addresses and e-mail addresses for such communications shall be:</w:t>
      </w:r>
    </w:p>
    <w:p>
      <w:pPr>
        <w:pStyle w:val="TextBody"/>
        <w:bidi w:val="0"/>
        <w:spacing w:before="0" w:after="0"/>
        <w:ind w:left="720" w:right="0" w:firstLine="720"/>
        <w:jc w:val="both"/>
        <w:rPr>
          <w:caps w:val="false"/>
          <w:smallCaps w:val="false"/>
        </w:rPr>
      </w:pPr>
      <w:r>
        <w:rPr>
          <w:caps w:val="false"/>
          <w:smallCaps w:val="false"/>
        </w:rPr>
        <w:t> </w:t>
      </w:r>
    </w:p>
    <w:tbl>
      <w:tblPr>
        <w:tblW w:w="4865" w:type="dxa"/>
        <w:jc w:val="left"/>
        <w:tblInd w:w="0" w:type="dxa"/>
        <w:tblLayout w:type="fixed"/>
        <w:tblCellMar>
          <w:top w:w="0" w:type="dxa"/>
          <w:left w:w="0" w:type="dxa"/>
          <w:bottom w:w="0" w:type="dxa"/>
          <w:right w:w="0" w:type="dxa"/>
        </w:tblCellMar>
      </w:tblPr>
      <w:tblGrid>
        <w:gridCol w:w="4865"/>
      </w:tblGrid>
      <w:tr>
        <w:trPr/>
        <w:tc>
          <w:tcPr>
            <w:tcW w:w="4865" w:type="dxa"/>
            <w:tcBorders/>
            <w:vAlign w:val="center"/>
          </w:tcPr>
          <w:p>
            <w:pPr>
              <w:pStyle w:val="TableContents"/>
              <w:bidi w:val="0"/>
              <w:spacing w:before="0" w:after="283"/>
              <w:jc w:val="left"/>
              <w:rPr>
                <w:sz w:val="20"/>
              </w:rPr>
            </w:pPr>
            <w:r>
              <w:rPr>
                <w:sz w:val="20"/>
              </w:rPr>
              <w:t>If to the Company:</w:t>
            </w:r>
          </w:p>
        </w:tc>
      </w:tr>
      <w:tr>
        <w:trPr/>
        <w:tc>
          <w:tcPr>
            <w:tcW w:w="4865" w:type="dxa"/>
            <w:tcBorders/>
            <w:vAlign w:val="center"/>
          </w:tcPr>
          <w:p>
            <w:pPr>
              <w:pStyle w:val="TableContents"/>
              <w:bidi w:val="0"/>
              <w:spacing w:before="0" w:after="283"/>
              <w:jc w:val="left"/>
              <w:rPr>
                <w:sz w:val="20"/>
              </w:rPr>
            </w:pPr>
            <w:r>
              <w:rPr>
                <w:sz w:val="20"/>
              </w:rPr>
              <w:t>Oruka Therapeutics, Inc.</w:t>
              <w:br/>
              <w:t>855 Oak Grove Avenue, Suite 100</w:t>
              <w:br/>
              <w:t>Menlo Park, CA 94025</w:t>
            </w:r>
          </w:p>
        </w:tc>
      </w:tr>
      <w:tr>
        <w:trPr/>
        <w:tc>
          <w:tcPr>
            <w:tcW w:w="4865" w:type="dxa"/>
            <w:tcBorders/>
            <w:vAlign w:val="center"/>
          </w:tcPr>
          <w:p>
            <w:pPr>
              <w:pStyle w:val="TableContents"/>
              <w:bidi w:val="0"/>
              <w:spacing w:before="0" w:after="283"/>
              <w:jc w:val="left"/>
              <w:rPr>
                <w:sz w:val="20"/>
              </w:rPr>
            </w:pPr>
            <w:r>
              <w:rPr>
                <w:sz w:val="20"/>
              </w:rPr>
              <w:t>Attention: Senior Vice President, Finance</w:t>
            </w:r>
          </w:p>
        </w:tc>
      </w:tr>
      <w:tr>
        <w:trPr/>
        <w:tc>
          <w:tcPr>
            <w:tcW w:w="4865" w:type="dxa"/>
            <w:tcBorders/>
            <w:vAlign w:val="center"/>
          </w:tcPr>
          <w:p>
            <w:pPr>
              <w:pStyle w:val="TableContents"/>
              <w:bidi w:val="0"/>
              <w:spacing w:before="0" w:after="283"/>
              <w:jc w:val="left"/>
              <w:rPr>
                <w:sz w:val="20"/>
              </w:rPr>
            </w:pPr>
            <w:r>
              <w:rPr>
                <w:sz w:val="20"/>
              </w:rPr>
              <w:t>Email: arjun.agarwal@orukatx.com</w:t>
            </w:r>
          </w:p>
        </w:tc>
      </w:tr>
      <w:tr>
        <w:trPr/>
        <w:tc>
          <w:tcPr>
            <w:tcW w:w="4865" w:type="dxa"/>
            <w:tcBorders/>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283"/>
              <w:jc w:val="left"/>
              <w:rPr>
                <w:sz w:val="20"/>
              </w:rPr>
            </w:pPr>
            <w:r>
              <w:rPr>
                <w:sz w:val="20"/>
              </w:rPr>
              <w:t>With a copy (for informational purposes only) to:</w:t>
            </w:r>
          </w:p>
        </w:tc>
      </w:tr>
      <w:tr>
        <w:trPr/>
        <w:tc>
          <w:tcPr>
            <w:tcW w:w="4865" w:type="dxa"/>
            <w:tcBorders/>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283"/>
              <w:jc w:val="left"/>
              <w:rPr>
                <w:sz w:val="20"/>
              </w:rPr>
            </w:pPr>
            <w:r>
              <w:rPr>
                <w:sz w:val="20"/>
              </w:rPr>
              <w:t>Gibson, Dunn &amp; Crutcher LLP</w:t>
            </w:r>
          </w:p>
        </w:tc>
      </w:tr>
      <w:tr>
        <w:trPr/>
        <w:tc>
          <w:tcPr>
            <w:tcW w:w="4865" w:type="dxa"/>
            <w:tcBorders/>
            <w:vAlign w:val="center"/>
          </w:tcPr>
          <w:p>
            <w:pPr>
              <w:pStyle w:val="TableContents"/>
              <w:bidi w:val="0"/>
              <w:spacing w:before="0" w:after="283"/>
              <w:jc w:val="left"/>
              <w:rPr>
                <w:sz w:val="20"/>
              </w:rPr>
            </w:pPr>
            <w:r>
              <w:rPr>
                <w:sz w:val="20"/>
              </w:rPr>
              <w:t>One Embarcadero Center, Suite 2600</w:t>
            </w:r>
          </w:p>
        </w:tc>
      </w:tr>
      <w:tr>
        <w:trPr/>
        <w:tc>
          <w:tcPr>
            <w:tcW w:w="4865" w:type="dxa"/>
            <w:tcBorders/>
            <w:vAlign w:val="center"/>
          </w:tcPr>
          <w:p>
            <w:pPr>
              <w:pStyle w:val="TableContents"/>
              <w:bidi w:val="0"/>
              <w:spacing w:before="0" w:after="283"/>
              <w:jc w:val="left"/>
              <w:rPr>
                <w:sz w:val="20"/>
              </w:rPr>
            </w:pPr>
            <w:r>
              <w:rPr>
                <w:sz w:val="20"/>
              </w:rPr>
              <w:t>San Francisco, CA 94111</w:t>
            </w:r>
          </w:p>
        </w:tc>
      </w:tr>
      <w:tr>
        <w:trPr/>
        <w:tc>
          <w:tcPr>
            <w:tcW w:w="4865" w:type="dxa"/>
            <w:tcBorders/>
            <w:vAlign w:val="center"/>
          </w:tcPr>
          <w:p>
            <w:pPr>
              <w:pStyle w:val="TableContents"/>
              <w:bidi w:val="0"/>
              <w:spacing w:before="0" w:after="283"/>
              <w:jc w:val="left"/>
              <w:rPr>
                <w:sz w:val="20"/>
              </w:rPr>
            </w:pPr>
            <w:r>
              <w:rPr>
                <w:sz w:val="20"/>
              </w:rPr>
              <w:t>E-mail: rmurr@gibsondunn.com; bberns@gibsondunn.com</w:t>
            </w:r>
          </w:p>
        </w:tc>
      </w:tr>
      <w:tr>
        <w:trPr/>
        <w:tc>
          <w:tcPr>
            <w:tcW w:w="4865" w:type="dxa"/>
            <w:tcBorders/>
            <w:vAlign w:val="center"/>
          </w:tcPr>
          <w:p>
            <w:pPr>
              <w:pStyle w:val="TableContents"/>
              <w:bidi w:val="0"/>
              <w:spacing w:before="0" w:after="283"/>
              <w:jc w:val="left"/>
              <w:rPr>
                <w:sz w:val="20"/>
              </w:rPr>
            </w:pPr>
            <w:r>
              <w:rPr>
                <w:sz w:val="20"/>
              </w:rPr>
              <w:t>Attention: Ryan A. Murr; Branden C. Berns</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shd w:fill="FFFFFF" w:val="clear"/>
        <w:bidi w:val="0"/>
        <w:spacing w:before="0" w:after="0"/>
        <w:ind w:left="49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Holder, to its address or e-mail address set forth herein or on the books and records of the Company.</w:t>
      </w:r>
    </w:p>
    <w:p>
      <w:pPr>
        <w:pStyle w:val="TextBody"/>
        <w:shd w:fill="FFFFFF" w:val="clear"/>
        <w:bidi w:val="0"/>
        <w:spacing w:before="0" w:after="0"/>
        <w:ind w:left="490" w:right="0" w:firstLine="490"/>
        <w:jc w:val="both"/>
        <w:rPr>
          <w:caps w:val="false"/>
          <w:smallCaps w:val="false"/>
        </w:rPr>
      </w:pPr>
      <w:r>
        <w:rPr>
          <w:caps w:val="false"/>
          <w:smallCaps w:val="false"/>
        </w:rPr>
        <w:t> </w:t>
      </w:r>
    </w:p>
    <w:p>
      <w:pPr>
        <w:pStyle w:val="TextBody"/>
        <w:shd w:fill="FFFFFF" w:val="clear"/>
        <w:bidi w:val="0"/>
        <w:spacing w:before="0" w:after="0"/>
        <w:ind w:left="49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in each of the above instances, to such other address or e-mail address as the recipient party has specified by written notice given to each other party at least five (5) days prior to the effectiveness of such change.</w:t>
      </w:r>
    </w:p>
    <w:p>
      <w:pPr>
        <w:pStyle w:val="TextBody"/>
        <w:shd w:fill="FFFFFF" w:val="clear"/>
        <w:bidi w:val="0"/>
        <w:spacing w:before="0" w:after="0"/>
        <w:ind w:left="490" w:right="0" w:firstLine="49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or amended or the provisions hereof waived with the written consent of the Company and the Holder.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firstLine="1440"/>
        <w:jc w:val="both"/>
        <w:rPr>
          <w:caps w:val="false"/>
          <w:smallCaps w:val="false"/>
        </w:rPr>
      </w:pPr>
      <w:r>
        <w:rPr>
          <w:caps w:val="false"/>
          <w:smallCaps w:val="false"/>
        </w:rPr>
        <w:t> </w:t>
      </w:r>
    </w:p>
    <w:tbl>
      <w:tblPr>
        <w:tblW w:w="3694" w:type="dxa"/>
        <w:jc w:val="left"/>
        <w:tblInd w:w="0" w:type="dxa"/>
        <w:tblLayout w:type="fixed"/>
        <w:tblCellMar>
          <w:top w:w="0" w:type="dxa"/>
          <w:left w:w="0" w:type="dxa"/>
          <w:bottom w:w="0" w:type="dxa"/>
          <w:right w:w="0" w:type="dxa"/>
        </w:tblCellMar>
      </w:tblPr>
      <w:tblGrid>
        <w:gridCol w:w="75"/>
        <w:gridCol w:w="405"/>
        <w:gridCol w:w="3214"/>
      </w:tblGrid>
      <w:tr>
        <w:trPr/>
        <w:tc>
          <w:tcPr>
            <w:tcW w:w="75" w:type="dxa"/>
            <w:tcBorders/>
            <w:vAlign w:val="center"/>
          </w:tcPr>
          <w:p>
            <w:pPr>
              <w:pStyle w:val="TableContents"/>
              <w:bidi w:val="0"/>
              <w:spacing w:before="0" w:after="283"/>
              <w:jc w:val="left"/>
              <w:rPr/>
            </w:pPr>
            <w:r>
              <w:rPr/>
              <w:t> </w:t>
            </w:r>
          </w:p>
        </w:tc>
        <w:tc>
          <w:tcPr>
            <w:tcW w:w="3619" w:type="dxa"/>
            <w:gridSpan w:val="2"/>
            <w:tcBorders/>
            <w:vAlign w:val="center"/>
          </w:tcPr>
          <w:p>
            <w:pPr>
              <w:pStyle w:val="TableContents"/>
              <w:bidi w:val="0"/>
              <w:spacing w:before="0" w:after="283"/>
              <w:jc w:val="left"/>
              <w:rPr/>
            </w:pPr>
            <w:r>
              <w:rPr>
                <w:b/>
              </w:rPr>
              <w:t>ORUKA THERAPEUTICS, INC.</w:t>
            </w:r>
            <w:r>
              <w:rPr/>
              <w:t xml:space="preserve"> </w:t>
            </w:r>
          </w:p>
        </w:tc>
      </w:tr>
      <w:tr>
        <w:trPr/>
        <w:tc>
          <w:tcPr>
            <w:tcW w:w="75" w:type="dxa"/>
            <w:tcBorders/>
            <w:vAlign w:val="center"/>
          </w:tcPr>
          <w:p>
            <w:pPr>
              <w:pStyle w:val="TableContents"/>
              <w:bidi w:val="0"/>
              <w:spacing w:before="0" w:after="283"/>
              <w:jc w:val="left"/>
              <w:rPr/>
            </w:pPr>
            <w:r>
              <w:rPr/>
              <w:t> </w:t>
            </w:r>
          </w:p>
        </w:tc>
        <w:tc>
          <w:tcPr>
            <w:tcW w:w="361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left"/>
              <w:rPr>
                <w:sz w:val="20"/>
              </w:rPr>
            </w:pPr>
            <w:r>
              <w:rPr>
                <w:sz w:val="20"/>
              </w:rPr>
              <w:t>By:</w:t>
            </w:r>
          </w:p>
        </w:tc>
        <w:tc>
          <w:tcPr>
            <w:tcW w:w="3214"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Lawrence Klein</w:t>
            </w:r>
          </w:p>
        </w:tc>
      </w:tr>
      <w:tr>
        <w:trPr/>
        <w:tc>
          <w:tcPr>
            <w:tcW w:w="75"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left"/>
              <w:rPr/>
            </w:pPr>
            <w:r>
              <w:rPr/>
              <w:t> </w:t>
            </w:r>
          </w:p>
        </w:tc>
        <w:tc>
          <w:tcPr>
            <w:tcW w:w="3214" w:type="dxa"/>
            <w:tcBorders/>
            <w:vAlign w:val="center"/>
          </w:tcPr>
          <w:p>
            <w:pPr>
              <w:pStyle w:val="TableContents"/>
              <w:bidi w:val="0"/>
              <w:spacing w:before="0" w:after="283"/>
              <w:jc w:val="left"/>
              <w:rPr>
                <w:sz w:val="20"/>
              </w:rPr>
            </w:pPr>
            <w:r>
              <w:rPr>
                <w:sz w:val="20"/>
              </w:rPr>
              <w:t>Name: Lawrence Klein</w:t>
            </w:r>
          </w:p>
        </w:tc>
      </w:tr>
      <w:tr>
        <w:trPr/>
        <w:tc>
          <w:tcPr>
            <w:tcW w:w="75"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left"/>
              <w:rPr/>
            </w:pPr>
            <w:r>
              <w:rPr/>
              <w:t> </w:t>
            </w:r>
          </w:p>
        </w:tc>
        <w:tc>
          <w:tcPr>
            <w:tcW w:w="3214" w:type="dxa"/>
            <w:tcBorders/>
            <w:vAlign w:val="center"/>
          </w:tcPr>
          <w:p>
            <w:pPr>
              <w:pStyle w:val="TableContents"/>
              <w:bidi w:val="0"/>
              <w:spacing w:before="0" w:after="283"/>
              <w:jc w:val="left"/>
              <w:rPr>
                <w:sz w:val="20"/>
              </w:rPr>
            </w:pPr>
            <w:r>
              <w:rPr>
                <w:sz w:val="20"/>
              </w:rPr>
              <w:t>Title:   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ind w:left="0" w:right="0" w:hanging="0"/>
        <w:jc w:val="center"/>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350"/>
        <w:gridCol w:w="3455"/>
      </w:tblGrid>
      <w:tr>
        <w:trPr/>
        <w:tc>
          <w:tcPr>
            <w:tcW w:w="350" w:type="dxa"/>
            <w:tcBorders/>
            <w:vAlign w:val="center"/>
          </w:tcPr>
          <w:p>
            <w:pPr>
              <w:pStyle w:val="TableContents"/>
              <w:bidi w:val="0"/>
              <w:spacing w:before="0" w:after="283"/>
              <w:jc w:val="left"/>
              <w:rPr>
                <w:caps/>
                <w:sz w:val="20"/>
              </w:rPr>
            </w:pPr>
            <w:r>
              <w:rPr>
                <w:caps/>
                <w:sz w:val="20"/>
              </w:rPr>
              <w:t>To:</w:t>
            </w:r>
          </w:p>
        </w:tc>
        <w:tc>
          <w:tcPr>
            <w:tcW w:w="3455" w:type="dxa"/>
            <w:tcBorders/>
            <w:vAlign w:val="center"/>
          </w:tcPr>
          <w:p>
            <w:pPr>
              <w:pStyle w:val="TableContents"/>
              <w:bidi w:val="0"/>
              <w:spacing w:before="0" w:after="283"/>
              <w:jc w:val="both"/>
              <w:rPr>
                <w:sz w:val="20"/>
              </w:rPr>
            </w:pPr>
            <w:r>
              <w:rPr>
                <w:sz w:val="20"/>
              </w:rPr>
              <w:t>Oruka Therapeutics, Inc. (the “Company”)</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(check applicable box):</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 lawful money of the United States; or</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said Warrant Shares in the name of the undersigned or in such other name as is specified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its delivery of this Notice of Exercise, the undersigned represents and warrants to the Company that in giving effect to the exercise evidenced hereby the Holders will not beneficially own in excess of the number of shares of Common Stock permitted to be owned under Section 2(e) of the Warrant to which this notice relates.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[SIGNATURE OF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Investing Entity: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Investing Entity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must conform in all respects to name of Holder as specified on the face of the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firstLine="216"/>
        <w:jc w:val="left"/>
        <w:rPr>
          <w:caps w:val="false"/>
          <w:smallCaps w:val="false"/>
        </w:rPr>
      </w:pPr>
      <w:r>
        <w:rPr>
          <w:caps w:val="false"/>
          <w:smallCaps w:val="false"/>
        </w:rPr>
        <w:t> </w:t>
      </w:r>
    </w:p>
    <w:p>
      <w:pPr>
        <w:pStyle w:val="TextBody"/>
        <w:bidi w:val="0"/>
        <w:spacing w:before="0" w:after="0"/>
        <w:ind w:left="0" w:right="0" w:firstLine="216"/>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purchase shares.)</w:t>
      </w:r>
    </w:p>
    <w:p>
      <w:pPr>
        <w:pStyle w:val="TextBody"/>
        <w:bidi w:val="0"/>
        <w:spacing w:before="0" w:after="0"/>
        <w:ind w:left="0" w:right="0" w:firstLine="216"/>
        <w:jc w:val="left"/>
        <w:rPr>
          <w:caps w:val="false"/>
          <w:smallCaps w:val="false"/>
        </w:rPr>
      </w:pPr>
      <w:r>
        <w:rPr>
          <w:caps w:val="false"/>
          <w:smallCaps w:val="false"/>
        </w:rPr>
        <w:t> </w:t>
      </w:r>
    </w:p>
    <w:p>
      <w:pPr>
        <w:pStyle w:val="TextBody"/>
        <w:bidi w:val="0"/>
        <w:spacing w:before="0" w:after="0"/>
        <w:ind w:left="0" w:right="0" w:firstLine="21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ind w:left="0" w:right="0" w:firstLine="216"/>
        <w:jc w:val="left"/>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1535"/>
        <w:gridCol w:w="60"/>
        <w:gridCol w:w="1295"/>
      </w:tblGrid>
      <w:tr>
        <w:trPr/>
        <w:tc>
          <w:tcPr>
            <w:tcW w:w="153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(Please Print)</w:t>
            </w:r>
          </w:p>
        </w:tc>
      </w:tr>
      <w:tr>
        <w:trPr/>
        <w:tc>
          <w:tcPr>
            <w:tcW w:w="1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Address:</w:t>
            </w:r>
          </w:p>
        </w:tc>
        <w:tc>
          <w:tcPr>
            <w:tcW w:w="60" w:type="dxa"/>
            <w:tcBorders/>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(Please Print)</w:t>
            </w:r>
          </w:p>
        </w:tc>
      </w:tr>
      <w:tr>
        <w:trPr/>
        <w:tc>
          <w:tcPr>
            <w:tcW w:w="1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Phone Number:</w:t>
            </w:r>
          </w:p>
        </w:tc>
        <w:tc>
          <w:tcPr>
            <w:tcW w:w="60" w:type="dxa"/>
            <w:tcBorders/>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Email Address:</w:t>
            </w:r>
          </w:p>
        </w:tc>
        <w:tc>
          <w:tcPr>
            <w:tcW w:w="60" w:type="dxa"/>
            <w:tcBorders/>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680" w:type="dxa"/>
        <w:jc w:val="left"/>
        <w:tblInd w:w="0" w:type="dxa"/>
        <w:tblLayout w:type="fixed"/>
        <w:tblCellMar>
          <w:top w:w="0" w:type="dxa"/>
          <w:left w:w="0" w:type="dxa"/>
          <w:bottom w:w="0" w:type="dxa"/>
          <w:right w:w="0" w:type="dxa"/>
        </w:tblCellMar>
      </w:tblPr>
      <w:tblGrid>
        <w:gridCol w:w="3680"/>
      </w:tblGrid>
      <w:tr>
        <w:trPr/>
        <w:tc>
          <w:tcPr>
            <w:tcW w:w="3680" w:type="dxa"/>
            <w:tcBorders/>
            <w:vAlign w:val="center"/>
          </w:tcPr>
          <w:p>
            <w:pPr>
              <w:pStyle w:val="TableContents"/>
              <w:bidi w:val="0"/>
              <w:spacing w:before="0" w:after="283"/>
              <w:jc w:val="left"/>
              <w:rPr/>
            </w:pPr>
            <w:r>
              <w:rPr/>
              <w:t>Dated: _______________ __, ______</w:t>
            </w:r>
          </w:p>
        </w:tc>
      </w:tr>
      <w:tr>
        <w:trPr/>
        <w:tc>
          <w:tcPr>
            <w:tcW w:w="3680" w:type="dxa"/>
            <w:tcBorders/>
            <w:vAlign w:val="center"/>
          </w:tcPr>
          <w:p>
            <w:pPr>
              <w:pStyle w:val="TableContents"/>
              <w:bidi w:val="0"/>
              <w:spacing w:before="0" w:after="283"/>
              <w:jc w:val="left"/>
              <w:rPr/>
            </w:pPr>
            <w:r>
              <w:rPr/>
              <w:t>Holder’s Signature:</w:t>
            </w:r>
          </w:p>
        </w:tc>
      </w:tr>
      <w:tr>
        <w:trPr/>
        <w:tc>
          <w:tcPr>
            <w:tcW w:w="3680" w:type="dxa"/>
            <w:tcBorders/>
            <w:vAlign w:val="center"/>
          </w:tcPr>
          <w:p>
            <w:pPr>
              <w:pStyle w:val="TableContents"/>
              <w:bidi w:val="0"/>
              <w:spacing w:before="0" w:after="283"/>
              <w:jc w:val="left"/>
              <w:rPr/>
            </w:pPr>
            <w:r>
              <w:rPr/>
              <w:t>Holder’s Address:</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23" w:name="ea023989801ex31-1_oruka.htm"/>
      <w:bookmarkStart w:id="24" w:name="ksea023989801ex311_oruka"/>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br/>
        <w:t>RULES 13a-14(a) AND 15d-14(a) UNDER THE SECURITIES EXCHANGE ACT OF 1934,</w:t>
        <w:br/>
        <w:t>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Lawrence Klein, certify that:</w:t>
      </w:r>
    </w:p>
    <w:p>
      <w:pPr>
        <w:pStyle w:val="TextBody"/>
        <w:bidi w:val="0"/>
        <w:spacing w:before="0" w:after="0"/>
        <w:ind w:left="0" w:right="0" w:hanging="0"/>
        <w:jc w:val="left"/>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185"/>
        <w:gridCol w:w="653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 have reviewed this Quarterly Report on Form 10-Q of Oruka Therapeutics, Inc.;</w:t>
            </w:r>
          </w:p>
        </w:tc>
      </w:tr>
    </w:tbl>
    <w:p>
      <w:pPr>
        <w:pStyle w:val="TextBody"/>
        <w:bidi w:val="0"/>
        <w:spacing w:before="0" w:after="0"/>
        <w:ind w:left="490"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490"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490"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490"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1655"/>
        <w:gridCol w:w="320"/>
        <w:gridCol w:w="3215"/>
      </w:tblGrid>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14, 2025</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1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Lawrence Klein</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Lawrence Klein</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21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President and Chief Executive Officer</w:t>
              <w:br/>
            </w:r>
            <w:r>
              <w:rPr>
                <w:rFonts w:ascii="Times New Roman;Times;Serif" w:hAnsi="Times New Roman;Times;Serif"/>
                <w:b w:val="false"/>
                <w:i/>
                <w:caps w:val="false"/>
                <w:smallCaps w:val="false"/>
                <w:sz w:val="20"/>
              </w:rPr>
              <w:t>(Principal Executive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ea023989801ex31-2_oruka.htm"/>
      <w:bookmarkStart w:id="26" w:name="ksea023989801ex312_oruka"/>
      <w:bookmarkEnd w:id="25"/>
      <w:bookmarkEnd w:id="26"/>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br/>
        <w:t>RULES 13a-14(a) AND 15d-14(a) UNDER THE SECURITIES EXCHANGE ACT OF 1934,</w:t>
        <w:br/>
        <w:t>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Arjun Agarwal, certify that:</w:t>
      </w:r>
    </w:p>
    <w:p>
      <w:pPr>
        <w:pStyle w:val="TextBody"/>
        <w:bidi w:val="0"/>
        <w:spacing w:before="0" w:after="0"/>
        <w:ind w:left="490" w:right="0" w:hanging="490"/>
        <w:jc w:val="left"/>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185"/>
        <w:gridCol w:w="653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 of Oruka Therapeutics, Inc.;</w:t>
            </w:r>
          </w:p>
        </w:tc>
      </w:tr>
    </w:tbl>
    <w:p>
      <w:pPr>
        <w:pStyle w:val="TextBody"/>
        <w:bidi w:val="0"/>
        <w:spacing w:before="0" w:after="0"/>
        <w:ind w:left="490"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490"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490"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490"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865" w:type="dxa"/>
        <w:jc w:val="left"/>
        <w:tblInd w:w="0" w:type="dxa"/>
        <w:tblLayout w:type="fixed"/>
        <w:tblCellMar>
          <w:top w:w="0" w:type="dxa"/>
          <w:left w:w="0" w:type="dxa"/>
          <w:bottom w:w="0" w:type="dxa"/>
          <w:right w:w="0" w:type="dxa"/>
        </w:tblCellMar>
      </w:tblPr>
      <w:tblGrid>
        <w:gridCol w:w="1655"/>
        <w:gridCol w:w="320"/>
        <w:gridCol w:w="3890"/>
      </w:tblGrid>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14, 2025</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89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Arjun Agarwal</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Arjun Agarwal</w:t>
              <w:br/>
              <w:t>Senior Vice President, Finance and Treasurer</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 xml:space="preserve">(Principal Financial Officer and </w:t>
              <w:br/>
              <w:t>Principal Accounting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27" w:name="ea023989801ex32-1_oruka.htm"/>
      <w:bookmarkStart w:id="28" w:name="ksea023989801ex321_oruka"/>
      <w:bookmarkEnd w:id="27"/>
      <w:bookmarkEnd w:id="2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br/>
        <w:t>18 U.S.C. SECTION 1350, AS ADOPTED PURSUANT TO</w:t>
        <w:br/>
        <w:t>SECTION 906 OF THE SARBANES-OXLEY ACT OF 2002</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Oruka Therapeutics, Inc. (the “Company”) for the quarterly period ending March 31, 2025, as filed with the Securities and Exchange Commission on the date hereof (the “Report”), each of the undersigned officers of the Company hereby certifies, pursuant to 18 U.S.C. § 1350, as adopted pursuant to § 906 of the Sarbanes-Oxley Act of 2002, that to the best of his knowledge:</w:t>
      </w:r>
    </w:p>
    <w:p>
      <w:pPr>
        <w:pStyle w:val="TextBody"/>
        <w:bidi w:val="0"/>
        <w:spacing w:before="0" w:after="0"/>
        <w:ind w:left="979" w:right="0" w:hanging="49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75"/>
        <w:gridCol w:w="245"/>
        <w:gridCol w:w="957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490" w:right="0" w:hanging="490"/>
        <w:jc w:val="left"/>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1655"/>
        <w:gridCol w:w="320"/>
        <w:gridCol w:w="3215"/>
      </w:tblGrid>
      <w:tr>
        <w:trPr/>
        <w:tc>
          <w:tcPr>
            <w:tcW w:w="16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14, 2025</w:t>
            </w:r>
          </w:p>
        </w:tc>
        <w:tc>
          <w:tcPr>
            <w:tcW w:w="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15"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Lawrence Klein</w:t>
            </w:r>
          </w:p>
        </w:tc>
      </w:tr>
      <w:tr>
        <w:trPr/>
        <w:tc>
          <w:tcPr>
            <w:tcW w:w="165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321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Lawrence Klein</w:t>
            </w:r>
          </w:p>
        </w:tc>
      </w:tr>
      <w:tr>
        <w:trPr/>
        <w:tc>
          <w:tcPr>
            <w:tcW w:w="165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321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President and Chief Executive Officer</w:t>
            </w:r>
            <w:r>
              <w:rPr>
                <w:rFonts w:ascii="Times New Roman;Times;Serif" w:hAnsi="Times New Roman;Times;Serif"/>
                <w:sz w:val="20"/>
              </w:rPr>
              <w:br/>
            </w:r>
            <w:r>
              <w:rPr>
                <w:rFonts w:ascii="Times New Roman;Times;Serif" w:hAnsi="Times New Roman;Times;Serif"/>
                <w:i/>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5865" w:type="dxa"/>
        <w:jc w:val="left"/>
        <w:tblInd w:w="0" w:type="dxa"/>
        <w:tblLayout w:type="fixed"/>
        <w:tblCellMar>
          <w:top w:w="0" w:type="dxa"/>
          <w:left w:w="0" w:type="dxa"/>
          <w:bottom w:w="0" w:type="dxa"/>
          <w:right w:w="0" w:type="dxa"/>
        </w:tblCellMar>
      </w:tblPr>
      <w:tblGrid>
        <w:gridCol w:w="1655"/>
        <w:gridCol w:w="320"/>
        <w:gridCol w:w="3890"/>
      </w:tblGrid>
      <w:tr>
        <w:trPr/>
        <w:tc>
          <w:tcPr>
            <w:tcW w:w="16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14, 2025</w:t>
            </w:r>
          </w:p>
        </w:tc>
        <w:tc>
          <w:tcPr>
            <w:tcW w:w="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890"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Arjun Agarwal</w:t>
            </w:r>
          </w:p>
        </w:tc>
      </w:tr>
      <w:tr>
        <w:trPr/>
        <w:tc>
          <w:tcPr>
            <w:tcW w:w="165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3890"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Arjun Agarwal</w:t>
            </w:r>
          </w:p>
        </w:tc>
      </w:tr>
      <w:tr>
        <w:trPr/>
        <w:tc>
          <w:tcPr>
            <w:tcW w:w="165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38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Senior Vice President, Finance and Treasurer</w:t>
            </w:r>
            <w:r>
              <w:rPr>
                <w:rFonts w:ascii="Times New Roman;Times;Serif" w:hAnsi="Times New Roman;Times;Serif"/>
                <w:sz w:val="20"/>
              </w:rPr>
              <w:br/>
            </w:r>
            <w:r>
              <w:rPr>
                <w:rFonts w:ascii="Times New Roman;Times;Serif" w:hAnsi="Times New Roman;Times;Serif"/>
                <w:i/>
                <w:sz w:val="20"/>
              </w:rPr>
              <w:t xml:space="preserve">(Principal Financial Officer and </w:t>
              <w:br/>
              <w:t>Principal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certification is being furnished solely to accompany the Report pursuant to 18 U.S.C. §1350, and is not being filed for purposes of Section 18 of the Securities Exchange Act of 1934, and is not to be incorporated by reference into any filing of the Company, whether made before or after the date hereof, regardless of any general incorporation language in such filing.</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A signed original of this written statement required by §906 has been provided to Oruka Therapeutics, Inc. and will be retained by Oruka Therapeutics, Inc. and furnished to the Securities and Exchange Commission or its staff upon request.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907654/000119312524085437/d794675dex21.htm" TargetMode="External"/><Relationship Id="rId3" Type="http://schemas.openxmlformats.org/officeDocument/2006/relationships/hyperlink" Target="http://www.sec.gov/Archives/edgar/data/907654/000121390024076184/ea021319301ex3-5_oruka.htm" TargetMode="External"/><Relationship Id="rId4" Type="http://schemas.openxmlformats.org/officeDocument/2006/relationships/hyperlink" Target="http://www.sec.gov/Archives/edgar/data/907654/000121390024076184/ea021319301ex3-6_oruka.htm" TargetMode="External"/><Relationship Id="rId5" Type="http://schemas.openxmlformats.org/officeDocument/2006/relationships/hyperlink" Target="http://www.sec.gov/Archives/edgar/data/907654/000119312513233692/d507513dex31b.htm" TargetMode="External"/><Relationship Id="rId6" Type="http://schemas.openxmlformats.org/officeDocument/2006/relationships/hyperlink" Target="http://www.sec.gov/Archives/edgar/data/907654/000121390024076184/ea021319301ex3-8_oruka.htm" TargetMode="External"/><Relationship Id="rId7" Type="http://schemas.openxmlformats.org/officeDocument/2006/relationships/hyperlink" Target="http://www.sec.gov/Archives/edgar/data/907654/000121390024076184/ea021319301ex3-9_oruka.htm" TargetMode="External"/><Relationship Id="rId8" Type="http://schemas.openxmlformats.org/officeDocument/2006/relationships/hyperlink" Target="http://www.sec.gov/Archives/edgar/data/907654/000121390024078549/ea021443901ex3-1_oruka.htm" TargetMode="External"/><Relationship Id="rId9" Type="http://schemas.openxmlformats.org/officeDocument/2006/relationships/hyperlink" Target="https://www.sec.gov/Archives/edgar/data/907654/000121390025021165/ea023044501ex4-1_orukathe.htm" TargetMode="External"/><Relationship Id="rId10" Type="http://schemas.openxmlformats.org/officeDocument/2006/relationships/hyperlink" Target="http://www.sec.gov/Archives/edgar/data/907654/000121390024042529/ea020512201ex4-3_arcabio.htm" TargetMode="External"/><Relationship Id="rId11" Type="http://schemas.openxmlformats.org/officeDocument/2006/relationships/hyperlink" Target="https://www.sec.gov/Archives/edgar/data/907654/000121390025021165/ea023044501ex4-3_orukathe.htm" TargetMode="External"/><Relationship Id="rId12" Type="http://schemas.openxmlformats.org/officeDocument/2006/relationships/hyperlink" Target="http://www.sec.gov/Archives/edgar/data/907654/000121390024078549/ea021443901ex4-1_oruka.htm" TargetMode="External"/><Relationship Id="rId13" Type="http://schemas.openxmlformats.org/officeDocument/2006/relationships/hyperlink" Target="https://www.sec.gov/Archives/edgar/data/907654/000121390025021165/ea023044501ex10-29_orukathe.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48654</Words>
  <Characters>269820</Characters>
  <CharactersWithSpaces>320442</CharactersWithSpaces>
  <Paragraphs>6968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