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Agarwal Arjun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ORUKA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855 OAK GROVE AVE.,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Oruka Therapeutics, Inc.</w:t>
              </w:r>
            </w:hyperlink>
            <w:r>
              <w:rPr/>
              <w:t xml:space="preserve"> [ </w:t>
            </w:r>
            <w:r>
              <w:rPr>
                <w:rFonts w:ascii="Times;serif" w:hAnsi="Times;serif"/>
                <w:color w:val="0000FF"/>
                <w:sz w:val="24"/>
                <w:shd w:fill="FFFFFF" w:val="clear"/>
              </w:rPr>
              <w:t>ORKA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Senior Vice President, Finance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8,541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22,760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34.39</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24,218</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5,741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80.0302</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18,477</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80.7601</w:t>
            </w:r>
            <w:r>
              <w:rPr>
                <w:rFonts w:ascii="Times;serif" w:hAnsi="Times;serif"/>
                <w:color w:val="008000"/>
                <w:position w:val="7"/>
                <w:sz w:val="16"/>
                <w:sz w:val="20"/>
                <w:shd w:fill="FFFFFF" w:val="clear"/>
              </w:rPr>
              <w:t>(3)</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16,377</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81.8551</w:t>
            </w:r>
            <w:r>
              <w:rPr>
                <w:rFonts w:ascii="Times;serif" w:hAnsi="Times;serif"/>
                <w:color w:val="008000"/>
                <w:position w:val="7"/>
                <w:sz w:val="16"/>
                <w:sz w:val="20"/>
                <w:shd w:fill="FFFFFF" w:val="clear"/>
              </w:rPr>
              <w:t>(4)</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14,419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82.835</w:t>
            </w:r>
            <w:r>
              <w:rPr>
                <w:rFonts w:ascii="Times;serif" w:hAnsi="Times;serif"/>
                <w:color w:val="008000"/>
                <w:position w:val="7"/>
                <w:sz w:val="16"/>
                <w:sz w:val="20"/>
                <w:shd w:fill="FFFFFF" w:val="clear"/>
              </w:rPr>
              <w:t>(5)</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14,219</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8,541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01/21/2035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8,541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76,376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34.39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1,458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56,875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sales were effected pursuant to a Rule 10b5-1 trading plan entered into on February 11,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$79.55 to $80.54, inclusive. The reporting person undertakes to provide to Oruka Therapeutics, Inc., any security holder of Oruka Therapeutics, Inc., or the staff of the Securities and Exchange Commission, upon request, full information regarding the number of shares sold at each separate price within the ranges set forth in footnotes (2), (3), (4) and (5)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$80.56 to $81.53,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$81.61 to $82.50,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$82.76 to $82.91,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 vests as to 1/48 of the underlying shares monthly from January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option vests as to 1/48 of the underlying shares monthly from January 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Quinlan, as attorney-in-fact for Arjun Agarwal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3974" TargetMode="External"/><Relationship Id="rId5" Type="http://schemas.openxmlformats.org/officeDocument/2006/relationships/hyperlink" Target="http://www.sec.gov/cgi-bin/browse-edgar?action=getcompany&amp;CIK=00009076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869</Words>
  <Characters>4599</Characters>
  <CharactersWithSpaces>5330</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