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20" w:hanging="2794"/>
        <w:spacing w:after="0" w:line="381" w:lineRule="auto"/>
        <w:tabs>
          <w:tab w:leader="none" w:pos="132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30"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14" w:right="339" w:bottom="1440" w:gutter="0" w:footer="0" w:header="0"/>
        </w:sectPr>
      </w:pPr>
    </w:p>
    <w:p>
      <w:pPr>
        <w:spacing w:after="0" w:line="14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142" w:lineRule="exact"/>
        <w:rPr>
          <w:sz w:val="24"/>
          <w:szCs w:val="24"/>
          <w:color w:val="auto"/>
        </w:rPr>
      </w:pPr>
    </w:p>
    <w:p>
      <w:pPr>
        <w:sectPr>
          <w:pgSz w:w="11900" w:h="16838" w:orient="portrait"/>
          <w:cols w:equalWidth="0" w:num="2">
            <w:col w:w="6440" w:space="720"/>
            <w:col w:w="4080"/>
          </w:cols>
          <w:pgMar w:left="320" w:top="41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000-22873</w:t>
      </w:r>
    </w:p>
    <w:p>
      <w:pPr>
        <w:sectPr>
          <w:pgSz w:w="11900" w:h="16838" w:orient="portrait"/>
          <w:cols w:equalWidth="0" w:num="1">
            <w:col w:w="11240"/>
          </w:cols>
          <w:pgMar w:left="320" w:top="414" w:right="3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Oruka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36-3855489</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1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855 Oak Grove Avenue</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Suite 100</w:t>
            </w:r>
          </w:p>
        </w:tc>
        <w:tc>
          <w:tcPr>
            <w:tcW w:w="5500" w:type="dxa"/>
            <w:vAlign w:val="bottom"/>
          </w:tcPr>
          <w:p>
            <w:pPr>
              <w:spacing w:after="0"/>
              <w:rPr>
                <w:sz w:val="18"/>
                <w:szCs w:val="18"/>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Menlo Park, California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94025</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606-7910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ORKA</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9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2025, was approximately $371.5 million based on the closing price of the Registrant’s shares of common stock on The Nasdaq Capital Market on such date.</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28, 2026 was 49,542,691.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8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600" w:type="dxa"/>
            <w:vAlign w:val="bottom"/>
            <w:tcBorders>
              <w:bottom w:val="single" w:sz="8" w:color="0000EE"/>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5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808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76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0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4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32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110</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4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64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1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176"/>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20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1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within the meaning of Section 27A of the Securities Act of 1933, as amended, and Section 21E of the Securities Exchange Act of 1934, as amended (the “Exchange Act”). These forward-looking statements reflect the current views of Oruka Therapeutics, Inc. (“Oruka”, the “Company”, “we”, or “us”) with respect to future events and are based on assumptions and subject to known and unknown risks and uncertainties and other factors that may cause our actual results, performance, time frames or achievements to be materially different from any future results, performance, time frames or achievements expressed or implied by the forward-looking statements. Factors that might cause such a difference are disclosed in the section titled “Risk Factors” in this Annual Report. We caution readers that any forward-looking statement is not a guarantee of future performance and that actual results could differ materially from those contained in the forward-looking statement. These statements are based on current expectations of future events. You should evaluate all forward-looking statements made in this Annual Report in the context of these risks and uncertainties. We caution you that the risks, uncertainties and other factors referred to in this Annual Report may not contain all of the risks, uncertainties and other factors that may affect our future results and operations. Moreover, we operate in a very competitive and rapidly changing environment, and new risks and uncertainties emerge from time to time.</w:t>
      </w:r>
    </w:p>
    <w:p>
      <w:pPr>
        <w:spacing w:after="0" w:line="19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7"/>
          <w:szCs w:val="17"/>
          <w:color w:val="auto"/>
        </w:rPr>
        <w:t>All statements, other than statements of historical facts contained in this Annual Report, including, without limitation, statements regarding: our future results of operations and financial position, business strategy, the length of time that we believe our existing cash resources will fund our operations, our market size, our competition, our potential growth opportunities, our clinical development activities and timeline,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military conflicts and geopolitical tensions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 These forward-looking statements are based on information available to us as of the date of this Annual Report and are subject to a number of risks, uncertainties and assumptions, including those described in Item 1A, “Risk Factors”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Annual Report or to reflect the occurrence of unanticipated events, except as may be required under applicable U.S. securities laws. You should read this Annual Report with the understanding that our actual future results, levels of activity, performance and events and circumstances may be materially different from what we expect. If we do update one or more forward-looking statements, no inference should be drawn that we will make additional updates with respect to those or other forward-looking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Annual Report, the terms “Oruka,” “ARCA biopharma, Inc.,” “the Company,” “we,” “us,” and “our” refer to Oruka Therapeutics, Inc., a Delaware corporation, and its consolidated subsidiary taken as a whole. “Oruka” and all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Pre-Merger Oruka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29, 2024 (the “Merger Closing”), we completed our acquisition (the “Merger”) of Oruka Therapeutics, Inc.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biopharma, Inc. (“ARCA”) and following that, Pre-Merger Oruka then merged with and into Atlas Merger Sub II, LLC (“Second Merger Sub”), with Second Merger Sub being the surviving entity. Second Merger Sub changed its corporate name to “Oruka Therapeutics Operating Company, LLC”. Pre-Merger Oruka was a pre-clinical stage biotechnology company that was incorporated on February 6, 2024 under the direction of Peter Harwin, a Founding Partner at Fairmount Funds Management LLC (“Fairmount”), for the purposes of holding rights to certain intellectual property being developed by Paragon Therapeutics, Inc. (“Paragon”). On August 29, 2024, we changed our name from “ARCA biopharma, Inc.” (“ARCA”) to “Oruka Therapeutics, Inc.” and our Nasdaq ticker symbol from “ABIO” to “ORKA”.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focused on developing novel monoclonal antibody therapeutics for psoriasis (“PsO”) and other inflammatory and immunology (“I&amp;I”) indications. Our name is derived from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for “skin,” and </w:t>
      </w:r>
      <w:r>
        <w:rPr>
          <w:rFonts w:ascii="Times New Roman" w:cs="Times New Roman" w:eastAsia="Times New Roman" w:hAnsi="Times New Roman"/>
          <w:sz w:val="18"/>
          <w:szCs w:val="18"/>
          <w:i w:val="1"/>
          <w:iCs w:val="1"/>
          <w:color w:val="auto"/>
        </w:rPr>
        <w:t>arukah</w:t>
      </w:r>
      <w:r>
        <w:rPr>
          <w:rFonts w:ascii="Times New Roman" w:cs="Times New Roman" w:eastAsia="Times New Roman" w:hAnsi="Times New Roman"/>
          <w:sz w:val="18"/>
          <w:szCs w:val="18"/>
          <w:color w:val="auto"/>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 (“TRMs”).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lead program, ORKA-001, is designed to target the p19 subunit of interleukin-23 (“IL-23p19”) for the treatment of PsO. Our co-lead program, ORKA-002, is designed to target interleukin-17A and interleukin-17F (“IL-17A/F”) for the treatment of PsO, hidradenitis suppurativa (“HS”), psoriatic arthritis (“PsA”), and other conditions. The product candidates in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 and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156845</wp:posOffset>
            </wp:positionV>
            <wp:extent cx="5314950" cy="2991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1495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ORKA-001</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w:t>
      </w:r>
    </w:p>
    <w:p>
      <w:pPr>
        <w:spacing w:after="0" w:line="1" w:lineRule="exact"/>
        <w:rPr>
          <w:sz w:val="20"/>
          <w:szCs w:val="20"/>
          <w:color w:val="auto"/>
        </w:rPr>
      </w:pPr>
    </w:p>
    <w:p>
      <w:pPr>
        <w:jc w:val="both"/>
        <w:ind w:firstLine="8"/>
        <w:spacing w:after="0" w:line="255" w:lineRule="auto"/>
        <w:tabs>
          <w:tab w:leader="none" w:pos="2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First-generation IL-23 antibodies bound p40 and inhibited both IL-12 and IL-23 signaling, while more recent IL-23 antibodies targeting the p19 subunit have shown improved efficacy and safety. Based on clinical evidence, we believe that ORKA-001 could achieve higher response rates than established therapies in PsO while requiring less frequent dosing and maintaining the favorable safety profile of therapies targeting IL-23p19.</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ORKA-001 is engineered with YTE half-life extension technology, a specific three amino acid change in the fragment crystallizable (“Fc”) domain to modify the pH-dependent binding to the neonatal Fc receptor (“FcRn”). As a result, it has a pharmacokinetic profile designed to support a subcutaneous (“SQ”) injection as infrequently as once or twice per year. In addition, emerging evidence suggests that IL-23 blockade can modify the disease biology of PsO, possibly leading to durable remissions and preventing the development of PsA. We believe that the anticipated characteristics of ORKA-001 enhance its potential to deliver these disease-modifying benefits.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initiated a Phase 1 trial of ORKA-001 in the fourth quarter of 2024 and in September 2025, we announced the interim results at the European Academy of Dermatology and Venereology (EADV) Congress. The data showed that ORKA-001 has a human half-life of approximately 100 days. Single doses of ORKA-001 demonstrated complete and sustained inhibition of STAT3 signaling, a downstream marker of IL-23 activity, in an ex vivo assay through 24 weeks. In addition, ORKA-001 was well tolerated at all dose levels, with a favorable safety profile consistent with the anti-IL-23 class.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third quarter of 2025, we commenced dosing in a Phase 2a clinical trial of ORKA-001 in patients with moderate-to-severe PsO (also known as “EVERLAST-A”). We expect to share Week 16 data for all patients in the second quarter of 2026. In addition, we plan to share longer-term data, including Week 28 for all patients and 52-week follow-up for a portion of the cohort in the second half of 2026. EVERLAST-A enrolled 84 patients randomized 3:1 to receive 600 mg of ORKA-001 at Weeks 0 and 4 or matching placebo. The primary endpoint is PASI 100, a 100% reduction from baseline in Psoriasis Area and Severity Index (“PASI”), at Week 16. At Week 28, patients who have achieved PASI 100 will be randomized 2:1 to an arm where either (1) they do not receive another dose until disease recurrence (to evaluate the possibility of both yearly dosing and extended off-treatment remissions) or (2) they receive 300 mg ORKA-001 every six months. Patients who have not achieved PASI 100 will receive a 300 mg dose every six months.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 first patients were dosed in EVERLAST-B in December 2025. EVERLAST-B is designed to enroll approximately 160 patients into a dose-ranging Phase 2b trial of ORKA-001 in patients with moderate-to-severe PsO and will evaluate three dose levels of ORKA-001: 37.5 mg at Week 0, 300 mg at Weeks 0 and 4, and 600 mg at Weeks 0 and 4, versus placebo. The primary endpoint is PASI 100 at Week 16. At Week 28, patients who have achieved PASI 100 will be re-randomized 1:1 to either a 600 mg dose once-yearly or matching placebo. Patients who have not achieved PASI 100 at Week 28 will receive a 300 mg dose every six months. Building on EVERLAST-A, this design will further test the potential for ORKA-001 to achieve yearly dosing, higher efficacy and extended off-treatment remissions. Data from EVERLAST-B is anticipated in 2027.</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recent precedent in PsO, we anticipate that the overall development program, from first-in-human studies through biologics license application (“BLA”) submission could take as little as six to seven years, based on averages observed for recently approved medicines. However, we have no control over the duration of the United States Food and Drug Administration (“FDA”) review process, and the actual timeline may vary.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ORKA-002</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ORKA-002 is a high affinity, extended half-life mAb designed to target IL-17A and IL-17F (“IL-17A/F”). IL-17 inhibition has become central to the treatment of psoriatic diseases, including PsO and PsA, and has also shown efficacy in other I&amp;I indications, such as HS and axial spondyloarthritis (“axSpA”).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2026, we announced interim findings from the Phase 1 trial of ORKA-002 in healthy volunteers. The results showed that ORKA-002 has a half-life of approximately 75-80 days, which supports the potential for twice-yearly maintenance dosing in PsO and quarterly maintenance dosing in HS. Single doses of ORKA-002 demonstrated potent and sustained inhibition of IL-17 signaling in an ex vivo assay through 24 weeks. ORKA-002 was well tolerated at all dose levels, with a favorable safety profile consistent with the anti-IL-17 class. The trial remains blinded, and as of January 6, 2026, which was the data cutoff date, all subjects remained on trial.</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Based on these Phase 1 results, we initiated ORCA-SURGE, a Phase 2 trial of ORKA-002 in patients with moderate-to-severe PsO, in February 2026. ORCA-SURGE is designed to enroll approximately 160 patients randomized 1:1:1:1 to receive 40 mg, 160 mg or 320 mg of ORKA-002 at Weeks 0 and 4, or matching placebo. The primary endpoint is PASI 100 at Week 16. Maintenance dosing will evaluate the potential for twice-yearly dosing with ORKA-</w:t>
      </w:r>
    </w:p>
    <w:p>
      <w:pPr>
        <w:spacing w:after="0" w:line="1" w:lineRule="exact"/>
        <w:rPr>
          <w:sz w:val="20"/>
          <w:szCs w:val="20"/>
          <w:color w:val="auto"/>
        </w:rPr>
      </w:pPr>
    </w:p>
    <w:p>
      <w:pPr>
        <w:ind w:right="20" w:firstLine="8"/>
        <w:spacing w:after="0" w:line="260" w:lineRule="auto"/>
        <w:tabs>
          <w:tab w:leader="none" w:pos="3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ORCA-SURGE is anticipated in 2027. Moreover, we also expect to initiate a Phase 2 trial of ORKA-002 in patients with HS in the second half of 2026.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view ORKA-002 and ORKA-001 as highly complementary. Patients with moderate-to-severe PsO that have purely skin manifestations are most often treated with IL-23 inhibitors due to the high efficacy and tolerability of this mechanism. However, for patients who also have joint involvement or signs and symptoms of PsA, an IL-17 inhibitor is typically used due to its efficacy in addressing both skin and joint symptoms. In addition, IL-17 inhibitors are often used in patients with highly resistant skin symptoms that do not adequately resolve through treatment with an IL-23 inhibitor. Furthermore, we plan to pursue a sequential combination regimen of ORKA-002 followed by ORKA-001, called ORKA-021. ORKA-021 has the potential to combine the rapid response of an IL-17 inhibitor with the superior maintenance profile of an IL-23 inhibitor in a single regimen. We believe that ORKA-001 and ORKA-002 provide the potential to offer a highly compelling product profile for most patients with PsO and/or PsA, as well as the opportunity to address additional I&amp;I indications.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Pipeline Program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third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Investors, and Paragon Collaboration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led by a management team with significant experience in developing novel treatments for patients at biopharmaceutical companies such as CRISPR Therapeutics, Celgene, Novartis, CymaBay Therapeutics and Protagonist Therapeutics. Together, our team has a proven track record of building successful biotech organizations in high-growth environments.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Pre-Merger Oruka was founded in February 2024 by leading healthcare investor Fairmount. Fairmount founded Paragon in 2021 to conduct biologics discovery and optimization, including acting as the firm’s discovery engine for biologics that potentially overcome limitations of existing therapies. We have entered into license agreements with Paragon pursuant to which Paragon granted us a royalty-bearing, world-wide, exclusive license to develop, manufacture, commercialize or otherwise exploit certain antibodies and products targeting IL-23 outside of the field of inflammatory bowel disease for ORKA-001 and for ORKA-002, certain antibodies and products targeting IL-17A/F in all fields.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achieve our goal of developing leading therapeutic antibodies for patients with inflammatory skin diseases, we are applying antibody engineering to validated modes of action. We believe this approach will enable us to improve meaningfully upon the efficacy and convenience of standard-of-care medicines while significantly reducing technical and biological risk. The key elements of our strategy include:</w:t>
      </w:r>
    </w:p>
    <w:p>
      <w:pPr>
        <w:spacing w:after="0" w:line="172" w:lineRule="exact"/>
        <w:rPr>
          <w:sz w:val="20"/>
          <w:szCs w:val="20"/>
          <w:color w:val="auto"/>
        </w:rPr>
      </w:pPr>
    </w:p>
    <w:p>
      <w:pPr>
        <w:jc w:val="both"/>
        <w:ind w:left="66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 advanced antibody engineering to build biologics that could significantly improve upon existing therapies: </w:t>
      </w:r>
      <w:r>
        <w:rPr>
          <w:rFonts w:ascii="Times New Roman" w:cs="Times New Roman" w:eastAsia="Times New Roman" w:hAnsi="Times New Roman"/>
          <w:sz w:val="18"/>
          <w:szCs w:val="18"/>
          <w:color w:val="auto"/>
        </w:rPr>
        <w:t>We and our collaborators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Paragon have optimized a variety of parameters using a suite of antibody technologies to develop product candidates with the potential to improve upon existing therapies. These parameters include extending half-life to increase exposure and reduce dosing frequency, enhancing affinity and specificity to maximize potency and safety, and optimizing developability to ensure consistency and enable convenient, high-dose formulations. Together, we believe these features have the potential to translate into more efficacious and convenient medicines for patients.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 validated mechanisms of action: </w:t>
      </w:r>
      <w:r>
        <w:rPr>
          <w:rFonts w:ascii="Times New Roman" w:cs="Times New Roman" w:eastAsia="Times New Roman" w:hAnsi="Times New Roman"/>
          <w:sz w:val="18"/>
          <w:szCs w:val="18"/>
          <w:color w:val="auto"/>
        </w:rPr>
        <w:t>Our initial targets, IL-23p19 and IL-17A/F, have established efficacy and safety for the treatment of PsO,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PsA, and other indications. The FDA has approved five biologics in the IL-23 class, including four targeting IL-23p19, and four biologics in the IL-17 class, including one targeting IL-17A/F. While these therapies have advanced the standard of care in PsO and PsA, they have not addressed these diseases completely, and a significant fraction of patients do not achieve complete skin clearance. By applying our advanced antibody engineering to these validated targets, we believe we can maximize our chances of developing superior medicines for patients. In addition, the reduced technical and biological risk of these validated mechanisms may allow us to progress our programs more efficiently and rapidly.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insights from earlier entrants to optimize our approach: </w:t>
      </w:r>
      <w:r>
        <w:rPr>
          <w:rFonts w:ascii="Times New Roman" w:cs="Times New Roman" w:eastAsia="Times New Roman" w:hAnsi="Times New Roman"/>
          <w:sz w:val="18"/>
          <w:szCs w:val="18"/>
          <w:color w:val="auto"/>
        </w:rPr>
        <w:t>We benefit from a large body of clinical evidence generated by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therapies targeting IL-23 and IL-17. We continue to extract and apply learnings from this precedent to our programs, including in development candidate selection, clinical trial design, dosing regimens, formulations and presentations, regulatory pathway, and indication prioritization. For instance, based on correlations between affinity and efficacy, we have designed ORKA-001 and ORKA-002 to bind to similar epitopes and at similar or greater affinities as the leading antibodies in each class: risankizumab and bimekizumab, respectively, with the aim of maximizing efficacy. Also, by understanding the exposure-response relationships for efficacy and safety for other therapies, we plan to select dose levels and regimens that could maximize efficacy and maintenance of response while maintaining safety.</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opportunities with strong prospects of yielding meaningful new medicines as a “base case” and the potential to shift the treatment paradigm entirely as an “upside case”: </w:t>
      </w:r>
      <w:r>
        <w:rPr>
          <w:rFonts w:ascii="Times New Roman" w:cs="Times New Roman" w:eastAsia="Times New Roman" w:hAnsi="Times New Roman"/>
          <w:sz w:val="18"/>
          <w:szCs w:val="18"/>
          <w:color w:val="auto"/>
        </w:rPr>
        <w:t>Our strategy seeks to maximize the potential for our programs to reach a base case product profile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meaningfully advance the standard of care—for instance, for ORKA-001, SQ dosing one or twice per year with equal or greater efficacy compared to today’s standard of care. At the same time, we aim to deliver an upside case that dramatically improves outcomes for patients—for instance, significantly increasing rates of complete skin clearance via higher antibody exposures or offering patients durable remissions free from therapy by introducing patient-specific dosing intervals.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a preeminent biopharmaceutical company focused on chronic skin disease and other I&amp;I indications: </w:t>
      </w:r>
      <w:r>
        <w:rPr>
          <w:rFonts w:ascii="Times New Roman" w:cs="Times New Roman" w:eastAsia="Times New Roman" w:hAnsi="Times New Roman"/>
          <w:sz w:val="18"/>
          <w:szCs w:val="18"/>
          <w:color w:val="auto"/>
        </w:rPr>
        <w:t>We are assembling a team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exceptional people and helping them reach their full potential and flourish so that together we can bring forward meaningful new medicines for patients.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pursuing the focused strategy outlined above will help us to succeed in our mission of offering patients living with PsO, PsA, and other dermatologic and inflammatory diseases the greatest possible freedom from their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Targeting IL-23 and IL-17 to Treat Multiple I&amp;I Indications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programs benefit from significant advances in the understanding of the biology of I&amp;I diseases over the past four decades. ORKA-001 and ORKA-002 are designed to target two key cytokines that play a related role in multiple indications. IL-23 is an upstream regulator of Th17 cells, a pro-inflammatory subset of T helper cells characterized by their production of IL-17. IL-23 has a critical role in maintaining Th17 cells in the tissue as well as activating these cells to secrete IL-17, which acts downstream to trigger inflammation and other disease symptoms. Th17 cells are involved in PsO, HS, PsA, axSpA, and many other diseases. They play a particularly central role in PsO and PsA. The diagram below depicting the immunopathogenesis of PsO provides an example of how Th17 cells can mediate disease and how blocking IL-23 or IL-17 can break the inflammatory cycle that drives disease.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Immunopathogenesis of PsO and the role of IL-23 and IL-17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156845</wp:posOffset>
            </wp:positionV>
            <wp:extent cx="4860290" cy="3566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6029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PsO develops when environmental triggers and a genetic predisposition combine to cause activation of an inflammatory cycle in the skin that leads to the formation of plaques and other disease manifestations. This process begins with the aberrant activation of the dendritic cells (“DCs”), specifically those producing IL-23 and other cytokines like IL-1β, IL-21, TNF-α, and IL-12. These cytokines induce the differentiation of Th17 cells, as well as other cell types, such as T helper type 1 (“Th1”) cells that produce IFNγ and TNF-α and T helper type 22 (“Th22”) cells that produce IL-22. IL-23 plays a key role in the differentiation and activation of Th17 cells to secrete IL-17, as well as Th22 cells to produce IL-22. IL-17 and these other cytokines induce keratinocyte hyperproliferation leading to plaque formation and a feedforward inflammatory response, with changes in gene expression in keratinocytes, the production of antimicrobial peptides, and neutrophil recruitment driving further inflammation. While many cytokines and cell types contribute to the pathogenesis of PsO, the IL-23/IL-17 axis plays an important role, as supported by the success of therapies targeting this axis.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the successful treatment of PsO — for instance, with mAbs targeting IL-23 or IL-17 — can result in lesional skin returning to an apparently normal state, disease tends to recur at previously affected sites following cessation of therapy, suggesting a mechanism of “immunological memory” that predisposes individuals to recurrence in the same locations. Evidence suggests that pathogenic TRMs play a critical role in this memory. TRMs may arise from the Th17 cells and other cells that drove disease in the first place and remain in their resident tissue, in this case the epidermis and dermis, for long periods of time. Upon a disease trigger, these TRMs can actively produce proinflammatory cytokines, causing disease recurrence. IL-23 appears to play an important role in maintaining and potentiating TRMs, as indicated by the depletion of TRMs following treatment with an IL-23 inhibitor but not an IL-17 inhibitor, which may explain the longer remissions observed with IL-23 inhibitors following withdrawal of therapy. This type of data has raised the prospect that efficient IL-23 blockade could modify the disease biology of PsO, possibly leading to durable remissions.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scientific discoveries that refined our understanding of the immunopathogenesis of PsO have led to waves of therapeutic advances, ultimately leading to today’s standard of care. Before the 1980s, PsO was not even thought of as an immunologic disease, but rather a disease of keratinocyte dysfunction, leading to treatments such as phototherapy, methotrexate, and retinoids. The discovery in the 1980s that PsO results from immune dysfunction led to the use of broad immunosuppressants like cyclosporine. From 1990 to 2008, it was believed that Th1 cells were the predominant mediators of the disease, which led to the use of biologics targeting TNF-α such as Enbrel (etanercept) and Humira (adalimumab). Finally, the revelation that PsO is driven principally by Th17 cells resulted in the development of the primary therapies used today, which target IL-23 and IL-17. This increasingly refined understanding of the disease has narrowed the standard of care from broad immunosuppressive agents (such as cyclosporine) to more specific immunomodulators (TNF-α inhibitors) to precise biologic therapies targeting the key cytokines involved in disease pathology (IL-23 and IL-17 inhibitors), with each new therapeutic class raising the bar on both safety and efficacy.</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Biologic therapies, especially mAbs, are now mainstays in the treatment of a wide variety of I&amp;I diseases, including PsO and PsA. Therapies that have improved upon efficacy and/or reduced dosing frequency have achieved the most commercial success, even when launched many years after other biologics. Enbrel was first approved for PsO in 2004 with a weekly maintenance dosing schedule. Four years later, Humira was approved for PsO with an every-other-week (Q2W) dosing schedule. Stelara (ustekinumab) was approved a year later with similar Phase 3 data to Humira, but with a significantly improved dosing schedule of every twelve weeks (Q12W). Several drugs for PsO have been approved since 2009 that demonstrated higher efficacy in their pivotal studies compared to Stelara, but with more burdensome dosing schedules, including Tremfya (guselkumab), which has a dosing schedule of every eight weeks (Q8W), and Cosentyx (secukinumab) and Taltz (ixekizumab), which have dosing schedules of every four weeks (Q4W). While these therapies have all become generally successful products, the most commercially successful drug in the PsO market today is Skyrizi (risankizumab), which combines Stelara’s Q12W dosing schedule with improvements in efficacy, as evidenced by a higher PASI score of PASI 90 and PASI 100 rates (i.e., a 90% improvement in PASI score and a 100% improvement in PASI score (complete clearance), respectively) in clinical trials. In addition, Bimzelx (bimekizumab), approved by the FDA in 2023, has shown evidence of efficacy that exceeds even Skyrizi, though with a less convenient Q8W dosing schedule. Although many biologics have entered the PsO market over the past two decades, new entrants have had significant commercial success when they have improved upon efficacy and/or dosing frequency, and room remains to improve in both areas to set a new standard for the treatment of PsO.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Biologics have raised the bar on the standard of care in PsO, but leave room for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477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biology driving PsO and PsA is well understood today, and the standard of care has progressed dramatically. We believe that it is unlikely that a novel mechanism will emerge that is as safe and efficacious as targeting the IL-23/IL-17 axis. Therefore, we believe that innovation now should be focused on optimizing the product profile that can be offered to patients. While much effort is being directed toward daily oral formats to inhibit this axis, oral medicines have yet to match the efficacy of biologics. We believe that a better biologic with a longer dosing interval and the potential for improved efficacy will present a more attractive product profile for most patients.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Psoriasis (PsO)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PsO is a chronic autoimmune skin disorder that affects an estimated 125 million people worldwide with steadily increasing prevalence, estimated to be around 2 – 3% of the population currently, according to the International Federation of Psoriasis Associations (“IFPA”). It is the largest pharmaceutical market within dermatology, with annual global sales of approximately $28 billion in 2024, which is estimated to grow to approximately $40 billion by 2032. The most common form of PsO is plaque psoriasis. Patients with chronic plaque psoriasis have well-demarcated, erythematous plaques with overlying, coarse, silvery-scaled patches. These plaques can occur anywhere on the body, though are typically found on the scalp, extensor areas of the knees and elbows, and gluteal cleft. Involvement of the palms, soles, or nails, and intertriginous areas, including the genitals, can also occur and can be particularly difficult to treat. Between one-quarter and one-half of PsO patients have moderate disease, defined as having 3% to 10% of the body surface area (“BSA”) involved, or severe disease, defined as having more than 10% BSA involvement. The chronic inflammation in PsO is associated with multiple comorbidities, including PsA, obesity, metabolic syndrome, hypertension, diabetes, and atherosclerotic cardiovascular disease.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earlier, PsO is a complex immune-mediated disease driven primarily by Th17 cells and the cytokines IL-23 and IL-17. The interplay of environmental and behavioral risk factors and genetics is believed to trigger PsO. Multiple lines of evidence support a genetic component to the disease, including the observation that approximately 40% of patients with PsO and PsA have a family history of the disease and the identification of multiple susceptibility loci, many containing genes related to the regulation of the immune system, in genome-wide association studies.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PsO Treatments and Limitations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patients with mild PsO typically rely on topical corticosteroids or oral therapies like Otezla (apremilast), these agents often do not provide an adequate response for patients with moderate-to-severe PsO. As a result, the American Academy of Dermatology-National Psoriasis Foundation recommends biologics as first-line therapy for moderate-to-severe PsO.</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Several classes of biologic therapies have been approved for PsO over the past 20 years, resulting in progressively more complete symptom relief. Efficacy in PsO is typically measured via the PASI scoring system. The first biologics approved for PsO were tumor necrosis alpha (“TNF-α”) inhibitors such as Enbrel (etanercept), Humira (adalimumab), and Remicade (infliximab), which achieved a PASI score of PASI 90 at 16 weeks in around 25 – 50% of patients and a PASI score of PASI 100 in around 5 – 20% of patients. Stelara (ustekinumab), which targets the p40 subunit of IL-23 that is shared with IL-12, was approved next and achieved efficacy on par with Humira. IL-17 inhibitors Cosentyx (secukinumab), Taltz (ixekizumab), and Siliq (brodalumab) followed and achieved responses of PASI 90 in around 70% of patients and PASI 100 in around 40% of patients with some risk of certain side effects such as oral candidiasis. Most recently, IL-23p19 inhibitors such as Ilumya (tildrakizumab), Tremfya (guselkumab), and Skyrizi (risankizumab) have achieved responses of PASI 90 in around 70 – 80% of patients and PASI 100 in around 30 – 50% of patients with highly tolerable profiles. Finally, IL-17A/F inhibitors such as Bimzelx (bimekizumab) have recently shown even higher response rates than IL-23 inhibitors, but with slightly less tolerable profiles.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Treatment expectations in PsO have evolved progressively with this continued innovation. A 75% improvement in PASI score was previously thought to be an adequate depth of response, and weekly SQ dosing was viewed as acceptable. With each subsequent generation of innovation, patient and caregiver expectations have advanced. Today, Skyrizi (risankizumab) is widely viewed as the leader in PsO biologic therapy. In Phase 3 clinical trials, 43% and 58% of patients achieved PASI 100 at 16 and 52 weeks, respectively, with SQ maintenance dosing every three months. Most recently, Bimzelx (bimekizumab) has shown evidence of efficacy that exceeds even Skyrizi, achieving a 64% PASI 100 rate at 16 weeks in Phase 3 trials. However, the increased efficacy comes with a less convenient Q8W dosing schedule and an increased risk of certain side effects, most notably oral candidiasis. While agents like Skyrizi and Bimzelx reflect the remarkable advancement in PsO treatment, there remains significant unmet need. Approximately half of moderate-to-severe PsO patients do not achieve full skin clarity, and while early signs are present, the promise of disease modifying therapy remains unrealized. In addition, a continued desire for more convenient dosing options has driven significant interest in orally delivered medicines targeting these same pathways. However, oral therapies have yet to match the efficacy and safety profile of biologics. We believe that ORKA-001 and ORKA-002 could represent the next step in biologic innovation in PsO, with the potential for higher rates of complete skin clearance, more durable remissions, and markedly more convenient dosing regimens.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Hidradenitis Suppurativa (“HS”)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HS is a chronic inflammatory skin disease characterized by deep-seated nodules and abscesses, draining sinus tracts, and fibrotic scarring that most commonly occur in intertriginous areas, such as the axillae and groin. Due to the associated pain, sensitive anatomical locations, drainage, odor, scarring, and recurrent disease flares, HS can have a substantial negative psychosocial impact across many areas of life, including interpersonal relationships, education, and employment.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HS is believed to be underdiagnosed and may have a prevalence exceeding 1% worldwide. Significant delays between symptom onset and diagnosis are common; an average delay of 7–10 years has been reported, with some patients waiting more than 20 years for diagnosis. This compares to an average time to diagnosis of approximately 1.6 years for psoriasis. Delayed diagnosis has been associated with worsening disease severity, progression, and an increased burden of comorbidities, potentially due to delays in receiving appropriate anti-inflammatory treatment.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HS Treatments and Limitations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overall treatment goals for HS include alleviating lesion-related symptoms (e.g., pain), reducing the frequency and severity of disease flares, limiting the formation of new inflammatory lesions, and preventing disease progression and associated comorbidities. Treatment varies depending on disease severity and may include topical and systemic antibiotics, hormone therapy, immunomodulators, and surgical interventions. Humira (adalimumab) was the only FDA-approved medication for the treatment of moderate-to-severe HS from its approval in 2015 until the approval of Cosentyx (secukinumab) in October 2023 and Bimzelx (bimekizumab) in November 2024.</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hidradenitis suppurativa clinical response (HiSCR) outcome measure is currently considered the standard primary endpoint for the assessment of new pharmacologic interventions in HS clinical trials. HiSCR50, HiSCR75, and HiSCR90 are defined as at least a 50%, 75%, or 90% reduction from baseline in the total abscess and inflammatory nodule count, with no increase from baseline in abscess or draining tunnel count. A recent network meta-analysis comparing approved biologics for moderate-to-severe HS found that Bimzelx (bimekizumab) ranked highest across HiSCR efficacy endpoints. In Phase 3 studies, Bimzelx (bimekizumab) demonstrated placebo-adjusted HiSCR50/75 rates of 18–20%, and 15–20%, respectively, at Week 16 with Q2W dosing.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currently approved therapies, multiple biologic and oral agents targeting a range of inflammatory pathways are advancing through clinical development for HS. These investigational therapies span diverse mechanisms of action and several have demonstrated encouraging efficacy signals in Phase 2 clinical trials. However, currently approved therapies and late-stage investigational agents are typically administered on weekly, bi-weekly, or monthly dosing schedules, and a substantial proportion of patients continue to experience inadequate or incomplete disease control. These factors underscore the ongoing unmet need for more effective, durable, and more conveniently administered treatment options.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Psoriatic Arthritis (PsA)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PsA is a chronic inflammatory condition that affects both the skin and joints, and often coexists with PsO. Around a quarter to a third of patients with moderate-to-severe PsO also have PsA. Most individuals develop PsO before being diagnosed with PsA, with a median gap of seven to eight years between the diagnosis of skin and joint disease, though in up to 30% of patients with PsA, joint symptoms appear before or simultaneously with skin manifestations. Patients with PsA present with joint pain, stiffness, and swelling affecting the peripheral joints, axial skeleton, or both. Enthesitis, dactylitis, nail lesions, fatigue, and ocular inflammation all occur commonly. PsA can lead to irreversible joint damage, including bony fusion across a joint (ankylosis). The pathogenesis of PsA is likely to be closely related to the mechanisms that underlie PsO. Like PsO, the exact cause of PsA remains unknown, but environmental triggers, including infection and trauma, and genetic factors play a role.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PsA Treatments and Limitations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Effective treatment of PsA requires a coordinated approach to address the unique combination of disease manifestations each patient has, which can include peripheral and axial arthritis, enthesitis, dactylitis, and skin and nail involvement. Many patients with milder disease symptoms will start with nonsteroidal anti-inflammatory drugs (“NSAIDs”) and/or local treatments to address specific disease manifestations. However, those with more moderate or severe disease and/or multidomain involvement will typically receive a biologic therapy targeting TNF-α or IL-17, or less commonly an oral Janus kinase (“JAK”) inhibitor. Comorbid conditions can also influence treatment selection. For example, an IL-17 inhibitor would be preferred for a patient with significant skin involvement, but not for patients with IBD or ocular symptoms, where a TNF-α inhibitor would be preferred. The most common endpoint used to measure the efficacy of TNF-α or IL-17 inhibitors in PsA is ACR response, or the proportion of patients achieving a specified percent improvement in American College of Rheumatology (“ACR”) score, which measures peripheral joint disease. Approved TNF-α inhibitors, including Humira (adalimumab) and Cimzia (certolizumab), achieved a placebo-adjusted ACR50 response of around 30 – 35% at 24 weeks with Q2W dosing. Approved IL-17 inhibitors, including Cosentyx (secukinumab) and Taltz (ixekizumab), achieved a slightly lower placebo-adjusted ACR50 response of around 25 – 30% at 24 weeks, but with more convenient Q4W dosing. Bimzelx (bimekizumab), which was recently approved in the United States for PsA, achieved a placebo-adjusted ACR50 response of approximately 35% at 16 weeks with Q4W dosing. A significant fraction of patients with PsA still do not achieve a satisfactory response with available therapies, and even the most convenient regimens require monthly SQ dosing.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additional opportunities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PsO, HS, and PsA, inhibition of IL-23 or IL-17 has demonstrated efficacy in a number of additional I&amp;I indications, such as axSpA.</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axSpA is a chronic inflammatory disease that primarily affects the spine and sacroiliac joints that comprise the axial skeleton. The disease causes severe pain, stiffness, and fatigue, and can have additional clinical manifestations like uveitis, enthesitis, peripheral arthritis, and PsO. Patients with axSpA may develop further structural damage in their spine, which can lead to the fusion of vertebra (spinal ankylosis), which has a massive negative impact on mobility, physical function, and quality of life. The overall prevalence of axSpA is estimated to be around 1% in the United States. Treatment of axSpA starts with physical therapy and NSAIDs. If patients do not have an adequate response to NSAIDs, a TNF-α inhibitor is typically used, followed by an IL-17 inhibitor, such as Cosentyx (secukinumab), Taltz (ixekizumab), or Bimzelx (bimekizumab), or less frequently a JAK inhibitor. Patients often need to cycle through therapies over time due to inadequate responses or loss of response.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 Half-Life Extension and Antibody Engineering Technologies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antibody engineering campaigns are designed to optimize multiple attributes in parallel: binding affinity, potency in a variety of assays, developability, and consistently extended serum half-life in non-human primates (“NHPs”). Half-life extension is possible by modifying the pH-dependent binding affinity of the antibody Fc domain for FcRn. A primary mechanism of elimination of antibodies from the serum is through pinocytosis and degradation in the lysosomes of cells. Throughout this process, antibodies can be recycled back into the serum by binding to FcRn while they are in endosomes. The interior of the endosome is acidic, and therefore the efficiency of this recycling process depends on the ability of the antibody Fc domain to bind to FcRn at low pH. If this low pH binding is efficient enough, antibody recycling can be favored over degradation, potentially resulting in a much longer serum half-life.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Antibody engineers have discovered methods of modifying the Fc domain to optimize the efficiency of recycling via FcRn binding. Several engineering strategies have been identified over the past two decades, with the so-called “YTE” mutations (M252Y/S254T/T256E) and “LS” mutations (M428L/N434S) being the most frequently used. Importantly, while these strategies have been known for some time, it was only relatively recently that enough clinical precedent was established to provide confidence in how these mutations perform in humans. Three products incorporating YTE or LS modifications are currently approved by the FDA, Beyfortus (nirsevimab), Exdensur (depemokimab), and Ultomiris (ravulizumab), and several more candidates are in clinical trials. Based on clinical data in humans, antibodies with YTE mutations typically have a half-life that is two to four times longer than wildtype antibodies.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ORKA-001 is a high affinity, extended half-life mAb designed to target the p19 subunit of IL-23. Based on both preclinical and clinical data generated to date, we believe ORKA-001 has the potential to become the leading IL-23 inhibitor and achieve an optimal product profile in PsO consisting of the following:</w:t>
      </w:r>
    </w:p>
    <w:p>
      <w:pPr>
        <w:spacing w:after="0" w:line="172" w:lineRule="exact"/>
        <w:rPr>
          <w:sz w:val="20"/>
          <w:szCs w:val="20"/>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One to two maintenance doses per year. </w:t>
      </w:r>
      <w:r>
        <w:rPr>
          <w:rFonts w:ascii="Times New Roman" w:cs="Times New Roman" w:eastAsia="Times New Roman" w:hAnsi="Times New Roman"/>
          <w:sz w:val="18"/>
          <w:szCs w:val="18"/>
          <w:color w:val="auto"/>
        </w:rPr>
        <w:t>Standard-of-care therapies targeting IL-23 require maintenance dosing every eight to twelve weeks.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engineered the Fc portion of ORKA-001 to include YTE mutations to increase the half-life of ORKA-001 in circulation, which may enable dosing every six to twelve months — a dosing interval made feasible by half-life extension technology. In clinical studies, ORKA-001 demonstrated a human half-life of approximately 100 days. Based on pharmacokinetic modeling, we anticipate this half-life to enable subcutaneous dosing every six to twelve months while maintaining high antibody exposures.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Higher PASI 100. </w:t>
      </w:r>
      <w:r>
        <w:rPr>
          <w:rFonts w:ascii="Times New Roman" w:cs="Times New Roman" w:eastAsia="Times New Roman" w:hAnsi="Times New Roman"/>
          <w:sz w:val="18"/>
          <w:szCs w:val="18"/>
          <w:color w:val="auto"/>
        </w:rPr>
        <w:t>ORKA-001 benefits from the robust validation of IL-23 inhibition in PsO by multiple approved therapies, such as Skyrizi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(risankizumab) and Tremfya (guselkumab), while leveraging insights from these therapies to improve upon their clinical profile. ORKA-001 is designed to bind a similar epitope to the market-leading anti-IL-23 antibody, Skyrizi, with similar affinity and could achieve much higher exposures in patients due to half-life extension and higher dosing. Skyrizi and Tremfya both have a robust exposure-response relationship, with higher drug exposures leading to higher response rates. Published data indicates that these therapies have not saturated this exposure-response relationship, and ORKA-001 could lead to higher response rates, including higher rates of complete skin clearance, or PASI 100, through increased exposure, even while having more convenient dosing with as few as one or two maintenance doses per year.</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Validated IL-23p19 safety profile. </w:t>
      </w:r>
      <w:r>
        <w:rPr>
          <w:rFonts w:ascii="Times New Roman" w:cs="Times New Roman" w:eastAsia="Times New Roman" w:hAnsi="Times New Roman"/>
          <w:sz w:val="18"/>
          <w:szCs w:val="18"/>
          <w:color w:val="auto"/>
        </w:rPr>
        <w:t>Existing commercially approved antibodies targeting IL-23 provide a robust precedent for the safety of IL-23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inhibition. Across thousands of patients dosed in dermatology and IBD indications, no correlations have been observed at the patient level between exposure and safety. While we are not pursuing IBD, the approved Skyrizi regimens for Crohn’s disease and ulcerative colitis supports the safety of high peak exposures. Peak Skyrizi exposures during the IV induction phase in Crohn’s disease and ulcerative colitis are multiple times higher than the anticipated peak ORKA-001 exposures at dose levels we plan to evaluate in PsO. In addition, an exposure-response analysis for Skyrizi in ulcerative colitis showed no relationship between exposures and evaluated safety endpoints in the 12-week induction or 52-week maintenance periods. In this assessment, the top quartile of average exposures was significantly higher than the highest anticipated exposures with ORKA-001 in the same periods.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offer longer term remission to some patients. </w:t>
      </w:r>
      <w:r>
        <w:rPr>
          <w:rFonts w:ascii="Times New Roman" w:cs="Times New Roman" w:eastAsia="Times New Roman" w:hAnsi="Times New Roman"/>
          <w:sz w:val="18"/>
          <w:szCs w:val="18"/>
          <w:color w:val="auto"/>
        </w:rPr>
        <w:t>Emerging evidence suggests that IL-23 blockade can modify the disease biology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PsO, possibly leading to durable remissions and preventing the development of PsA. Dr. Andrew Blauvelt, chair of our Scientific Advisory Board, pioneered some of this work by using two- and four-times the approved dose levels of risankizumab to achieve best-in-indication response rates. This study, called KNOCKOUT, showed a robust depletion of TRMs following high dose IL-23 inhibition, which could lead to longer-lasting remissions in some patients. Additional evidence from a study of guselkumab, called GUIDE, showed that intervention early in the disease course can lead to longer treatment-free remissions. In addition, retrospective claims data suggests that treatment with an IL-23 inhibitor could help prevent progression to PsA, though this finding has yet to be confirmed by a prospective clinical trial. Given the high antibody exposures expected with ORKA-001, we believe that ORKA-001 could lead to durable remissions for some patients, especially those with short disease duration. We plan to pursue patient-specific dosing intervals to provide each patient the greatest possible freedom from their disease.</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this target profile for ORKA-001 could offer improved freedom from disease to many patients affected by PsO and represent a step forward in the standard of care.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dosed the first participants in a Phase 1 clinical trial of ORKA-001 in healthy volunteers in the fourth quarter of 2024. This trial is a double-blind, placebo-controlled, single ascending dose study evaluating the safety, tolerability, and pharmacokinetics of ORKA-001 in healthy volunteers. The trial enrolled 24 healthy adult participants into three single ascending subcutaneous dose cohorts of 300 mg, 600 mg, and 1200 mg. In September 2025, we announced the interim results at the European Academy of Dermatology and Venereology (EADV) Congress. The data showed that ORKA-001 has a human half-life of approximately 100 days. Single doses of ORKA-001 demonstrated complete and sustained inhibition of STAT3 signaling, a downstream marker of IL-23 activity, in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assay through 24 weeks. In addition, ORKA-001 was well tolerated at all dose levels, with a favorable safety profile consistent with the anti-IL-23 class. We believe this data supports the key ways in which ORKA-001 could re-define the treatment paradigm in psoriasis: annual dosing, higher efficacy, and off-treatment remission.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ORKA-001 showed a human half-life of approximately 100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494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third quarter of 2025, we commenced dosing in a Phase 2a proof-of-concept study of ORKA-001 in moderate-to-severe PsO (also known as “EVERLAST-A”). We expect to share Week 16 data for all patients in the second quarter of 2026. In addition, we plan to share longer-term data, including Week 28 for all patients and 52-week follow-up for a portion of the cohort in the second half of 2026. EVERLAST-A enrolled 84 patients randomized 3:1 to receive 600 mg of ORKA-001 at Weeks 0 and 4 or matching placebo. The primary endpoint is PASI 100 at Week 16. At Week 28, patients who have achieved PASI 100 will be randomized 2:1 to an arm where either (1) they do not receive another dose until disease recurrence (to evaluate the possibility of both yearly dosing and extended off-treatment remissions) or (2) they receive 300 mg ORKA-001 every six months. Patients who have not achieved PASI 100 will receive a 300 mg dose every six months. After completing the trial, subjects may have the option to roll over to an open-label extension study.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 first patients were dosed in the EVERLAST-B trial in December 2025. EVERLAST-B is designed to enroll approximately 160 patients, is a dose-ranging Phase 2b trial of ORKA-001 in moderate-to-severe PsO patients and will evaluate three dose levels of ORKA-001: 37.5 mg at Week 0, 300 mg at Weeks 0 and 4, and 600 mg at Weeks 0 and 4, versus placebo. The primary endpoint is PASI 100 at Week 16. At Week 28, patients who have achieved PASI 100 will be re-randomized 1:1 to either a 600 mg dose once-yearly or matching placebo. Patients who have not achieved PASI 100 at Week 28 will receive a 300 mg dose every six months. Building on EVERLAST-A, this design will further test the potential for ORKA-001 to achieve yearly dosing, higher efficacy and extended off-treatment remissions. Data from EVERLAST-B is anticipated in 2027.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ORKA-002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ORKA-002 is a high affinity, extended half-life mAb designed to target IL-17A/F. Dual inhibition of both IL-17A and IL-17F has shown superior efficacy compared to IL-17A inhibition alone in PsO and other indications, as shown by the performance of Bimzelx (bimekizumab) compared to Cosentyx (secukinumab) and Taltz (ixekizumab) in Phase 3 trials. These therapies all utilize Q4W maintenance dosing in PsO and PsA, except Bimzelx, where Q8W maintenance dosing in PsO patients &lt;120 kg is recommended. By binding IL-17A/F at similar epitopes and affinity ranges as Bimzelx while incorporating half-life extension technology to potentially enable twice-yearly maintenance dosing in PsO and quarterly maintenance dosing in HS, we believe that ORKA-002 could become the leading therapy in the IL-17 class.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January 2026, we announced interim findings from the Phase 1 trial of ORKA-002 in healthy volunteers. The study enrolled 24 healthy adult participants into three single-ascending subcutaneous dose cohorts of 160 mg, 320 mg and 640 mg. ORKA-002 showed a half-life of approximately 75-80 days, greater than three times that of bimekizumab, and a comparable Cmax to bimekizumab at equivalent doses based on previously reported bimekizumab data. Pharmacokinetic modeling based on these results supports achieving twice-yearly maintenance dosing in PsO and quarterly maintenance dosing in HS. Additionally, single doses of ORKA-002 demonstrated potent and sustained inhibition of IL-17 signaling in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assay through 24 weeks. ORKA-002 was well tolerated at all dose levels, with a favorable safety profile consistent with the anti-IL-17 class. The trial remains blinded, and as of January 6, 2026, which was the data cutoff date, all subjects remained on trial.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ORKA-002 showed a half-life of approximately 75-80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156845</wp:posOffset>
            </wp:positionV>
            <wp:extent cx="5349240" cy="2408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initiated ORCA-SURGE, a Phase 2 trial of ORKA-002 in patients with moderate-to-severe PsO, in February 2026. ORCA-SURGE is designed to enroll approximately 160 patients randomized 1:1:1:1 to receive 40 mg, 160 mg or 320 mg of ORKA-002 at Weeks 0 and 4, or matching placebo. The primary endpoint is PASI 100 at Week 16. Maintenance dosing will evaluate the potential for twice-yearly dosing with ORKA-002. Data from ORCA-SURGE is anticipated in 2027.</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 ORKA-002 as highly complementary to ORKA-001, with the potential to provide an improved therapy for the approximately one-quarter to one-third of moderate-to-severe PsO patients who have PsA, as well as for PsO patients with highly resistant skin symptoms that do not respond adequately to an IL-23 inhibitor. Furthermore, ORKA-002 could address indications beyond PsO, including PsA with limited skin involvement, HS, axSpA, and additional I&amp;I diseases. We plan to initiate a Phase 2 trial of ORKA-002 in patients with HS in the second half of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ORKA-021</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IL-17 and IL-23 inhibitor classes each have distinct advantages. IL-17 inhibitors are generally associated with rapid onset of action and high peak response, while IL-23 inhibitors are typically characterized by less frequent dosing and favorable durability and safety profiles. Sequential use of these two mechanisms has the potential to combine attractive attributes of each class, including the rapid response associated with IL-17 inhibition and the maintenance profile associated with IL-23 inhibition. Accordingly, following ORKA-002 and ORKA-001, we plan to evaluate a sequential combination regimen of ORKA-002 and ORKA-001, which we refer to as “ORKA-021”.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Program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third program, ORKA-003, that targets an undisclosed pathway. A core tenet of our strategy is to remain highly focused on I&amp;I diseases, and specifically on inflammatory dermatology conditions. ORKA-003 provides the potential for indication expansion beyond PsO as well as combination opportunities with our more advanced programs. In the future, we may add additional programs to our portfolio beyond ORKA-001, ORKA-002, ORKA-021 and ORKA-003 that fit our strategic focus.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seek to protect the proprietary programs and technologies that we believe are important to our business through a combination of patent protection and other intellectual property strategies. Our intellectual property portfolio is designed to protect our product candidates and related technologies, including patents directed to composition of matter, methods of use and manufacture, and other inventions.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and Paragon have filed, and may continue to file, patent applications relating to antibodies that target IL-23, including applications covering composition of matter, pharmaceutical formulations, and methods of use, including for ORKA-001. We and Paragon have also filed, and may continue to file, patent applications relating to antibodies that target IL-17, including applications covering composition of matter, pharmaceutical formulations, and methods of use, including for ORKA-002.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hold exclusive rights to ORKA-001 and ORKA-002, as well as the associated IL-23 and IL-17 patent rights, pursuant to license agreements with Paragon. Certain patent rights covering ORKA-001 are expected to expire in 2045, absent any applicable patent term adjustments or extensions. Patent rights relating to ORKA-002, if issued, are also expected to expire in 2045, absent any applicable patent term adjustments or extensions.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commercialization, we intend to commercialize them in the United States and other key markets either independently or through strategic collaborations, with the objective of maximizing the commercial value of our programs. Given our current stage of development, we have not yet established a commercial organization or distribution capabilities. Pursuant to license agreements with Paragon, we hold exclusive worldwide rights to develop and commercialize ORKA-001 and ORKA-002.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facilities for product manufacturing, testing, storage, and distribution. We have contracted and expect to continue to contract with third parties for the manufacture and distribution of our product candidates. Because we rely on contract manufacturers, we employ personnel with extensive technical, manufacturing, analytical, and quality experience. Our team has deep knowledge and understanding of the regulations that govern manufacturing, documentation, quality assurance, and quality control of drug supply that are required to support our regulatory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continuing technological advancement and significant competition. While we believe that our programs, technology, development experience and scientific knowledge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therapies that may become available in the future.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enrollment for clinical trials as well as in acquiring technologies complementary to, or necessary for, our programs.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Key competitive factors affecting the success of all our product candidates that we develop, if approved, are likely to be efficacy, safety, convenience, presentation, price, the level of generic competition, and the availability of reimbursement from government and other third-party payors. Our competitors may also obtain FDA or other regulatory approval for their products more rapidly than we may obtain approval for our products, which could result in our competitors establishing a strong market position before we are able to enter the market.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Specifically, there are several companies developing or marketing treatments that may be approved for the same indications and/or diseases as our two most advanced programs, ORKA-001 and ORKA-002, including major pharmaceutical companies. We have generated early-stage clinical data for certain programs, and there can be no assurance that early clinical results will be predictive of later-stage outcomes.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are several approved biologic therapies for the treatment of moderate-to-severe PsO. These include mAbs targeting IL-23, such as Skyrizi (risankizumab) from AbbVie, Tremfya (guselkumab) from Janssen, Ilumya (tildrakizumab) from Sun Pharma, also marketed as Ilumetri by Almirall in Europe, and Pecondle (picankibart) from Innovent Biologics, which has been approved in China, which all target the p19 subunit, and Stelara (ustekinumab) from Janssen, which targets the p40 subunit; mAbs targeting IL-17, such as Bimzelx (bimekizumab) from UCB, which targets IL-17A/F, Cosentyx (secukinumab) from Novartis and Taltz (ixekizumab) from Eli Lilly, which both target IL-17A, and Siliq (brodalumab) from Ortho Dermatologics, also marketed as Kyntheum by LEO Pharma in Europe, which targets IL-17 receptor A; and biologics targeting TNF-α, such as Humira (adalimumab) from AbbVie, Enbrel (etanercept) from Amgen, and Remicade (infliximab) from Janssen, and various biosimilar versions of each. In addition, there are several approved oral medicines in these indications, including the phosphodiesterase-4 (PDE4) inhibitor Otezla (apremilast) from Amgen and the tyrosine kinase 2 (TYK2) inhibitor Sotyktu (deucravacitinib) from Bristol-Myers Squibb. Many of these therapies are also approved or in development for PsA, HS, axSpA, and other I&amp;I indications.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aware of several product candidates in clinical development for moderate-to-severe PsO, along with PsA, HS, axSpA, and other indications. These include the biologic sonelokimab from MoonLake Immunotherapeutics targeting IL-17A/F, and several oral agents in development, including JNJ-2113 (icotrokinra) from Janssen targeting the IL-23 receptor, DC-853 (simepdekinra) from Eli Lilly targeting IL-17A, PN-881 from Protagonist targeting IL-17A/F, and TAK-279 (zasocitinib) from Takeda and ESK-001 (envudeucitinib) from Alumis, both targeting TYK2. AbbVie has also announced plans to initiate a Phase 1 clinical study of a long-acting IL-23p19 inhibitor in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Paragon Therapeutics – Option Agreements and License Agreements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2024, we entered into two Antibody Discovery and Option Agreements with Paragon and Paruka Holding, LLC (“Paruka”) (each, an “Option Agreement”), pursuant to which we initiated certain research programs with Paragon focusing on discovering, generating, identifying and/or characterizing antibodies directed to a particular target, including for IL-23 and IL-17A/F for ORKA-001 and ORKA-002, respectively. In September 2024, we exercised our exclusive option to acquire certain rights to ORKA-001, and in December 2024, we entered into a corresponding license agreement with Paragon pursuant to which Paragon granted us a royalty-bearing, world-wide, exclusive license to develop, manufacture, commercialize or otherwise exploit certain antibodies and products targeting IL-23 in all fields other than the field of inflammatory bowel disease. In December 2024, we exercised our exclusive option to acquire certain rights to ORKA-002, and in February 2025, we entered into the corresponding license agreement with Paragon pursuant to which Paragon granted us a royalty-bearing, world-wide, exclusive license to develop, manufacture, commercialize or otherwise exploit certain antibodies and products targeting IL-17A/F in all fields (collectively, the “License Agreements”).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each of the License Agreements, Paragon has agreed not to conduct any new campaigns that generate anti-IL-23 monospecific antibodies or anti-IL-17A/F monospecific antibodies in the respective agreed-upon fields. Each of the ORKA-001 and ORKA-002 License Agreements may be terminated on 60 days’ notice to Paragon, on material breach without cure, and on a party’s insolvency or bankruptcy to the extent permitted by law.</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each of the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As of December 31, 2025, we have incurred and expensed milestone payments of $7.0 million and $4.0 million in connection with the ORKA-001 License Agreement and the ORKA-002 License Agreement, respectively. In addition, we are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our product. There is also a royalty step-down if there is no Paragon patent in effect during the royalty term for each program.</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as part of the Option Agreements and the additional option agreement described in the following paragraph, on December 31, 2024, we settled our 2024 obligations under the Paruka Warrant Obligation by issuing Paruka a warrant to purchase 596,930 shares of company common stock at an exercise price of $19.39 per share, and on December 12, 2025, we settled our 2025 obligations under the Paruka Warrant Obligation by issuing Paruka a warrant to purchase 375,000 shares of company common stock at an exercise price of $30.18 per share.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we entered into an additional option agreement for an antibody with Paragon and Paruka to enter into a license agreement, which we exercised in December 2025. For the year ended December 31, 2025 we incurred $1.5 million related to this additional option agreement, which was recognized as research and development expense. Per the terms of this option agreement, once we enter into the corresponding license agreement, we will be required to make non-refundable milestone payments to Paragon of up to $12.0 million under the agreement upon the achievement of certain clinical development milestones, up to $10.0 million under the agreement upon the achievement of certain regulatory milestones, as well as a low single-digit percentage royalty for antibody products beginning on the first commercial sale. As of December 31, 2025, we have not entered into a license agreement with Paragon and Paruka related to this additional option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Cell Line License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we entered into the Cell Line License Agreement (the “Cell Line License Agreement”) with WuXi Biologics Ireland Limited (“WuXi Biologics”). Under the Cell Line License Agreement, we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consideration for the license, we agreed to pay WuXi Biologics a non-refundable license fee of $150,000. Additionally, to the extent that we manufacture our commercial supplies of bulk drug product for ORKA-001 and/or ORKA-002 under such license with a manufacturer other than WuXi Biologics or its affiliates, we are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requirements of the governing regulatory agencies of the countries in which we wish to conduct studies or seek approval or licensure of our product 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our company and our products or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United States Biologics Regulation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biological products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w:t>
      </w:r>
    </w:p>
    <w:p>
      <w:pPr>
        <w:spacing w:after="0" w:line="187"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(“GLP”) regulation;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the trial is commenced;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proposed biologic candidate in accordance with current Good Manufacturing Practices (“cGMPs”);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current Good Clinical Practice (“GCP”) requirements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BLA to permit commercial marketing of the product for particular indications for use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Once a therapeutic product candidate is identified for development, it must undergo preclinical studies before commencing any testing in humans. Preclinical studies include laboratory evaluations of product chemistry, formulation, and stability, as well as studies to evaluate the candidate’s potential for efficacy and toxicity in animals. The conduct of preclinical tests and formulation of the compounds for testing must comply with federal regulations and requirements, including current GLPs.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beginning any clinical trial with a product candidate in the United States, we must submit an IND application to the FDA. An IND application is a request for authorization from the FDA to administer an investigational new drug product to humans. The central focus of an IND application is on the general investigational plan, supportive nonclinical evaluations, and the protocol or protocols for clinical trials. The IND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current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trial until completed.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trials and clinical trial results to public registries.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methods must be developed for testing the safety, purity, and potency of the biologic. Additionally, appropriate packaging must be selected and tested, and stability studies must be conducted to demonstrate that the product candidate does not undergo unacceptable deterioration over its claimed shelf life.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IND requirements must be met unless waived. When the foreign clinical trial is not conducted under an IND, the sponsor must ensure that the trial complies with certain FDA regulatory requirements in order to use the trial as support of a BLA, including that the trial was conducted in accordance with GCP, review and approval by an independent ethics committee, use of proper procedures for obtaining informed consent from subjects, and the FDA is able to validate the data from the trial through an onsite inspection if the FDA deems such inspection necessary. The GCP requirements encompass both ethical and data integrity standards for clinical studies.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Submission and Review</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the product, or from a number of alternative sources, including trials initiated and sponsored by investigators. The submission of a BLA requires payment of a substantial application user fee to the FDA, unless a waiver or exemption applies.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unless a different timeline has been previously agreed upon by the FDA, through approval of a pediatric study plan, as described below.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FDA accepts the application for filing,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and data integrity of the submitted clinical trial data.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requirements for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studies, and/or surveillance in addition to that required of every approved product to further assess and monitor the product’s safety and effectiveness after commercialization, and may limit further marketing of the product based on the results of these post-marketing studies.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Therapy</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Combination therapy is a treatment modality that involves the use of two or more drugs to be used in combination to treat a disease or condition. If those drugs are combined in one dosage form, such as a single injection, that is known as a fixed dose combination product and it is reviewed pursuant to the FDA’s Combination Rule at 21 CFR 300.50. The rule provides that two or more drugs may be combined in a single dosage form when each component contributes to the claimed effects and the dosage of each component (amount, frequency, duration) is such that the combination is safe and effective for a significant patient population requiring such concurrent therapy as defined in the labeling for the drug. However, not all combination therapy falls under the category of a fixed dose combination. For example, the FDA recognizes that two drugs in separate dosage forms and in separate packaging, that otherwise might be administered as monotherapy for an indication, also may be used in combination for the same indication. In 2013, the FDA issued guidance to assist sponsors that were developing the range of combination therapies that fall outside the category of fixed dose combinations. That guidance provides recommendations and advice on such topics as: (1) assessment at the outset whether two or more therapies are appropriate for use in combination; (2) guiding principles for nonclinical and clinical development of the combination; (3) options for regulatory pathways to seek marketing approval of the combination; and (4) post-marketing safety monitoring and reporting obligations. Given the wide range of potential combination therapy variations, the FDA indicated it intends to assess each potential combination on a case-by case basis and encouraged sponsors to engage in early and regular consultation with the relevant review division at the agency throughout the development process for its proposed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Regulation of Combination Products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or biologic approval processes set forth in the FDCA. In reviewing the new drug application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 applicable to medical devices.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review and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restrictions or other restrictions under a REMS program. Other potential consequences include, among other things:</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4" w:name="page25"/>
    <w:bookmarkEnd w:id="24"/>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consistent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uses of their products. Additionally, promotional material for approved biologic products must be submitted to the FDA in conjunction with their first use.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Reference Product Exclusivity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is generally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and the FDA has issued guidance documents intended to inform prospective applicants and facilitate the development of proposed biosimilars and interchangeable biosimilars, as well as to describe the FDA’s interpretation of certain statutory requirements added by the BPCIA.</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Additionally, many states have passed laws concerning the ability of pharmacies to substitute biosimilar and interchangeable products for the reference product.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reference biologic is granted twelve years of exclusivity from the time of first licensure (BLA approval)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below, the Inflation Reduction Act of 2022 (“IRA”) is a significant new law that intends to foster generic and biosimilar competition and to lower drug and biologic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a company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Biopharmaceutical manufacturers, particularly manufacturers of marketed products, are subject to healthcare regulation and enforcement by federal, state, and local government authorities in the U.S., as well as by foreign jurisdictions. Biopharmaceutical manufacturers must comply with various federal, state, and local laws targeting fraud and abuse in the healthcare industry, including anti-kickback and false claims laws.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federal Anti-Kickback Statute (“AKS”)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A person or entity does not need to have actual knowledge of the statute or a specific intent to violate the statute.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a number of statutory exceptions and regulatory safe harbors protecting some common activities from prosecution, but protection is available only if all requirements are met. Our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statute. Instead, the legality of the arrangement will be evaluated on a case-by-case basis based on a cumulative review of all of its facts and circumstances. A claim arising from a violation of the federal Anti-Kickback Statute also constitutes a fraudulent claim for purposes of the False Claims Act (“FCA”). Other federal and state anti-kickback statutes exist. For example, another healthcare anti-kickback statute prohibits certain payments related to referrals of patients to certain providers (such as clinical laboratories) and applies to services reimbursed by private health plans as well as government health care programs.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Federal and state false claims laws, such as the FCA, generally prohibit anyone from knowingly and willfully, among other activities, presenting or causing to be presented, payment to third party payors (including Medicare and Medicaid) claims for drugs or services that are false or fraudulent. Pharmaceutical and other healthcare companies have been prosecuted under these laws for engaging in a variety of different types of conduct that “caused” the submission of false claims to federal healthcare programs. Such laws are not always limited to activities involving government programs or payors. For example, a federal healthcare fraud statute prohibits the knowing and willful execution, or attempt to execute, a scheme to defraud a health care benefit program, including private health plans, or obtain, through false or fraudulent pretenses, money or property owned by, or under the custody or control of, such a health care benefit program. 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and “sunshine reporting”). State and local laws may also require disclosure of pharmaceutical pricing information and marketing expenditures or licensure of sales representatives. Manufacturers must also submit information to the FDA on the identity and quantity of drug samples requested and distributed by a manufacturer during each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Biopharmaceutical manufacturers are also subject to federal pricing and price reporting laws. Such laws require manufacturers to calculate and report complex pricing metrics to government programs, where such reported prices may be used in the calculation of reimbursement and/ or discounts on approved products. The laws may also require biopharmaceutical manufacturers to offer products at discounted prices to specific government programs or specific purchasers as a condition for participation in certain government health benefit programs. Federal consumer protection and unfair competition laws broadly regulate marketplace activities and activities that potentially harm consumers.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distribution of biological products is subject to additional requirements and regulations, including extensive record-keeping, licensing, storage, and security requirements intended to prevent the unauthorized sale of such products. Sanctions for the violation of healthcare laws vary by law but may be significant and compliance is challenging. For example, violations of fraud and abuse laws may be punishable by criminal or civil sanctions, including fines and civil monetary penalties, and/or exclusion from federal health care programs (including Medicare and Medicaid). The scope of the federal and the various analogous state anti-kickback, false claims, and similar fraud and abuse laws vary, but is generally broad. Many of the fraud and abuse laws and regulations contain ambiguous requirements or require administrative guidance for implementation. Federal and state authorities are paying increased attention to enforcement of these laws within the pharmaceutical industry, and private individuals have been active in alleging violations of the laws and bringing suits on behalf of the government under the FCA as evidenced by numerous significant settlements. Violations of international fraud and abuse laws could result in similar penalties, including exclusion from participation in health programs outside the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Biopharmaceutical companies are subject to numerous and evolving U.S. federal and state laws and regulations governing the collection, use, disclosure, transfer, and security of personal information, including health-related information, any of which may impose operational constraints, create compliance complexity, and increase enforcement and litigation exposure. U.S. federal and state frameworks include HIPAA, as amended by the Health Information Technology for Economic and Clinical Health Act (“HITECH”), and its implementing regulations (including the Privacy, Security, Breach Notification, and Enforcement Rules), state health information privacy laws, state data breach notification laws, a growing number of state comprehensive consumer privacy laws, as well as other consumer protection laws and regulations that could apply to our operations or the operations of our partners. Certain sector and data specific laws, including those governing marketing communications, data security, and the sale or transfer of certain categories of sensitive data, as well as evolving state tort and other common law restrictions that may govern privacy and data security practices may be tested by the court system and enforced by enforcement authorities, may apply to parts of our operations as well as to the operations of our partners.</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HIPAA imposes standards for the privacy of protected health information (“PHI”), the security of electronic PHI, breach notification to individuals and regulators, and enforcement. HIPAA applies directly to “covered entities” (health care providers, health plans, and health care clearinghouses), as well as their “business associates” and their covered subcontractors that perform certain services that involve using, disclosing, creating, receiving, maintaining, or transmitting individually identifiable PHI for or on behalf of such covered entities. Requirements imposed by HIPAA on covered entities and business associates include: (i) entering into agreements that require business associates and their covered subcontracts to protect PHI provided by the covered entity against improper use or disclosure; (ii) complying with HIPAA privacy standards that limit the use and disclosure of information about a patient’s past, present, or future physical or mental health condition, or the patient’s receipt of health care, where the information identifies, or could reasonably be used to identify, the individual; (iii) implementing administrative, physical, and technical safeguards to ensure the confidentiality, integrity, and availability of electronic PHI and to protect against reasonably anticipated threats, hazards, or impermissible uses or disclosure; and (iv) reporting of breaches of unsecured PHI to affected individuals and, where applicable, regulators. Entities that violate HIPAA may face substantial civil, criminal, and administrative penalties, additional reporting and oversight obligations, and may be required to enter into resolution agreements and corrective action plans with the U.S. Department of Health and Human Services. Covered entities and business associates can also be held liable for violations committed by their agents, including downstream business associates, and HITECH has increased applicable penalties and authorized state attorneys general to bring civil action in federal court to enforce HIPAA and seek damages, injunctive relief and attorneys’ fees.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several states have enacted or are implementing health data specific statutes outside HIPAA that broadly regulate the collection, use, and disclosure of “consumer health data” including certain research analytics, website, and marketing activities. These laws may impose consent, notice, contract, and data security obligations, create limitations on sharing with third parties and processors, and provide private rights of action or enhanced enforcement, which could affect aspects of our operations. Even when HIPAA and state health information privacy laws do not apply, according to the FTC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certain state laws, such as the California Consumer Privacy Act of 2018, as amended by the California Privacy Rights Act of 2020 (“CCPA”) and other comprehensive state privacy laws, together with their implementing regulations, establish individual rights regarding personal information, impose notice, purpose-limitation, data minimization, and security obligations, and require specific contracts with service providers and other third parties. Some of these laws also require honoring opt-out signals for targeted advertising or certain profiling, restrict processing of “sensitive” personal information, and mandate assessments for higher-risk processing activities. Scope and exemptions vary by state: for example, the CCPA applies to personal information of consumers, business representatives, and employees, includes additional protections for “sensitive personal information”, and generally excludes PHI subject to HIPAA; other states may exempt entities regulated by HIPAA or data processed in the context of clinical trials, or neither, which complicates compliance and increases legal risks and costs. Other state data breach notification statutes, like the New York SHIELD Act, require notification to affected individuals and, in some cases, regulators and consumer reporting agencies following certain security incidents.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Use of artificial intelligence (“AI”) and machine learning technologies in research, analytics, and business operations is subject to a rapidly evolving legal and regulatory landscape. Federal and state authorities are increasingly focused on the responsible use of AI, including requirements for transparency, accountability, and the mitigation of algorithmic bias and discrimination. Several states have enacted or are considering laws that regulate the use of AI in processing personal information, mandate impact assessments for high-risk AI applications, and require disclosures regarding automated decision-making. We may be required to implement measures to assess and address potential biases in AI models, ensure explainability and fairness, and provide individuals with rights regarding automated processing of their data. In addition, federal agencies such as the FDA have issued guidance on the use of AI in medical device development and clinical research, which may impact our business. As regulatory expectations continue to develop, we may need to update our policies, procedures, and technical controls to ensure compliance with AI-related requirements. The requirements of these laws and regulations continue to develop, and new laws, amendments, or interpretive guidance may require us to modify our practices.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U.S. and other countries, patients generally rely on third-party payors to reimburse all or part of the costs associated with their treatment. Adequate coverage and reimbursement from government healthcare programs, such as Medicare and Medicaid, and private payors are critical to new product acceptance. Our ability to successfully commercialize our product candidates, if and when approved, will depend in part on the extent to which coverage and adequate reimbursement for these products and related treatments will be available from government healthcare programs, private health insurers, and other organizations.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Within the U.S., no uniform policy for coverage and reimbursement exists and coverage and reimbursement for drugs products can differ significantly from payor to payor, and a third party payor’s decision to cover a particular drug product does not ensure that other payors will also provide coverage for that drug product. Factors payors may consider in determining coverage include whether the product is:</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pharmaceutical or biological products and related services, examining the medical necessity and reviewing the cost effectiveness of such products and services. For products administered under the supervision of a physician, inadequate reimbursement for the product itself or the treatment or procedure in which the product is used may adversely impact physician utilization.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drug must be approved before it may be lawfully marketed. The requirements governing drug pricing vary widely from country to country. For example, drug pricing in the European Union (“EU”) is primarily at the national level, with each member state setting its own prices and reimbursement rules. To obtain reimbursement or pricing approval, countries may require the completion of clinical trials to establish relative clinical effectiveness to guide cost effectiveness assessment of anew treatment method to currently available therapies. A member state may approve a specific price for the medicinal product or implement a system of direct or indirect controls on the profitability of the company placing the medicinal product on the market. There can be no assurance that any country that has price controls or reimbursement limitations for pharmaceutical products will grant favorable reimbursement and pricing arrangements for any of our product candidates. Historically, products launched in the EU do not follow price structures of the United States and generally prices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we expect there will be additional challenges and amendments to the ACA in the future.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U.S., in recent years, the pharmaceutical industry has been a particular focus of healthcare reform efforts and has been significantly affected by major legislative, administrative and executive initiatives. For example, the Inflation Reduction Act of 2022 (IRA) included a number of changes intended to address rising prescription drug prices in Medicare Parts B and D. These changes included caps on Medicare Part D out-of-pocket costs, Medicare Part B and Part D drug price inflation rebates, a new Medicare Part D manufacturer discount drug program (replacing the previous coverage gap discount program) and a drug price negotiation program for certain high-spend Medicare Part B and D drugs. The IRA has had and will likely continue to have a significant impact on the pharmaceutical industry. Beyond the IRA, changes to Medicaid effective in 2024 eliminated the Medicaid rebate cap. Additionally, changes to certain Medicare price reporting requirements for drugs beginning in 2026 will likely increase the administrative and compliance burden for manufacturers.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Recently, drug pricing and payment has been subject to a number of reform initiatives.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that is anticipated to offer pharmaceutical direct-to-consumer channels has also been announced.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the proposed Medicare Part B and Part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state level, individual states are increasingly implementing initiatives designed to control pharmaceutical and biological product pricing, including price or patient reimbursement constraints, discounts, restrictions on certain product access and marketing cost disclosure and transparency measures, and measures to encourage importation from other countries and bulk purchasing. For example, certain states have formed Prescription Drug Affordability Boards that assert authority to set reimbursement rates and/or drug pricing in the state. States are also increasingly expanding or changing Medicaid supplemental rebate programs to secure additional rebates from manufacturers in exchange for drug coverage and to limit coverage of certain drugs for certain Medicaid patients or to all Medicaid patients. These and other future state-level reform activities could negatively affect Medicaid coverage and reimbursement for our products.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recent government actions also may affect prices or payments for prescription drugs. For example, the Trump Administration’s recently announced tariff on branded or patented drugs may adversely impact our ability to realize an adequate return on the sale of drug products (if approved) that are imported from abroad or manufactured using products or materials imported from abroad. The timeline for implementation of this tariff has not yet been finalized. As another example, the Budget Control Act of 2011,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Government Regulation Outside of the United States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marketing approval has been granted by the regulatory authorities in that country. The current approval process varies from country to country, and the time spent in gaining approval may vary from that required for FDA approval. In certain countries, the sales price of a product must also be agreed or approved by payors or the respective national health system before commercial launch. The pricing review period often begins after marketing approval. Although a product may receive marketing approval from a regulatory authority, the price agreed upon during the review process may not be commercially sustainable to justify a commercial launch in those countries.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Regulation in the European Union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Data and Security Laws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collection and use of personal health data and other personal data in the EU is governed by the provisions of the European General Data Protection Regulation (EU) 2016/679 (“GDPR”), which came into force in May 2018, and related data protection laws in individual EU Member States.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the security and confidentiality of the personal data. EU Member States may also impose additional requirements in relation to health, genetic and biometric data through their national legislation.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GDPR imposes specific restrictions on the transfer of personal data to countries outside of the European Economic Area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SCCs, data exporters are also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With regard to the transfer of data from the EU to the United Kingdom (“UK”), personal data may freely flow from the EEA to the UK since the EC deemed the UK to have an adequate data protection level, and these adequacy decisions were extended in December 2025, and are now valid until December 27, 2031.</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there are specific requirements relating to processing health data from clinical trials, including those related to public disclosure obligations provided in the EU Clinical Trials Regulation No. 536/2014 (“CTR”), European Medicines Agency (“EMA”), data transparency initiatives and voluntary commitments by industry. Failure to comply with these obligations could lead to government enforcement actions and significant penalties against us, harm to our reputation, and adversely impact our business and operating results.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following the UK’s withdrawal from the EU and the EEA, companies also have to comply with the UK’s data protection laws (including the UK GDPR (as defined in section 3(10) (as supplemented by section 205(4)) of the Data Protection Act 2018 (the “DPA 2018”)), the DPA 2018, and related data protection laws in the UK). In June 2025, the UK’s Data (Use and Access) Act took effect, which introduces certain relatively minor amendments to the data protection regime in the UK, and therefore creates slight divergences between the EU and UK Data protection regimes. Separate from the fines that can be imposed by the GDPR, the UK regime has the ability to fine up to the greater of £17.5 million or 4% of global turnover.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Companies are subject to specific transfer data sharing and transfer rules under the UK regime which broadly mirror the GDPR rules. We therefore also apply or rely on third parties to implement data sharing and cross-border transfer mechanisms and safeguards, as set out above, in these contexts. On February 2, 2022, the UK Secretary of State laid before the UK Parliament the international data transfer agreement (“IDTA”) and the international data transfer addendum to the EC’s standard contractual clauses for international data transfers (Addendum) and a document setting out transitional provisions. The IDTA and Addendum came into force on March 21, 2022 and replaced the old SCCs for the purposes of the UK regime.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Regarding transfers from the UK to the EEA, personal data may flow freely since the EEA is deemed to have an adequate data protection level for purposes of the UK regime. With regard to the transfer of personal data from the UK to the United States, the UK government has adopted an adequacy decision for the United States, the UK-US Data Bridge, which came into force on October 12, 2023. The UK-US Data Bridge recognizes the United States as offering an adequate level of data protection where the transfer is to a U.S. company participating in the EU-US Data Privacy Framework and the UK Extension.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EU has also recently implemented a number of cybersecurity laws, some of which are applicable to the healthcare industry. For example, the Network and Information Security Directive (Directive (EU) 2022/2555) applies to organizations operating in the EU in the healthcare sector and imposes stringent cybersecurity obligations on in-scope organizations, including in relation to supply chain management and incident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and Biologic Development Process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EU Clinical Trials Regulation, which replaced the Clinical Trials Directive and has been in force since 2022, aims to harmonize and streamline clinical trial processes across Member States through a centralized application system, the Clinical Trials Information System (CTIS), enabling sponsors to submit a single application for approval. One national regulatory authority, designated as the reporting Member State, leads the validation and evaluation of applications in consultation with other concerned Member States. Applications may be amended and resubmitted if rejected, and approved trials may commence in all relevant Member States, although individual states retain the right to “opt out” in limited circumstances. The Regulation also simplifies safety reporting rules, introduces enhanced transparency requirements such as mandatory submission of trial results summaries to the EU Database. Since January 31, 2023, all initial clinical trial applications must be submitted through CTIS which now serves as the single entry point for clinical trial-related information and data. By January 31, 2025, all ongoing trials approved under the former Clinical Trials Directive must transition to CTIS and comply with the CTR. On July 19, 2023, the EC published guidance for this transition, clarifying that previously assessed documentation will not be reassessed, EU-endorsed templates do not require updates, and site suitability forms are only needed for new trial sites.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CTR, clinical trials must comply with national laws, regulations, and the applicable GCP and GLP standards, and the International Council for Harmonization of Technical Requirements for Pharmaceuticals for Human Use (“ICH”) guidelines on Good Clinical Practice, as well as the ethical principles outlined in the Declaration of Helsinki.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Marketing Authorization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EEA, after completion of all required clinical testing, pharmaceutical products may only be placed on the market after obtaining an MA. To obtain an MA of a drug under EU regulatory systems, an applicant can submit an MAA through, amongst others, a centralized or decentralized procedure, as detailed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Centralized Authorization Procedure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that is issued by the EC following the scientific assessment of the application by the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and viral diseases). For medicinal products containing a new active substance for indications that do not fall within the mandatory centralized procedure, they are eligible for centralized assessment if they constitute significant therapeutic, scientific or technical innovations or for which the grant of a MA through the centralized procedure would be in the interest of public health at EU level.</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(“CHMP”) established at the EMA is responsible for the initial assessment of an MAA. The CHMP also oversees the scientific assessment of various post-authorization and maintenance activities, including the assessment of variations or extensions to an existing MA. The standard timeframe for the evaluation of an MAA by the EMA’s CHMP is 210 days from receipt of a valid MAA, excluding clock stops for the applicant to provide additional written or oral information in response to questions asked by the CHMP. As a result,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may reduce the time frame to 150 days if the applicant provides sufficient justification for an accelerated assessment. The CHMP will provide a positive opinion regarding the application only if it meets the required standards for quality, safety and efficacy. This opinion is then transmitted to the EC, which has the ultimate authority for granting MA.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Decentralized Authorization Procedure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decentralized procedure permits companies to file identical MAAs for a medicinal product not falling within the mandatory centralized procedure to the competent authorities in various EU Member States simultaneously if such medicinal product has not received marketing approval in any EU Member State. In this procedure, the reference member state is appointed to lead the scientific review for the agreement with the competent authorities of the other EU Member States concerned by the procedure. A member state may refuse to accept the assessment provided by the reference member state on grounds of a potential serious risk to public health that is defined as a situation where there is a significant probability that a serious hazard resulting from a human medicinal product in the context of its proposed use will affect public health.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Plan</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w:t>
      </w:r>
    </w:p>
    <w:p>
      <w:pPr>
        <w:spacing w:after="0" w:line="1" w:lineRule="exact"/>
        <w:rPr>
          <w:sz w:val="20"/>
          <w:szCs w:val="20"/>
          <w:color w:val="auto"/>
        </w:rPr>
      </w:pPr>
    </w:p>
    <w:p>
      <w:pPr>
        <w:jc w:val="both"/>
        <w:ind w:firstLine="8"/>
        <w:spacing w:after="0" w:line="253" w:lineRule="auto"/>
        <w:tabs>
          <w:tab w:leader="none" w:pos="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All RMPs for centrally authorized products are published by the EMA, subject only to limited redactions.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 Validity Period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authorization which is not followed by the actual placing of the drug on the EU market (in case of centralized procedure) or on the market of the authorizing member state within three years after authorization ceases to be valid.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UK applies a rule, consistent with directly applicable EU law, requiring that nationally approved medicinal products must be placed on the market within three years from the date the marketing authorization is granted. When the Medicines and Healthcare products Regulatory Agency (MHRA) becomes aware that the three-year period is approaching expiry, it will notify the marketing authorization holder in advance that the authorization will cease to be valid if the product is not marketed within the required timeframe. The MHRA provides notification to the marketing authorization holder in both scenarios referenced previously: first, where a product has held a marketing authorization for three years but has not been placed on the market at all; and second, where a product was previously marketed but has subsequently not been placed on the market for a consecutive period of three years. This process ensures compliance with regulatory requirements and maintains the integrity of the national medicines supply.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4" w:name="page35"/>
    <w:bookmarkEnd w:id="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UK’s exit from the EU, the three-year “sunset clause” for centrally authorized products in the UK was effectively reset from the date of conversion (January 1, 2021). This means that any product not placed on the market in Great Britain by early 2024 risked losing its validity unless the appropriate notification was made. The Medicines and Healthcare products Regulatory Agency (MHRA) is responsible for managing this process for UK marketing authorizations (PLGB MAs), requiring marketing authorization holders to provide updates on the marketing status of their products. The Windsor Framework agreement establishes that, effective from January 1, 2025, the Medicines and Healthcare products Regulatory Agency (MHRA) will serve as the sole regulatory authority for approving medicines for the entire UK market, encompassing both Northern Ireland and Great Britain. Under the new arrangements, a unified UK-wide authorization process will apply, ensuring that medicines in Northern Ireland are regulated by the MHRA in the same manner as in Great Britain.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EU Member States, the three-year period will start running from the last date the drug was placed on the UK market before the end of the Brexit Transition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Therapy Medicinal Products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EU, medicinal products, including ATMPs are subject to extensive pre- and post-market regulation by regulatory authorities at both the EU and national levels. ATMPs comprise gene therapy products, somatic cell therapy products and tissue engineered products, which are genes, cells or tissues that have undergone substantial manipulation and that are administered to human beings in order to cure, diagnose or prevent diseases or regenerate, repair or replace a human tissue. Pursuant to Regulation (EC) No 1394/2007, the Committee for Advanced Therapies (“CAT”) is responsible in conjunction with the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Although such guidelines are not legally binding, compliance with them is often necessary to gain and maintain approval for product candidates.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mandatory RMP, the holder of a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Exceptional Circumstances and Conditional Approval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is valid for one year and must be renewed annually, but it can be converted into a standard MA once the MA holder fulfils the obligations imposed and the complete data confirm that the medicine’s benefits continue to outweigh its risks.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EU pharmaceutical law, reference medicinal products are granted 8 years of data exclusivity, during which generic and biosimilar manufacturers cannot rely on the originator’s non-clinical and clinical data for regulatory approval. This is followed by 2 years of marketing exclusivity, preventing generics and biosimilars from entering the market for a total of 10 years. If, within the first 8 years, the reference product is approved for a new indication that provides significant clinical benefit, the exclusivity period may be extended to 11 years. These rules ensure that generics and biosimilars cannot seek approval or enter the market until the exclusivity periods have expired, balancing incentives for innovation with future market competition.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reference medicinal product for data and marketing exclusivity typically contains a new active substance and requires a full dossier, including pharmaceutical, non-clinical, and clinical trial data, for approval. The European Medicines Agency (EMA), based on the scientific assessment and opinion of its Committee for Medicinal Products for Human Use (CHMP), determines whether a product contains a new active substance. Data and marketing exclusivity do not prevent other companies from generating their own data through independent development to demonstrate the safety, quality, and efficacy of their own products.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Recent reforms introduced through the EU Pharma Package and the proposed Biotech Act bring significant changes, including streamlined authorization procedures, enhanced measures for access and affordability, stricter management of medicine shortages, strengthened post-market surveillance, and new requirements addressing environmental and ethical considerations. These initiatives are designed to modernize and harmonize medicines regulation, facilitate patient access to innovative therapies, and provide robust oversight of emerging technologies across the EU.</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legislative process for the EU Pharma Package began with the European Commission’s proposal in April 2023, followed by the development of positions by the European Parliament and the Council. This culminated in Trilogue negotiations, with a political agreement reached in December 2025. The agreed text now awaits formal adoption by both the Parliament and Council, after which it will be published in the Official Journal of the EU. The new Directive and Regulation will then enter into force following a transition period of 18 to 36 months, ultimately modernizing EU pharmaceutical law to better support innovation, access, and supply. Under the agreed EU Pharma Package, companies launching new medicines will benefit from eight years of data protection and one year of market exclusivity, with a possible additional year for innovative products meeting specific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EU, companies developing a new medicinal product are obligated to study their product in children and must therefore submit a PIP together with a request for agreement to the EMA.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an MA on the basis of the pediatric clinical trials conducted in accordance with the approved PIP are eligible for a six-month extension of the protection under a supplementary protection certificate (if any is in effect at the time of approval), or, in the case of orphan medicinal products, a two-year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UK, the MHRA has established a closely aligned process, frequently accepting agreed EU PIPs and decisions to streamline UK submissions.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MHRA maintains UK-specific requirements, such as the need for a UK PIP for new medicines.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in the EU are subject to comprehensive regulatory oversight by the EMA, the EC and/or the competent regulatory authorities of the EU Member States. The regulatory oversight covers every stage of the authorization process, from initial grant of an approval to ongoing monitoring of compliance with EU cGMPs, manufacturing authorizations, pharmacovigilance rules and requirements governing advertising, promotion, sale, and distribution, recordkeeping, importing, and exporting of medicinal products.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regulatory requirements are designed to ensure that the safety, quality, and efficacy standards of medicinal products are consistently maintained throughout their lifecycle. Failure by us or by any of our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sanctions. These include delays or refusal to authorize the conduct of clinical trials or to grant MA, product withdrawals and recalls, product seizures, withdrawal or suspension of authorizations, restrictions on regulated activities such as production, distribution, manufacturing or clinical trials, operating restrictions, and financial penalties.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holder of an MA for a medicinal product must also comply with EU pharmacovigilance legislation and its related regulations and guidelines, which entail many requirements for conducting pharmacovigilance, or the assessment and monitoring of the safety of medicinal products.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pharmacovigilance rules require holders of MAs the obligation to develop a system capable of collecting, collating, assessing, and reporting post-authorization data to monitor the ongoing risks and benefits of marketed medicinal products, as well as the requirement to conduct additional clinical studies or post-authorization safety or efficacy studies to address uncertainties about the risk-benefit balance, or to measure the effectiveness of risk-management measures. Such post-authorization measures may be time-consuming and expensive and could impact our profitability. MA holders must establish and maintain a pharmacovigilance system designed to monitor the safety of authorized medicinal products and detect any change to their risk-benefit balance and appoint an individual qualified person for pharmacovigilance, who is responsible for the oversight of that system. Key obligations include expedited reporting of unexpected serious adverse reactions and submission of Periodic Safety Update Reports (“PSURs”) in relation to medicinal products for which they hold MAs. The EMA reviews PSURs for medicinal products authorized through the centralized procedure. If the EMA, based on the scientific assessment conducted by its advisory committees, determines that the risk-benefit profile of a product has changed, it may issue an opinion recommending suspension, withdrawal, or variation of the existing MA. The scientific opinion must be ratified by the EC in a legally binding decision. If the MA holder fails to meet the obligations set out in the EC’s decision, the validity of the MA may be compromised. For centrally authorized products, non-compliance with pharmacovigilance requirements can result in regulatory sanctions, including financial penalties imposed by the EC.</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More generally, non-compliance with pharmacovigilance obligations can lead to the variation, suspension or withdrawal of the MA for the product or imposition of financial penalties or other enforcement measures.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7" w:name="page38"/>
    <w:bookmarkEnd w:id="3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cGMP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and the terms of a marketing authorization or clinical trial authorization, before releasing the product for commercial distribution in the EU or for use in a clinical trial. Manufacturing facilities are subject to periodic inspections by the competent authorities for compliance with GMP.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Promotion Regulations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advertising and promotion of our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its promotional activities with healthcare professionals.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Legislation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Regulations in the UK and Other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(“TCA”),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were formed as a Delaware corporation in 1992 under the name “Nuvelo, Inc.” and subsequently, in 2009, we completed a business combination with ARCA biopharma, Inc. On August 29, 2024, we completed the Merger with Pre-Merger Oruka and changed our name from “ARCA biopharma, Inc.” to “Oruka Therapeutics, Inc.” Our corporate headquarters are located at 855 Oak Grove Avenue, Suite 100, Menlo Park, California 94025. The telephone number at our corporate headquarters is (650) 606-7910. Our corporate website address is </w:t>
      </w:r>
      <w:r>
        <w:rPr>
          <w:rFonts w:ascii="Times New Roman" w:cs="Times New Roman" w:eastAsia="Times New Roman" w:hAnsi="Times New Roman"/>
          <w:sz w:val="18"/>
          <w:szCs w:val="18"/>
          <w:i w:val="1"/>
          <w:iCs w:val="1"/>
          <w:color w:val="auto"/>
        </w:rPr>
        <w:t>www.orukatx.com</w:t>
      </w:r>
      <w:r>
        <w:rPr>
          <w:rFonts w:ascii="Times New Roman" w:cs="Times New Roman" w:eastAsia="Times New Roman" w:hAnsi="Times New Roman"/>
          <w:sz w:val="18"/>
          <w:szCs w:val="18"/>
          <w:color w:val="auto"/>
        </w:rPr>
        <w:t>. We do not incorporate information contained on, or accessible through, our website into this Annual Report on Form 10-K, and you should not consider it part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68 full-time employees of which 51 employees were in research and development and the remaining 17 employees worked in finance, legal, business development, human resources, and administrative support. All our full-time employees are located in the United States. We also engage temporary employees and consultants to augment our existing workforce. None of our employees are represented by a labor union or covered under a collective bargaining agreement. We consider our relationship with our employees to be good.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that attracting, motivating, and retaining talent at all levels is vital to continuing our success. We invest in our employees through high-quality benefits, professional development opportunities, and various health and wellness initiatives and offer competitive compensation packages (base salary and incentive plans), ensuring fairness in internal compensation practices. The principal purposes of our incentive plans (bonus and equity) are to align with the long-term interests of our stakeholders and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a number of risks that could harm our business, financial condition, results of operations and/or growth prospects or cause our actual results to differ materially from those contained in forward-looking statements we have made in this Form 10-K and those we may make from time to time. 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In addition,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is not exhaustive and is qualified by reference to the full set of risk factors set forth in Item 1A “Risk Factors” of this Form 10-K. Please carefully consider all the information in this Form 10-K, including the full set of risks set forth in the “Risk Factors” section and in our other filings with the U.S. Securities and Exchange Commission (“SEC”), before making an investment decision regarding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9" w:lineRule="exact"/>
        <w:rPr>
          <w:sz w:val="20"/>
          <w:szCs w:val="20"/>
          <w:color w:val="auto"/>
        </w:rPr>
      </w:pPr>
    </w:p>
    <w:p>
      <w:pPr>
        <w:ind w:left="660" w:hanging="324"/>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biopharmaceutical company with a limited operating history on which to assess our business. Our clinical trials remain ongoing and we have no products approved for commercial sale.</w:t>
      </w:r>
    </w:p>
    <w:p>
      <w:pPr>
        <w:spacing w:after="0" w:line="16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incurred losses and we anticipate that we will continue to incur losses for the foreseeable future.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the capital that we need to support our business plans.</w:t>
      </w:r>
    </w:p>
    <w:p>
      <w:pPr>
        <w:spacing w:after="0" w:line="225" w:lineRule="exact"/>
        <w:rPr>
          <w:rFonts w:ascii="Times New Roman" w:cs="Times New Roman" w:eastAsia="Times New Roman" w:hAnsi="Times New Roman"/>
          <w:sz w:val="18"/>
          <w:szCs w:val="18"/>
          <w:color w:val="auto"/>
        </w:rPr>
      </w:pPr>
    </w:p>
    <w:p>
      <w:pPr>
        <w:ind w:left="660" w:hanging="324"/>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rights to our technologies or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Regulatory Approval and Commercialization</w:t>
      </w:r>
    </w:p>
    <w:p>
      <w:pPr>
        <w:spacing w:after="0" w:line="229" w:lineRule="exact"/>
        <w:rPr>
          <w:sz w:val="20"/>
          <w:szCs w:val="20"/>
          <w:color w:val="auto"/>
        </w:rPr>
      </w:pPr>
    </w:p>
    <w:p>
      <w:pPr>
        <w:ind w:left="660" w:hanging="324"/>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25" w:lineRule="exact"/>
        <w:rPr>
          <w:rFonts w:ascii="Times New Roman" w:cs="Times New Roman" w:eastAsia="Times New Roman" w:hAnsi="Times New Roman"/>
          <w:sz w:val="18"/>
          <w:szCs w:val="18"/>
          <w:color w:val="auto"/>
        </w:rPr>
      </w:pPr>
    </w:p>
    <w:p>
      <w:pPr>
        <w:ind w:left="660" w:right="20" w:hanging="324"/>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two most advanced programs, ORKA-001 and ORKA-002. We may not achieve our projected development goals in the time frames we announce and expect, or at all.</w:t>
      </w:r>
    </w:p>
    <w:p>
      <w:pPr>
        <w:spacing w:after="0" w:line="161"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programs for the diseases addressed by our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w:t>
      </w:r>
    </w:p>
    <w:p>
      <w:pPr>
        <w:spacing w:after="0" w:line="2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requirements for the chemistry, manufacturing and control of our programs.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(“FDA”) and comparable foreign regulatory approval processes are lengthy and time consuming and we may not be able to obtain or may be delayed in obtaining regulatory approvals for our product candidates. Moreover, even if we obtain regulatory approval, we will be subject to ongoing regulatory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patents and other proprietary rights is uncertain and we may fail in obtaining or maintaining necessary rights to our programs.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challenging the inventorship or ownership of our intellectual property and may be subject to patent infringement claims or may need to file such claims.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licensed from third parties may be subject to retained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agreements with third parties to develop our product candidates. Our business could be negatively impacted if we are unable to maintain these arrangements or if these arrangements are not successful, for example, if such third parties fail to carry out their contractual duties.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manufacturing partners and manufacturing sites may fail to perform adequately in their efforts to support the manufacture of our product candidates and we may need to switch or create third-party manufacturer redundancies.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Other Risks Related to Our Business, and Risks Related to Owning Our Common Stock</w:t>
      </w:r>
    </w:p>
    <w:p>
      <w:pPr>
        <w:spacing w:after="0" w:line="229"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key personnel, and we may be harmed if we cannot recruit and retain highly qualified personnel to successfully implement our business strategies.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macroeconomic or geopolitical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equity and debt could result in additional dilution to our stockholders and could cause our stock price to decline.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or the anticipation of such sales, by existing stockholders could cause our stock price to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biopharmaceutical company with a limited operating history on which to assess our business; our clinical trials are ongoing, we have no products approved for commercial sale, we have historically incurred losses, and we anticipate that we will continue to incur significant losses for the foreseeable future. Moreover, we have never generated revenue from product sales and may never be profitable.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clinical stage biopharmaceutical company with a limited operating history. We will need to raise substantial additional capital to continue to fund our operations in the future. We have based our estimates on assumptions that may prove to be wrong and we could exhaust our available financial resources sooner than we currently anticipate. We have devoted substantially all of our financial resources to identifying, acquiring, and developing our product candidates, organizing and staffing our company, and providing general and administrative support for our operations.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 capital may not be available in sufficient amounts or on reasonable terms, if at all. The current market environment for small and midcap biotechnology companies and broader macroeconomic factors may preclude us from successfully raising additional capital on the timeline we require. For example, escalating geopolitical tensions, elevated interest rates, and economic and regulatory uncertainty have caused market volatility. Such volatility can have an adverse effect on the ability to raise capital, particularly in the biotechnology and biopharmaceutical industries. In addition, it may be difficult for us to raise additional capital if we experience any issues that delay or prevent the regulatory approval or our ability to commercialize any of our product candidates.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expect our losses to increase as our product candidates enter advanced clinical trials. It may be several years, if ever, before we complete pivotal clinical trials or have a product candidate approved for commercialization. We expect to invest significant funds into the research and development of our programs to determine the potential to advance product candidates to regulatory approval. If we obtain regulatory approval to market a product candidate, our future revenue will depend upon the size of approved markets, and our ability to achieve sufficient market acceptance, pricing, coverage and adequate reimbursement from third-party payors, and adequate market share for our products. However, even if we obtain adequate market share for our products, we may never become profitable despite obtaining such market share and acceptance of our products.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and our expenses will increase substantially if and as we:</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our product candidates, including advancing our product candidates into larger, more expensive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chemistry, manufacturing and control development, registration, and validation, including the manufacture of our product candidates by third parties, including increasing volumes manufactured by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efforts to discover and develop new product candidates, including initiating preclinical studies or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and reimbursement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 and market for ourselves;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third-party license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protect, and expand our intellectual property portfolio;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the development and potential regulatory approval of our product candidates such as safety issues, manufacturing delays, clinical trial delays, longer follow-up for planned studies or trials, additional major studies or trials, or supportive trials necessary to support marketing approval.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41" w:name="page42"/>
    <w:bookmarkEnd w:id="4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raise additional capital when required or on acceptable terms, we may be required to curtail our product development activities and other activities commensurate with the magnitude of the shortfall and our product development activities may cease altogether, which could materially harm our business, financial condition, and results of operations. To the extent that the costs of our activities exceed our current estimates and we are unable to raise sufficient additional capital to cover such costs, we will need to reduce operating expenses, sell assets, enter into strategic transactions, or effect a combination of the above. No assurance can be given that we will be able to enter into any of such transactions on acceptable terms, if at all. Any of the following events could have a material adverse effect on our business, operating results, and prospects:</w:t>
      </w:r>
    </w:p>
    <w:p>
      <w:pPr>
        <w:spacing w:after="0" w:line="18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scaling back, or discontinuation of the development or commercialization of our product candidates;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strategic partnerships, or amending existing partnerships, for research and development programs at an earlier stage than otherwise would be desirable or that we otherwise would have sought to develop independently, or on terms that are less favorable than might otherwise be available in the future;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 of technology assets, or the relinquishing or licensing of assets on unfavorable terms, of our rights to technologies or any of our product candidates that we otherwise would seek to develop or commercialize ourselves;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the sale of the company to a third party at a price that may result in a loss on investment for our stockholders;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for bankruptcy or ceasing operations altogether.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raising additional capital, the amount of capital we raise may be limited or restricted due to investor demand, market conditions, or other factors.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securities or convertible debt securities, the ownership interest of our stockholders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 For example, in September 2024, we entered into a Securities Purchase Agreement with certain institutional and accredited investors, whereby the investors purchased an aggregate of 5,600,000 shares of common stock, 2,439 shares of Series A Preferred Stock and pre-funded warrants to purchase an aggregate of 680,000 shares of common stock and in November 2024, each outstanding share of Series A Preferred Stock converted into 1,000 shares of common stock. Furthermore, in September 2025, we entered into a Securities Purchase Agreement with certain institutional and accredited investors, whereby the investors purchased an aggregate of 10,933,405 shares of our common stock and pre-funded warrants to purchase 1,066,666 shares of common stock. In addition, in October 2025, we entered into a sales agreement with TD Securities (USA) LLC acting as our sales agent pursuant to which we may issue and sell shares of our common stock from time to time through an at-the-market equity offering program, for aggregate gross proceeds of up to $200.0 million, under which we have sold shares of our common stock resulting in net proceeds of $38.9 million as of March 2026.</w:t>
      </w:r>
    </w:p>
    <w:p>
      <w:pPr>
        <w:spacing w:after="0" w:line="190"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Moreover, 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Regulatory Approval and Commercialization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programs for the diseases addressed by our product candidates.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drugs is highly competitive. If approved, our product candidates will face significant competition and our failure to effectively compete may prevent us from achieving significant market penetration. Many of the companies with which we are currently competing or will compete against in the future have significantly greater financial resources and expertise in research and development, manufacturing, preclinical testing, clinical trials,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establishing clinical trial sites, recruiting participants for clinical trials, as well as in acquiring technologies complementary to, or necessary for,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competitors have developed, are developing, or may develop programs and processes that compete with ours. Our success will depend partially on our ability to develop and commercialize products that have a competitive safety, efficacy, dosing and/or presentation profile. Our commercial opportunity and success may be reduced or eliminated if competing products are safer, more effective, have a more attractive dosing profile or presentation, or are less expensive than our products, or if biosimilars enter the market and achieve broader or more rapid market acceptance than our products.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in development or suffer delays. We depend on the successful initiation and completion of clinical trials for our product candidates to advance our product development plans.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it will be many years before we can obtain regulatory approval for and commercialize any product candidate, if ever. Clinical testing is expensive, difficult to design and implement, and can take years to complete and is uncertain as to outcome. A failure of one or more of our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experience a number of events affecting our product development timeline, including the following:</w:t>
      </w:r>
    </w:p>
    <w:p>
      <w:pPr>
        <w:spacing w:after="0" w:line="225" w:lineRule="exact"/>
        <w:rPr>
          <w:sz w:val="20"/>
          <w:szCs w:val="20"/>
          <w:color w:val="auto"/>
        </w:rPr>
      </w:pPr>
    </w:p>
    <w:p>
      <w:pPr>
        <w:jc w:val="both"/>
        <w:ind w:left="660" w:right="20" w:hanging="328"/>
        <w:spacing w:after="0" w:line="289"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show safety or efficacy, show meaningful improvement in efficacy or convenience compared to competitors, produce negative or inconclusive results, or our product candidates may have undesirable side effects or unexpected characteristics. We may decide, or regulators may require additional preclinical studies or clinical trials or we may decide to abandon a product development program altogether.</w:t>
      </w:r>
    </w:p>
    <w:p>
      <w:pPr>
        <w:spacing w:after="0" w:line="157"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clinical trial materials or other materials necessary to conduct clinical trials of our product candidates may be insufficient, unsafe or inadequate.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the FDA, or ethics committees may not authorize us or our investigators to commence or conduct a clinical trial at one or more prospective trial sites; or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establish an appropriate safety profile for a product candidate based on clinical or preclinical data as well as data emerging from other therapies in the same class as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especially if regulatory bodies require completion of non-inferiority or superiority trials.</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these clinical trials may be slower than we anticipate or subjects may drop out of these clinical trials or fail to return for post-treatment follow-up at a higher rate than we anticipate.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conduct or data analysis errors may occur, including, but not limited to, failure by investigators or participants to adhere to the study protocol or data entry and/or labeling errors.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and/or contract research organizations.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or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 and could potentially complicate the analysis of data or affect our product development timeline.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of our programs may be greater than we anticipate.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or efficacy concerns about our programs.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and our product development timeline may be adversely affected.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clinical trials do not produce favorable results, our ability to obtain regulatory approval for our product candidates will be adversely impacted. Moreover, the combined data from our trials may be inconclusive or may not be sufficient to ultimately gain marketing approval from the FDA or other regulatory authorities. There are equivalent processes and risks applicable to clinical trial applications in other countries outside of the United States, including the European Union (“EU”).</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part due to the competitive landscape for immunology and inflammation (commonly referred to as “I&amp;I”) indications, we may also face increased competition for clinical trial enrollment. Clinical trial enrollment will depend on many factors, including if potential clinical trial participants choose to undergo treatment with approved products or enroll in competitors’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 and have an adverse effect on our business and operations.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two most advanced programs, ORKA-001 and ORKA-002, and our clinical trials of such programs may not be successful.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develop and timely obtain marketing approval for, and then successfully commercialize, our two most advanced programs, ORKA-001 and ORKA-002. We are investing the majority of our efforts and financial resources into the research and development of these programs. Our Phase 1 clinical trial of ORKA-001 in healthy volunteers is fully enrolled and is ongoing for purposes of continued patient follow-up and data collection, and remains blinded. Our Phase 2a clinical trial of ORKA-001 in patients with moderate-to-severe psoriasis (“PsO”) remains ongoing and we commenced dosing in a dose-ranging Phase 2b trial of ORKA-001 in moderate-to-severe PsO in the fourth quarter of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Phase 1 clinical trial of ORKA-002 in healthy volunteers is fully enrolled and remains ongoing for purposes of continued patient follow-up and data collection, and remains blinded. In addition, we expect to commence a Phase 2 clinical trial of ORKA-002 in patients with moderate-to-severe PsO in the first half of 2026 and plan to initiate a Phase 2 clinical trial of ORKA-002 in hidradenitis suppurativa (“HS”) in the second half of 2026.</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Currently, we believe that the success of our programs is dependent on our product candidates demonstrating a longer half-life in humans than monoclonal antibodies currently marketed and in development as we believe this longer half-life has the potential to result in a more favorable dosing schedule for our product candidates, assuming they successfully complete clinical development and obtain marketing approval. To the extent we do not observe this extended half-life, it would significantly and adversely affect the clinical and commercial potential of our product candidates.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or expect, the development and potential commercialization of our product candidates may be delayed and our expenses may increase and, as a result, our business may be materially harmed and our stock price may decline.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announce the timing of the anticipated accomplishment of various scientific, clinical, regulatory, or other product development goals, which we sometimes refer to as milestones. These milestones may include the commencement or completion of scientific studies and clinical trials, such as the expected timing of our clinical trials in our target indications, anticipated data analysis, and the data results from our clinical trials, as well as the submission of regulatory filings. All of these milestones are and will be based on numerous assumptions. The actual timing of these milestones can vary dramatically compared to our estimates, in some cases for reasons beyond our control. If we do not meet these milestones or the timing of the milestones as publicly announced, the development and potential commercialization of our product candidates may be delayed or never achieved and, as a result, our business may be materially harmed and our stock price may decline. Additionally, delays relative to our projected timelines are likely to cause overall expenses to increase, which may require us to raise additional capital sooner than expected and on terms less than desirable, and prior to achieving targeted development milestones.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Any drug delivery device that we may use to deliver our product candidates may have its own regulatory, development, supply and other risks.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delivering and expect to continue to deliver, our product candidates via a drug delivery device, such as pre-filled syringe, an injector, or other delivery system. We currently expect to utilize drug delivery devices authorized for marketing under clearances of approvals held by third parties. Where approval of a drug product and device is sought under a single application, the increased complexity of the review process may delay approval. Our product candidates may not be approved or may be substantially delayed in receiving approval if the devices that we choose to develop do not gain and/or maintain their own regulatory approvals or clearances. In addition, some drug delivery devices are provided by single-source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Moreover, there may be unforeseen technical complications related to the development activities required to bring such a product to market, including primary container compatibility and/or dose volume requirements. Failure of third-party companies to supply the devices on time and in accordance with the agreed-upon specifications, to successfully complete studies on the devices in a timely manner, or to obtain or maintain required approvals or clearances of the devices could result in increased development costs, delays in or failure to obtain regulatory approval and delays in product candidates reaching patients.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lead programs is unproven, and we may not be successful in our efforts to build a pipeline of programs with commercial value.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worked with Paragon to leverage clinically validated mechanisms of action and incorporate advanced antibody engineering to optimize half-life and other properties designed to overcome limitations of existing therapies. We have entered into antibody discovery and option agreements (the “Option Agreements”) with Paragon Therapeutics, Inc. (“Paragon”) and Paruka Holding LLC to facilitate the discovery and development of certain research programs with respect to which we have signed a license agreement with Paragon. Our two most advanced programs, ORKA-001 and ORKA-002, are licensed from Paragon and are purposefully designed to improve upon existing product candidates and products while maintaining the same, well-established mechanisms of action. However, the scientific research that forms the basis of our efforts to develop programs using half-life extension technologies is ongoing and may not result in viable programs. There is limited clinical data available on product candidates utilizing half-life extension technologies, especially in I&amp;I indications, demonstrating whether they are safe or effective for long-term treatment in humans. The long-term safety and efficacy of these technologies and the extended half-lives and exposure profiles of our programs compared to currently approved products are unknown.</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ultimately discover that utilizing half-life extension technologies for our specific targets and indications and any programs resulting therefrom does not possess certain properties required for therapeutic effectiveness. In addition, programs using half-life extension technologies may demonstrate different chemical and pharmacological properties in human participants than they do in laboratory studies or preclinical studies, including the inability to demonstrate the same chemical and pharmacological properties in humans or the potential interaction with human biological systems in unforeseen, ineffective, or harmful ways.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products resulting from the research programs with respect to which we have signed license agreements with Paragon prove to be ineffective, unsafe or commercially unviable, such programs would have little, if any, value, which would have a material and adverse effect on our business, financial condition, results of operations, and prospects.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in the future seek to discover and develop programs that are based on novel targets and in the technologies that are unproven. If our discovery activities fail to identify novel targets or technologies for drug discovery, or such targets prove to be unsuitable for treating human disease, we may not be able to develop viable additional programs.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that is subject to delays and uncertain outcomes and results of earlier studies and trials may not be predictive of future clinical trial results. Further,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adequate efficacy and safety to result in regulatory approval to market any of our product candidates. Clinical testing can take many years to complete, and its outcome is inherently uncertain. Our clinical trials may not be conducted as planned or completed on schedule, if at all, and failure can occur at any time during the preclinical study or clinical trial process.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We plan to use the data from our current trials of our ORKA-001 and ORKA-002 programs to support further trials in PsO, HS, and potentially other I&amp;I indications. However, differences between early-stage clinical trials and later-stage clinical trials, including differences in trial design, among other things,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In addition, we rely on clinical trial site staff to measure psoriasis area severity index scores (PASI scores) and participants to provide feedback on measures such as measures of quality of life, which may involve subjective interpretation and variability, although training and standardized measurements will be provided to individuals in order to minimize subjectivity. Moreover, these measures can be influenced by factors outside of our control, and can vary widely within a clinical trial.</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be sure that the FDA, or comparable foreign regulatory authority, as applicable, will agree with our clinical development plan. We cannot assure that the submission of an Investigational New Drug (IND) application, clinical trial application, or similar application will result in the FDA or comparable foreign regulatory authorities, as applicable, allowing clinical trials to begin in a timely manner, if at all. If the FDA and/or comparable foreign regulatory authority requires us to materially modify our proposed trial designs, conduct additional trials or enroll additional participants, our development timelines may be delayed. Moreover, even if these trials begin, issues may arise that could suspend or terminate such clinical trials, including but not limited to delays or difficulties recruiting trial patients, delays or difficulties obtaining required IRB or ethics committee approval at each clinical trial site, failure by third parties or us to adhere to clinical trial protocols or failure to perform in accordance with current Good Clinical Practice or applicable regulatory requirements, or delays in reaching a consensus with regulatory authorities on trial design or implementation of a clinical trial, or our third party vendors not satisfying their obligations to us.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required to be materially modified or suspended or terminated by us, the IRBs, by a Data Safety Monitoring Board, if any,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need to adjust or abandon our business plans and we may incur significant additional costs.</w:t>
      </w:r>
    </w:p>
    <w:p>
      <w:pPr>
        <w:spacing w:after="0" w:line="190"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activities could be delayed or otherwise adversely affected if we encounter difficulties enrolling and maintaining participants in our current and future clinical trials. We depend on the successful completion of clinical trials for our product candidates.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participants who remain in a trial until conclusion would result in significant delays in completing clinical trials and increased development costs or may require us to abandon one or more clinical trials altogether. The enrollment of participants in current or future trials for any of our programs will depend on many factors, including if participants choose to enroll in our clinical trials, rather than using approved products, or if our competitors have ongoing clinical trials for programs that are under development for the same indications as our programs and participants instead enroll in such clinical trials. Even if we are able to enroll a sufficient number of participants for our clinical trials, we may have difficulty maintaining participants in such clinical trials.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or interim data from our clinical trials may change and are subject to audit and verification procedures, and should be viewed with caution until the final data are available. Our interpretation of such data is based on assumptions that may evolve as additional data become available, which could result in changes to conclusions regarding the safety, efficacy, timing, or likelihood of success of our clinical development programs.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that are based on a preliminary analysis of then-available data, and the results and related findings and conclusions are subject to change following a more comprehensive review of the data. We may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and our conclusions may change or be qualified as additional data are received, fully evaluated, and subjected to audit and verification procedures.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publicly disclose interim data from our preclinical studies and clinical trials. Such interim data are inherently preliminary and subject to the risk that one or more of the clinical outcomes may change as participant enrollment continues, additional data become available, as participants from our clinical trials pursue other treatments, or further analyses are conducted. In addition, third parties, including regulatory agencies, may not accept or agree with our assumptions, estimates, calculations, conclusions, or analyses or may interpret or weigh the importance of data differently, which could impact the perceived value of the particular product candidate, the approvability or commercialization of the particular product candidate, and our company and our business in general. In addition, others may not agree with what we determine is material or otherwise appropriate information to include in our public disclosure of a particular preclinical study or clinical trial.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preliminary, topline, or interim data that we report differ from actual results, or if final data or data from later stage clinical trials do not produce favorable results, our ability to obtain approval for, and commercialize, our product candidates may be harmed, which could harm our business, operating results, prospects or financial condition.</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reveal significant adverse events, undesirable side effects, or patient intolerance not seen in our preclinical studies or earlier clinical trials, and may result in a safety profile that could halt clinical development, inhibit regulatory approval, or limit commercial potential or market acceptance of any of our product candidates. We do not know whether any clinical trials we may conduct will demonstrate adequate efficacy and safety to result in regulatory approval to market any of our product candidates.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Results of our clinical trials could reveal an unacceptable severity and prevalence of side effects or patient intolerance, adverse events, or unexpected characteristics, and any of these occurrences could harm our business, financial condition, results of operations and prospects significantly. If significant adverse events or other side effects are observed in any of our clinical trials, we may have difficulty recruiting participants to such trials, participants may drop out of the trials, or we may have to suspend, materially modify or abandon the trials or our development efforts of one or more programs altogether. We, the FDA or other applicable regulatory authorities, or an IRB, may suspend or require the material modification of any clinical trials of any program or require that we repeat or conduct additional clinical trials at any time for various reasons, including safety and health risks or exposure to adverse side effects.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side effects do not preclude the product candidate from obtaining or maintaining marketing approval, undesirable side effects may inhibit market acceptance of the approved product due to their tolerability versus other therapies.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In addition, an extended half-life could prolong the duration of undesirable side effects, which could also affect our clinical trials or inhibit market acceptance.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even if we successfully advance our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candidate after approval and potentially over an extended period of use. Further, any clinical trials may not be sufficient to determine the effect and safety consequences of using our product candidates over a multi-year period or longer.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any of the foregoing events occur or if one or more of our product candidates prove to be unsafe, our pipeline could be affected, which would have a material adverse effect on our business, financial condition, results of operations, and prospects.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program and fail to capitalize on programs that may be more profitable or for which there is a greater likelihood of success.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initially focused on our most advanced programs, ORKA-001 and ORKA-002, and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be in a position where we may have to relinquish valuable rights to that product candidate through collaboration, licensing or other arrangements in cases in which we would have been more advantageous for us to retain sole development and commercialization rights to such product candidate. We may never receive approval to market and commercialize any product candidate.</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products resulting from our programs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resulting from one of our current or future programs, it may not gain market acceptance among physicians, patients, third-party payors or others in the medical community. Market acceptance of our product candidates will depend on many factors, including factors that are not within our control. Market participants with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Moreover, an extended half-life may make it more difficult for patients to change treatments and there may be a perception that half-life extension could exacerbate side effects, each of which may adversely affect our ability to gain market acceptance. Further, we may not generate or derive sufficient revenue from a product candidate and may not become or remain profitable if such product candidate is approved, but does not achieve an adequate level of acceptance.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programs may compete with our other programs, which could negatively impact our business and reduce our future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developing product candidates for PsO, HS, and may in the future develop our programs for other I&amp;I indications. Each such program targets a different mechanism of action. However, developing multiple programs for a single indication may negatively impact our business if the programs compete with each other. For example, concurrent clinical trials across multiple programs may compete for the enrollment of participants. In addition, the approval of multiple product candidates for the same indication could intensify market competition and limit our future revenues.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and may conduct in the future, clinical trials for programs at sites outside the United States, subjecting us to additional risks that may delay or adversely affect our product development timelines.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conducting clinical trials outside the United States and may continue to do so in the future. Conducting clinical trials outside the United States may expose us to additional operational and regulatory risks, including differing regulatory standards and review timelines and increased complexity in ensuring compliance with applicable laws and data protection requirements. Although the FDA may accept data from clinical trials conducted outside the United States, acceptance of this data is subject to conditions imposed by the FDA.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impose additional conditions, such as requiring us to modify our planned clinical trials to receive clearance to initiate such trials in the United States or to continue such trials once initiated.</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conducting clinical trials outside of the United States presents additional risks that may delay completion of our clinical trials. These risks include requirements for local ethics approvals, challenges in monitoring trial conduct and data integrity across jurisdictions, including the potential failure of investigators or enrolled participants in foreign countries to adhere to clinical protocol that could restrict or limit our ability to conduct our clinical trials, the administrative burdens of conducting clinical trials under multiple sets of foreign regulations, potential restrictions, such as local privacy restrictions, on data generated from the clinical trial, and diminished protection of intellectual property in some countries. Operations in foreign jurisdictions are subject to additional risks, including dependence on third party manufacturers or suppliers outside of the United States, as well as political and economic risks relevant to foreign countries.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Government and Regulatory Matters</w:t>
      </w:r>
    </w:p>
    <w:p>
      <w:pPr>
        <w:spacing w:after="0" w:line="225" w:lineRule="exact"/>
        <w:rPr>
          <w:sz w:val="20"/>
          <w:szCs w:val="20"/>
          <w:color w:val="auto"/>
        </w:rPr>
      </w:pPr>
    </w:p>
    <w:p>
      <w:pPr>
        <w:jc w:val="both"/>
        <w:ind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time-consuming and unpredictable. We may not be able to commercialize, or may be delayed in commercializing, our product candidates, and our ability to generate revenue may be materially impaired if we are not able to obtain, or if there are delays in obtaining, required regulatory approvals for our product candidates.</w:t>
      </w:r>
    </w:p>
    <w:p>
      <w:pPr>
        <w:spacing w:after="0" w:line="15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lengthy regulatory approval process as well as the unpredictability of clinical trial results may result in our failing to obtain or be delayed in obtaining approval to market our product candidates, which would significantly harm our business, results of operations and prospects. Before obtaining regulatory approvals for the commercial sale of our product candidates, we must demonstrate through lengthy, complex and expensive preclinical studies and clinical trials that our product candidates are both safe and effective for each targeted indication. In addition, securing regulatory approval also requires the submission of information about the drug manufacturing process to, and inspection of manufacturing facilities by, the relevant regulatory authority. Of the large number of drugs in development, only a small percentage successfully complete the FDA or foreign regulatory approval processes and are commercialized. Approval may never be obtained and the approval process can vary substantially based upon a variety of factors, including the type, complexity and novelty of the product candidates involved. While there are several approved products and product candidates in later stages of development for the treatment of PsO and for the treatment of HS, our programs incorporate advanced antibody engineering to optimize the half-life and formulation of antibodies, and to date, no such antibody has been approved by the FDA for the treatment of PsO or for HS.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failure to demonstrate that a product candidate’s benefits outweigh safety risks; regulatory authorities may disagree with our interpretation of clinical data or the data collected may not be acceptable or sufficient to support submission; or the results may not meet the level of statistical significance required for approval by the relevant regulatory authorities or otherwise considered insufficient by the FDA or comparable foreign regulatory authorities. Regulatory authorities may require the addition of labeling statements, such as a black box warning or other warnings or contraindications that could diminish the usage of the product or otherwise limit the commercial success of the affected product.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may be materially impaired.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meet requirements for the chemistry, manufacturing, and control of our programs.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receive approval of our products by the FDA and comparable foreign regulatory authorities, we must show that we and our CMO partners are able to characterize, control and manufacture our drug products safely and in accordance with regulatory requirements. This includes, among other things, manufacturing the active ingredient, developing an acceptable formulation, manufacturing the drug product, performing tests to adequately characterize the formulated product, documenting a repeatable manufacturing process in larger quantities as we move forward in our development programs, and demonstrating that our drug products meet stability requirements. As noted above, we may deliver our product candidates via a drug delivery device, which also requires us to meet certain chemistry, manufacturing and control requirements set forth by the FDA and other foreign regulatory authorities. Meeting these chemistry, manufacturing and control requirements is a complex task that requires specialized expertise. If we are not able to meet the chemistry, manufacturing, and control requirements, we may not be successful in our clinical trials or getting our product candidates approved by regulatory authorities.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biologics may face competition sooner than anticipated.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Healthcare and Education Reconciliation Act (the “ACA”), includes a subtitle called the Biologics Price Competition and Innovation Act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will remain subject to extensive ongoing regulatory obligations and continued regulatory review, which could result in restrictions on the use of the products, significant additional expenses, and penalties if we fail to comply with regulatory requirements or experience unanticipated issues with our product candidates.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regulatory approval, we will remain subject to ongoing regulatory requirements imposed by the FDA and comparable foreign authorities. These requirements may include post-approval safety and pharmacovigilance reporting, product labeling restrictions or warnings, risk management requirements such as a Risk Evaluation and Mitigation Strategy (“REMS”), post-marketing commitments or additional studies to further assess safety, efficacy, or real-world use, as well as compliance with applicable manufacturing and quality system regulations.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Regulatory authorities may also conduct periodic inspections of our manufacturing facilities or those of our third-party manufacturers and may take enforcement action if we or such third parties fail to comply with applicable regulatory requirements or if safety, quality, or manufacturing issues arise. Such actions could include labeling changes, restrictions on use or distribution, clinical holds, recalls or withdrawal of products, warning or untitled letters, fines, penalties, or other enforcement measures. Failure to comply with these ongoing obligations, or the emergence of unexpected safety or quality issues after commercialization, could result in significant additional costs, limit our ability to commercialize, and may materially harm our business.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or changes at the FDA, the SEC and other government agencies and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regulatory filings and our ability to commence clinical trials can be affected by a variety of factors, including government budget and funding levels, ability to hire and retain key personnel and accept the payment of user fees, statutory, regulatory and policy changes, disruptions caused by government shutdowns and public health crises. There have been mass layoffs of federal government employees since the start of the Trump administration in January 2025, the full impact of which is unclear at this time.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Furthermore, the Trump administration has made and is expected to continue to make changes in the leadership of various U.S. federal regulatory agencies and changes to U.S. federal government policy that have led to, in some cases, legal challenges and uncertainty around the funding, functioning and policy priorities of the U.S. federal regulatory agencies, including the FDA.</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the U.S. government has experienced shut downs and funding lapses, during which time certain regulatory agencies, such as the FDA and the SEC, furloughed critical employees and stopped critical activities. Additionally, action by the Trump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unable to predict the extent to which the Trump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legislative or regulatory reform measures.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be faced with additional or changing regulatory and governmental regulations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price of pharmaceuticals has been a topic of considerable public discussion that could lead to price controls or other price-limiting strategies by third-party payors that have the effect of lowering payment and reimbursement rates for drugs or otherwise making the commercialization of pharmaceuticals less profitable. Many federal and state legislatures have considered, and adopted, healthcare policies intended to curb rising healthcare costs, such as the Inflation Reduction Act (“IRA”). These cost-containment measures may include, among other measures: requirements for pharmaceutical companies to negotiate prescription drug prices with government healthcare programs; controls on government-funded reimbursement for drugs; new or increased requirements to pay prescription drug rebates to government healthcare programs, including if drug prices increase at a higher rate than inflation;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payors to make coverage and payment decisions. Political, economic and regulatory developments may further complicate developments in healthcare systems and pharmaceutical drug pricing. These developments could, for example, impact our potential licensing agreements as commercial and collaborative partners may also consider the impact of these pressures on their licensing strategies.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new laws or regulations that have the effect of imposing additional costs or regulatory burden on pharmaceutical manufacturers, or otherwise negatively affect the industry, could adversely affect our ability to successfully commercialize our product candidates. The implementation of any price controls, caps on prescription drugs or price transparency requirements could adversely affect our business, operating results and financial condition.</w:t>
      </w:r>
    </w:p>
    <w:p>
      <w:pPr>
        <w:spacing w:after="0" w:line="17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including conflicts of interest rules, which could expose us to penalties.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healthcare laws and regulations, including conflict of interest laws. These laws may constrain the business or financial arrangements and relationships through which we conduct our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Principal investigators for our clinical trials may serve as scientific advisors or consultants to us or may be affiliated with our other service providers, including CROs or site management organizations, and from time to time may receive cash compensation in connection with such services. If these relationships and any related compensation result in perceived or actual conflicts of interest, the integrity of the data generated at the applicable clinical trial site or in the applicable trial may be questioned or jeopardized.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costs and management attention.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we may be subject to unfavorable pricing regulations and/or third-party coverage and reimbursement policies, and we may not be able to offer such product candidates at competitive prices, which could seriously harm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the United States and in selected foreign jurisdictions, and we will be subject to rules and regulations in those jurisdictions where we obtain approval.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In some jurisdictions, government authorities and other third-party payors decide which medications they will pay for and establish reimbursement levels, and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could materially adversely affect our business and financial condition.</w:t>
      </w:r>
    </w:p>
    <w:p>
      <w:pPr>
        <w:spacing w:after="0" w:line="18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U.S. Physician Payments Sunshine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 (“EU Member States”),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EU Member States were to significantly alter their regulations affecting the pricing of prescription pharmaceuticals, we could face significant new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maintain, and protect our patents and other proprietary rights is uncertain, exposing us to the possible loss of competitive advantage.</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confidentiality agreements, and the Option and License Agreements with Paragon to protect the intellectual property related to our programs and technologies and to prevent third parties from competing unfairly with it. Our success depends in large part on our ability to obtain and maintain patent protection for our programs and our product candidates and their uses, as well as our ability to operate without infringing on or violating the proprietary rights of others. We and Paragon have filed, and may continue to file, provisional and non-provisional patent applications directed to antibodies that target IL-23, including applications covering composition of matter, pharmaceutical formulations, and methods of use, including ORKA-001. In addition, we and Paragon have filed, and may continue to file, provisional and non-provisional patent applications directed to antibodies that target IL-17, including applications covering composition of matter, pharmaceutical formulations, and methods of use, including ORKA-002.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is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or invalidated by third parties, or will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and license may not afford us any meaningful competitive advantage.</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personnel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agreements, such as confidentiality agreements, with our vendors,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illegally obtained and is using our trade secrets is challenging and the outcome is unpredictable. In addition, courts outside of the U.S.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9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Lastly, if our trademarks and trade names are not registered or adequately protected, then we may not be able to build name recognition in our markets of interest and our business may be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programs through acquisitions and in-licenses.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our development programs currently do and may in the future require the use of proprietary rights held by third parties, the growth of our business may depend in part on our ability to acquire, in-license, or use these third-party proprietary rights. It is possible that we may be unable to obtain licenses at a reasonable cost or on reasonable terms, if at all. Even if we are able to obtain a license, it may be non-exclusive, thereby giving our competitors access to the same technologies licensed to us. We may be unable to acquire or in-license any compositions, methods of use, processes or other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maintain the existing intellectual property rights we do obtain, we may have to abandon the development of the relevant program, which could have a material adverse effect on our business, financial condition, results of operations, and prospects.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plan to obtain the right to control patent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prosecution of patents and patent applications we have licensed to and from third parties, we may still be adversely affected or prejudiced by actions or inactions of our licensees, our future licensors, and our counsel that took place prior to the date upon which we assumed control over patent prosecution. Moreover, if other third parties have ownership rights to our future in-licensed patents, they may be able to license such patents to our competitors, and our competitors could market competing products and technology.</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Failure to obtain licenses at a reasonable cost or on reasonable terms may require us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This could have a material adverse effect on our competitive position, business, financial condition, results of operations, and prospects.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without limitation: the scope of rights granted under the license agreement and other interpretation-related issues; whether and the extent to which our technology and processes may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or may need to file claims to protect our intellectual property, which could result in substantial costs and liability and prevent us from commercializing our potential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the intellectual property landscape in the biopharmaceutical industry is rapidly evolving and interdisciplinary, it is difficult to conclusively assess our freedom to operate and guarantee that we can operate without infringing on or violating third-party rights. Third-party patent rights, if found to be valid and enforceable, could be alleged to render one or more of our product candidates infringing. If a third party successfully brings a claim against us, we may be required to pay substantial damages, be forced to abandon or delay the development of any affected product candidate, and/or seek a license from the patent holder. Any intellectual property claims brought against us, whether or not successful, may cause us to incur significant legal expenses and divert the attention of our management and key personnel from other business concerns. We cannot be certain that patents owned or licensed by us will not be challenged by others in litigation. Some of our competitors may be able to sustain the costs of complex intellectual property litigation more effectively than we can because they may have substantially greater resources. In addition, any litigation could have a material adverse effect on our business and operations, including our ability to raise funds.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time-consuming, and any such claims could provoke these parties to assert counterclaims against us.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(“marks”)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we may be required to protect our patents through procedures created to attack the validity of a patent at the USPTO. An adverse determination in any such submission or proceeding could reduce the scope of, affect the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U.S. and other jurisdictions could diminish the value of patents in general, thereby impairing our ability to protect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U.S. and foreign jurisdictions could increase the uncertainties and costs surrounding the prosecution of our owned and in-licensed patent applications and the maintenance, enforcement or defense of our owned and in-licensed issued patents. Additionally, there have been proposals for additional changes to the patent laws of the U.S.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unpredictable ways that could have a material adverse effect on our patent rights and our ability to protect, defend, and enforce our patent rights in the future. In addition, geopolitical instability could increase the uncertainties and costs surrounding the prosecution or maintenance of patent applications and the maintenance, enforcement, or defense of issued patents.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U.S. Supreme Court in Amgen, Inc. v. Sanofi (Amgen)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 European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spacing w:after="0" w:line="18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U.S. may be maintained in secrecy until the patents are issued, and because patent applications in the U.S.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products or technology similar to ours. Any such patent application may have priority over our patent applications or patents, which could require us to obtain rights to issued patents covering such technologies.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impact the validity of the patents issuing thereon.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our product candidates for an adequate amount of time.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time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future licensors may rely on third-party consultants or collaborators or on funds from third parties, such as the U.S. government, such that our licensors would not be the sole and exclusive owners of any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currently rely on licensing arrangements for a substantial portion of our product portfolio, including with Paragon for ORKA-001 and ORKA-</w:t>
      </w:r>
    </w:p>
    <w:p>
      <w:pPr>
        <w:spacing w:after="0" w:line="31" w:lineRule="exact"/>
        <w:rPr>
          <w:sz w:val="20"/>
          <w:szCs w:val="20"/>
          <w:color w:val="auto"/>
        </w:rPr>
      </w:pPr>
    </w:p>
    <w:p>
      <w:pPr>
        <w:ind w:firstLine="8"/>
        <w:spacing w:after="0" w:line="260" w:lineRule="auto"/>
        <w:tabs>
          <w:tab w:leader="none" w:pos="366"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we are unable to maintain collaborations or licensing arrangements, or if our collaborations or licensing arrangements are not successful, our business could be negatively impacted.</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Collaborations or licensing arrangements that we enter into may not be successful, and any success will depend heavily on the efforts and activities of such collaborators or licensors. If any of our current or future collaborators or licensors experience delays in performance of, or fails to perform, their obligations under their agreement with us, disagrees with our interpretation of the terms of such agreement or terminates their agreement with us, our development timeline could be adversely affected. We currently rely on our licensing agreements with Paragon for a substantial portion of our product portfolio, including for ORKA-001 and ORKA-002.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strategy, we plan to evaluate additional opportunities to enhance our capabilities and expand our development pipeline or provide development or commercialization capabilities that complement ours. We may not realize the benefits of such collaborations, partnerships, or licensing arrangements. Any of these relationships may require us to incur non-recurring and other charges, increase our near and long-term expenditures, issue securities that dilute our existing stockholders or disrupt our management and business.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18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utilized and plan to continue to utilize and depend upon independent investigators and collaborators, such as institutions, CROs, contract testing labs, CMOs and strategic partners, to supply, conduct, and support our preclinical studies and clinical trials pursuant to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or refuse to approve our marketing applications. We cannot assure you that upon inspection by a given regulatory authority, such regulatory authority will determine that any of our clinical trials comply with GCP regulations. Moreover, our business may be implicated if any of these third parties violate federal or state fraud and abuse or false claims laws and regulations or healthcare privacy and security laws.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have remedies available to us under our agreements, any third parties conducting our preclinical studies or clinical trials will not be our employees and we cannot control whether they devote sufficient time and resources to our programs. These third parties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ORKA-001 and ORKA-002 programs.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do not control the manufacturing process of, and are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our CMOs may experience manufacturing difficulties due to resource constraints, supply chain issues, proposed or actual legislative changes or requirements,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Foreign CMOs may be subject to U.S. legislation, including the BIOSECURE Act, trade restrictions, and other foreign regulatory requirements, which could increase costs, reduce the availability of materials, delay procurement or supply, or otherwise adversely affect our operations. We currently rely on foreign CROs and CMOs, including WuXi Biologics (Hong Kong) Limited and its affiliates (“WuXi Biologics”), and we expect to continue to rely on foreign CROs and CMOs in the future.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BIOSECURE Act was enacted into U.S. law in December 2025 and restricts U.S. federal agencies, as well as recipients of certain federal funding, from procuring, using, or contracting for biotechnology equipment or services from entities designated as “biotechnology companies of concern”. The law contemplates a designation process to identify such biotechnology companies of concern, and the timing, scope, and implementation of the Act, including the criteria for designation and the application of any transition or grandfathering provisions, remain subject to ongoing rulemaking and agency interpretation.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WuXi Biologics has been identified in prior legislative proposals and public discourse as a potential biotechnology company of concern; however, it has not been automatically designated as such under the enacted statute. If WuXi Biologics or other third-party providers we rely on were to be designated as biotechnology companies of concern in the future, or if the BIOSECURE Act were otherwise interpreted or implemented in a manner that restricts our ability to use their services, we could be required to transition to alternative providers, experience supply disruptions or increased costs, or be limited in our ability to access U.S. federal government contracts, grants, or other funding opportunities, which could materially adversely affect our business, financial condition, or results of operations.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geopolitical instability affecting our collaborators in China could introduce delays into the development program. For example, in April 2025, the United States government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To the extent these or future tariffs are applicable to the material we import from China and other countries or if we are not able to secure supply of our product candidates as a result of applicable legislation, our business and financial condition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to grow the size of our organization, including an increase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pursue our growth strategy will be limited if we are unable to continue to attract and retain high quality personnel.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Attracting and retaining qualified personnel will also be critical to our success, including with respect to any strategic transaction that we may pursue. The loss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as well as from universities and research institutions.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rely on consultants and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and independent contractors to assist us in the development of our programs. Many of these consultants, independent contractors, and our employees, may have been previously employed at, or may have previously provided or may be currently providing consulting services to, other biotechnology or pharmaceutical companies including our competitors or potential competitors. Although we try to ensure that our employees, consultants, and independent contractors do not use the intellectual property, proprietary information, know-how, or trade secrets of others in their work for us, we may become subject to claims that we caused an individual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or our ability to form strategic alliances or sublicense our rights to collaborators, engage with scientific advisors or hire employees, consultants or independent contractors, each of which would have an adverse effect on our business, results of operations, and financial condition.</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If we fail to comply with the regulatory requirements in foreign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advisors, commercial collaborators, principal investigators, CROs, CMOs,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advisors,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any of our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If we (or a third party upon whom we rely) experience a security incident or are perceived to have experienced a security incident, we may experience adverse consequences. While we have implemented security measures designed to protect against security incidents, there can be no assurance that these measures will be effective. Further, cybersecurity breaches or other cybersecurity incidents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Our ability to monitor third parties’ information security practices is limited, and these third parties may not have adequate security measures in place.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Moreover, while we may be entitled to damages if our third-party service providers fail to satisfy their privacy or security-related obligations to us, any award may be insufficient or we may be unable to recover such award. Security incidents and attendant consequences may negatively impact our ability to grow and operate our business. The risk of a cybersecurity incident or other information technology disruption, particularly through cyber-attacks, has generally increased as the number, intensity and sophistication of attempted attacks and intrusions from around the world have increased.</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loss, destruction, unavailability, alteration or dissemination of, or damage to, our data (including clinical trial data) or applications, or for it to be believed or reported that any of these occurred, we could incur liability, including under laws and regulations governing the protection of protected health information and other personal data,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contractors,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or from cyber-attacks by malicious third parties, or ransomware attacks, which, in each case, may compromise our system infrastructure or lead to the loss, destruction, alteration or dissemination of, or damage to, our data.</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hybrid-remote workforce may create additional risks for our information technology systems and data because our employees work remotely and utilize network connections, computers, and devices working at home, while in transit and in public locations.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third parties who we work with are or may become subject to numerous domestic and foreign laws, regulations, and standards relating to privacy, data protection, data transfer,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U.S. legislative or regulatory tax changes that could negatively impact our financial condition.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stockholders or us. We continue to assess the impact of various tax reform proposals and modifications to existing tax treaties in all jurisdictions where we have operations or employees to determine the potential effect on our business and any assumptions we make about our future taxable income. We cannot predict whether any specific proposals will be enacted, the terms of any such proposals or what effect, if any, such proposals would have on our business if they were to be enacted. For example, the United States enacted the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Such changes, among others, may adversely affect our effective tax rate, results of operation and general business condition.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may not realize the benefits of such acquisitions.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exceeds the Federal Deposit Insurance Corporation insurance limits. If such banking institutions were to fail, we could lose all or a portion of those amounts held in excess of such insurance limitations.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product liability claims and our insurance may not cover all damages from such claims.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use of a product candidate in clinical trials and the sale of any approved products in the future may expose us to liability claims. An individual or group of individuals may bring a liability claim against us if one of our product candidates causes, or merely appears to have caused, an injury, either at the clinical or commercial stage. Any claims against us, regardless of their merit, could be difficult and costly to defend and could materially and adversely affect our business. While we carry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On occasion, large judgments have been awarded in class action or individual lawsuits. A successful product liability claim or series of claims brought against us could cause our stock price to decline and, if judgments exceed our insurance coverage, could decrease our cash and our business operations could be impaired.</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fluctuation in interest rates, natural disasters, public health crises, political crises, geopolitical events or other macroeconomic conditions, which could have a material and adverse effect on our results of operations and financial condition.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new or increased tariffs, and other barriers to trade, especially in light of recent executive orders made by the Trump administration, trade and other international disputes, increases in inflation rates, fluctuation in interest rates, slower growth or recession, tighter credit, volatility in financial markets, high unemployment, labor availability constraints, public health crises, significant natural disasters, changes to fiscal and monetary policy, or government budget dynamics (particularly in the pharmaceutical and biotechnology areas), political and military conflict, and uncertainty about economic stability. Recently, the U.S. has announced tariffs on imports from most countries, including significant tariffs on imports from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Fluctuation in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economic or political uncertainty,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Geopolitical events and global economic conditions may also affect the ability of the FDA and other regulatory authorities to perform routine functions.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Owning Our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highly volatile and is subject to significant fluctuations. Moreover, the stock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recently, and particularly in the biotechnology and biopharmaceutical industries.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market volatility may lead to securities litigation or increased stockholder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Class action securities litigation, if instituted, could result in substantial costs and diversion of management attention and resources, which could significantly harm our profitability and reputation.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of the factors that may cause the market price of our common stock to fluctuate include:</w:t>
      </w:r>
    </w:p>
    <w:p>
      <w:pPr>
        <w:spacing w:after="0" w:line="225"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results of clinical trials and preclinical studies of our product candidates, or those of our competitors or our existing or future collaborators;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that we may provide to the public;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or potential equity or debt sales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 or 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macroeconomic, geopolitical conditions, or 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including scientific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 or the anticipation of such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raise an adequate amount of capital to fund our operations or continued development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as well as provisions under Delaware law, could make an acquisition of the company more difficult and may prevent attempts by our stockholders to replace or remove management.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spacing w:after="0" w:line="18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stockholders would be entitled to cast to amend or repeal certain provisions of our charter or bylaws.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(“DGCL”), which prohibits stockholders owning more than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governing documents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or the anticipation of such events, could cause our stock price to decline.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stockholders sell, or indicate an intention to sell, substantial amounts of our common stock in the public market, the trading price of our common stock could decline. In October 2025 we filed a registration statement on Form S-3 covering the resale of 39,425,806 shares of our common stock (including shares of common stock issuable upon the conversion of outstanding Series B Preferred Stock, or issuable upon the exercise of outstanding pre-funded warrants to purchase shares of common stock). The sale of these shares in the public market or the perception that holders of a large number of the securities intend to sell their securities could significantly reduce the price of our common stock. We cannot predict if and when the selling stockholders listed in the registration statement may sell such shares in the public markets. In addition, shares of our common stock that are subject to our outstanding options will become eligible for sale in the public market to the extent permitted by the provisions of various vesting agreements and Rules 144 and 701 under the Securities Act. Furthermore, in the future, we may issue additional shares of common stock or other equity or debt securities convertible into shares of common stock.</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collect, use, store, and transmit confidential, sensitive, proprietary, personal, and health-related information in the ordinary course of our business. As such, we leverage third-party information technology service providers who have implemented and maintain various information security processes designed to identify, assess, and manage material risks from cybersecurity threats to our information technology systems, including critical computer networks, third party hosted services, communications systems, hardware and software, and our data residing on these systems. Our Senior Vice President, Finance is responsible for overseeing these third-party service providers and processes.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Cybersecurity risks are identified by monitoring and evaluating our threat environment, and then assessed by various methods, for example, by manual and automated tools designed to identify and combat cybersecurity threats, analyzing reports of threats, conducting scans and assessments of the threat environment and to identify vulnerabilities, the use of detection and response services and conducting reviews of third-party service providers, among other things. Depending on the threat environment, we implement and maintain various technical, physical, and organizational measures, processes, standards and policies designed to manage and mitigate material risks from cybersecurity threats to our information systems and data, including, for example, physical security and access controls, asset management, systems monitoring, incident detection and response, risk assessment, the implementation of security standards and certifications, encryption of data, network security controls, and a recovery/business continuity plan, among other mitigation tactics. Our recovery/business continuity plan is designed to mitigate and remediate identified cybersecurity incidents and escalate certain incidents as appropriate to management and the Audit Committee. We plan to conduct due diligence on and audits of key technology vendors, contract research organizations, and other third-party contractors and suppliers. Additionally, we conduct periodic employee training that covers cyber and information security, among other topics.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 Our Senior Vice President, Finance, who reports directly to the Chief Executive Officer, together with our senior management, is responsible for assessing and managing cybersecurity risks with support from our third-party information technology service providers that employ information technology consultants with over 20 years of experience managing cybersecurity programs. Our cybersecurity program aligns to the National Institute of Standards and Technology (NIST) Cybersecurity Framework (CSF) and is consistently updated as NIST recommendations change year over year. Our Senior Vice President, Finance, together with our senior management and other employees, works closely with our information technology service providers to evaluate material cybersecurity threats against our overall business objectives as part of our cybersecurity incident response. The Board of Directors, as a whole and at the committee level, has oversight for the most significant risks facing us and for our processes to identify, prioritize, assess, manage and mitigate those risks. The Audit Committee has been designated by our Board to oversee cybersecurity risks. The Audit Committee receives regular updates on cybersecurity and information technology matters and related risk exposures from our Senior Vice President, Finance. The Board also receives updates from management and the Audit Committee on cybersecurity risks on a regular basis.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last fiscal year, we have not identified any risks from known cybersecurity threats, including as a result of any prior cybersecurity incidents, that have materially affected us, but we face certain ongoing cybersecurity risks or threats that, if realized, are reasonably likely to materially affect us. For a description of the risks from cybersecurity threats that may materially affect the Company and how they may do so, see our “Risk Factors” under Part 1 Item 1A. Risk Factors,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are in Menlo Park, California and we have an additional office in Waltham, Massachusetts. Our lease for our Menlo Park headquarters expires on September 30, 2027 and our lease for our Waltham office expires on September 30, 2029. We believe our current facilities are sufficient for our needs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reasonably be expected to have a material adverse effect on our results of operations,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“ORKA”.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February 28, 2026, there were approximately 36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pursuant to Instruction 6 to Item 201(e) of Regulation S-K, we are not required to provide the stock performance graph.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on Form 10-K for the year ended December 31, 2025 (this “Annual Report”). This discussion contains forward-looking statements that involve risks and uncertainties, such as statements regarding our plans, objectives, expectations, intentions, hopes, beliefs, strategies or projections regarding the future of its pipeline and business and words such as “may,” “will,”, “should,” “could,” “would,” “expect,” “plan,” “anticipate,” “believe,” “estimate,” “project,” “potential,” “seek,” “target,” “goal,” “intend” and variations of such words and any statements that refer to projections, forecasts or other characterizations of future events or circumstances, including any underlying assumptions, and similar expressions are intended to identify forward-looking statements. You should not place undue reliance on these forward-looking statements. These forward-looking statements are based on current expectations and beliefs concerning future developments and their potential effects. There can be no assurance that future developments affecting us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Factors that could cause or contribute to such differences include, but are not limited to, those discussed in the section of this Annual Report entitled “Risk Factors” and elsewhere in this Annual Report. These and many other factors could affect our future financial and operating results. We undertake no obligation to update any forward-looking statement to reflect events after the date of this Annual Report. As used in this Annual Report, unless the context suggests otherwise, “we,” “us,” “our,” “the Company,” “Oruka Therapeutics, Inc.,” “Oruka,” “ARCA biopharma, Inc.,” “ARCA,” refers to Oruka Therapeutics, Inc. and its consolidated subsidiary, Oruka Therapeutics Operating Company LLC, taken as a whole.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focused on developing novel monoclonal antibody therapeutics for psoriasis (“PsO”) and other inflammatory and immunology (“I&amp;I”) indications. Our name is derived from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for “skin,” and </w:t>
      </w:r>
      <w:r>
        <w:rPr>
          <w:rFonts w:ascii="Times New Roman" w:cs="Times New Roman" w:eastAsia="Times New Roman" w:hAnsi="Times New Roman"/>
          <w:sz w:val="18"/>
          <w:szCs w:val="18"/>
          <w:i w:val="1"/>
          <w:iCs w:val="1"/>
          <w:color w:val="auto"/>
        </w:rPr>
        <w:t>arukah</w:t>
      </w:r>
      <w:r>
        <w:rPr>
          <w:rFonts w:ascii="Times New Roman" w:cs="Times New Roman" w:eastAsia="Times New Roman" w:hAnsi="Times New Roman"/>
          <w:sz w:val="18"/>
          <w:szCs w:val="18"/>
          <w:color w:val="auto"/>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 (“TRMs”).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lead program, ORKA-001, is designed to target the p19 subunit of interleukin-23 (“IL-23p19”) for the treatment of PsO. Our co-lead program, ORKA-002, is designed to target interleukin-17A and interleukin-17F (“IL-17A/F”) for the treatment of PsO, hidradenitis suppurativa (“HS”),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in February 2024, we have devoted substantially all of our resources to raising capital, organizing and staffing our company, business and scientific planning, conducting discovery and research activities, establishing and protecting our intellectual property portfolio, establishing arrangements with third parties for the manufacture of our programs and component materials, developing and progressing our pipeline, and providing general and administrative support for these operations. We do not have any products approved for sale and have not generated any revenue from product sales. To date, we have funded our operations primarily with proceeds from the issuance of convertible preferred stock, common stock, a convertible note, pre-funded warrants, and the proceeds from the reverse recapitalization and merger, our Pre-Closing Financing and subsequent PIPE Financings (as defined and further described below).</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negative cash flows from our operations. Our ability to generate product revenue sufficient to achieve profitability will depend heavily on the successful development and eventual commercialization of any programs we may develop. As of December 31, 2025, we had an accumulated deficit of $189.2 million. For the year ended December 31, 2025, we had net losses of $105.4 million, and we used net cash of $88.2 million for our operating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marketable securities of $479.6 million as of December 31, 2025. We expect that our existing cash, cash equivalents, and marketable securities will be sufficient to fund our operating plans for at least twelve months from the date of the filing of this Annual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 and Development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ORKA-001</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w:t>
      </w:r>
    </w:p>
    <w:p>
      <w:pPr>
        <w:spacing w:after="0" w:line="1" w:lineRule="exact"/>
        <w:rPr>
          <w:sz w:val="20"/>
          <w:szCs w:val="20"/>
          <w:color w:val="auto"/>
        </w:rPr>
      </w:pPr>
    </w:p>
    <w:p>
      <w:pPr>
        <w:jc w:val="both"/>
        <w:ind w:firstLine="8"/>
        <w:spacing w:after="0" w:line="255" w:lineRule="auto"/>
        <w:tabs>
          <w:tab w:leader="none" w:pos="2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First-generation IL-23 antibodies bound p40 and inhibited both IL-12 and IL-23 signaling, while more recent IL-23 antibodies targeting the p19 subunit have shown improved efficacy and safety. Based on clinical evidence, we believe that ORKA-001 could achieve higher response rates than established therapies in PsO while requiring less frequent dosing and maintaining the favorable safety profile of therapies targeting IL-23p19.</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ORKA-001 is engineered with YTE half-life extension technology, a specific three amino acid change in the fragment crystallizable (“Fc”) domain to modify the pH-dependent binding to the neonatal Fc receptor (“FcRn”). As a result, it has a pharmacokinetic profile designed to support a subcutaneous (“SQ”) injection as infrequently as once or twice per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initiated a Phase 1 trial of ORKA-001 in the fourth quarter of 2024 and in September 2025, we announced interim results at the European Academy of Dermatology and Venereology (EADV) Congress. The data showed that ORKA-001 has a human half-life of approximately 100 days. Single doses of ORKA-001 demonstrated complete and sustained inhibition of STAT3 signaling, a downstream marker of IL-23 activity, in an ex vivo assay through 24 weeks. In addition, ORKA-001 was well tolerated at all dose levels, with a favorable safety profile consistent with the anti-IL-23 class.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third quarter of 2025, we commenced dosing in a Phase 2a clinical trial of ORKA-001 in patients with moderate-to-severe PsO (also known as “EVERLAST-A”). We expect to share Week 16 data for all patients in the second quarter of 2026. In addition, we plan to share longer-term data, including Week 28 for all patients and 52-week follow-up for a portion of the cohort in the second half of 2026. EVERLAST-A enrolled 84 patients randomized 3:1 to receive 600 mg of ORKA-001 at Weeks 0 and 4 or matching placebo. The primary endpoint is PASI 100, a 100% reduction from baseline in the Psoriasis Area and Severity Index (“PASI”), at Week 16. At Week 28, patients who have achieved PASI 100 will be randomized 2:1 to an arm where either</w:t>
      </w:r>
    </w:p>
    <w:p>
      <w:pPr>
        <w:spacing w:after="0" w:line="3" w:lineRule="exact"/>
        <w:rPr>
          <w:sz w:val="20"/>
          <w:szCs w:val="20"/>
          <w:color w:val="auto"/>
        </w:rPr>
      </w:pPr>
    </w:p>
    <w:p>
      <w:pPr>
        <w:ind w:firstLine="8"/>
        <w:spacing w:after="0" w:line="260" w:lineRule="auto"/>
        <w:tabs>
          <w:tab w:leader="none" w:pos="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receive another dose until disease recurrence (to evaluate the possibility of both yearly dosing and extended off-treatment remissions) or (2) they receive 300 mg ORKA-001 every six months.</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 first patients were dosed in EVERLAST-B in December 2025. EVERLAST-B is designed to enroll approximately 160 patients into a dose-ranging Phase 2b trial of ORKA-001 in patients with moderate-to-severe PsO and will evaluate three dose levels of ORKA-001: 37.5 mg at Week 0, 300 mg at Weeks 0 and 4, and 600 mg at Weeks 0 and 4, versus placebo. The primary endpoint is PASI 100 at Week 16. At Week 28, patients who have achieved PASI 100 will be re-randomized 1:1 to either a 600 mg dose once-yearly or placebo. Patients who have not achieved PASI 100 at Week 28 will receive a 300 mg dose every six months. Building on EVERLAST-A, this design will further test the potential for ORKA-001 to achieve yearly dosing, higher efficacy and extended off-treatment remissions. Data from EVERLAST-B is anticipated in 2027.</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recent precedent in PsO, we anticipate that the overall development program, from first-in-human studies through biologics license application (“BLA”) submission, could take as little as six to seven years, based on averages observed for recently approved medicines. However, we have no control over the duration of the United States Food and Drug Administration (“FDA”) review process, and the actual timeline may vary.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ORKA-002</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ORKA-002 is a high affinity, extended half-life mAb designed to target IL-17A and IL-17F (“IL-17A/F”). IL-17 inhibition has become central to the treatment of psoriatic diseases, including PsO and PsA, and has also shown efficacy in other I&amp;I indications, such as HS and axial spondyloarthritis (“axSpA”).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2026, we announced interim findings from the Phase 1 trial of ORKA-002 in healthy volunteers. The results showed that ORKA-002 has a half-life of approximately 75-80 days, which supports the potential for twice-yearly maintenance dosing in PsO and quarterly maintenance dosing in HS. Single doses of ORKA-002 demonstrated potent and sustained inhibition of IL-17 signaling in an ex vivo assay through 24 weeks. ORKA-002 was well tolerated at all dose levels, with a favorable safety profile consistent with the anti-IL-17 class. The trial remains blinded, and as of January 6, 2026, which was the data cutoff date, all subjects remained on trial.</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Based on these Phase 1 results, we initiated ORCA-SURGE, a Phase 2 trial of ORKA-002 in patients with moderate-to-severe PsO, in February 2026. ORCA-SURGE is designed to enroll approximately 160 patients randomized 1:1:1:1 to receive 40 mg, 160 mg or 320 mg of ORKA-002 at Weeks 0 and 4, or matching placebo. The primary endpoint is PASI 100 at Week 16. Maintenance dosing will evaluate the potential for twice-yearly dosing with ORKA-</w:t>
      </w:r>
    </w:p>
    <w:p>
      <w:pPr>
        <w:spacing w:after="0" w:line="1" w:lineRule="exact"/>
        <w:rPr>
          <w:sz w:val="20"/>
          <w:szCs w:val="20"/>
          <w:color w:val="auto"/>
        </w:rPr>
      </w:pPr>
    </w:p>
    <w:p>
      <w:pPr>
        <w:ind w:right="20" w:firstLine="8"/>
        <w:spacing w:after="0" w:line="260" w:lineRule="auto"/>
        <w:tabs>
          <w:tab w:leader="none" w:pos="3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ORCA-SURGE is anticipated in 2027. Moreover, we also expect to initiate a Phase 2 trial of ORKA-002 in patients with HS in the second half of 2026.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Additional Pipeline Program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third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Pre-Merger Oruka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29, 2024 (the “Closing”), we completed the acquisition (the “Merger”) of the private company, Oruka Therapeutics, Inc. (“Pre-Merger Oruka”), a pre-clinical stage biotechnology company that was incorporated on February 6, 2024 for the purposes of holding rights to certain intellectual property being developed by Paragon Therapeutics, Inc. (“Paragon”). On August 29, 2024, we changed our name from “ARCA biopharma, Inc.” to “Oruka Therapeutics, Inc.” and our Nasdaq ticker symbol from “ABIO” to “ORKA”. Following consummation of the Merger, we effected a 1-for-12 reverse stock split (the “Reverse Stock Split”) of our common stock, par value $0.001 per share, of the Company (“Company Common Stock”). The Company Common Stock commenced trading on a post-Reverse Stock Split, post-Merger basis at the opening of trading on September 3, 2024. All references to common stock, options to purchase common stock, outstanding common stock warrants, common stock share data, per share data, Company Common Stock, and related information contained in the consolidated financial statements have been retrospectively adjusted to reflect the effect of the Reverse Stock Split for all periods presented, unless otherwise specifically indicated or the context otherwise requires.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Pre-Closing Financing and Closing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Immediately prior to the execution and delivery of the Merger Agreement, certain new and existing investors of Pre-Merger Oruka entered into a subscription agreement with Pre-Merger Oruka (that was subsequently amended and restated in July 2024,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(as defined in Note 9 to the consolidated financial statement) and accrued interest on such note which converted to shares of Pre-Merger Oruka Common Stock) (the “Pre-Closing Financing”). We incurred transaction costs of $20.5 million which were recorded as a reduction to additional paid-in capital in the consolidated financial statements.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shares of Pre-Merger Oruka Common Stock and Pre-Merger Oruka pre-funded warrants issued pursuant to the Subscription Agreement were converted into shares of Company Common Stock and pre-funded warrants to purchase Company Common Stock in accordance with the Exchange Ratio (as defined below and determined by the terms of the Merger Agreement). Moreover, as part of the Closing of the Merger, (i) then-issued and outstanding shares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(the “Exchange Ratio”), which were subject to the same vesting provisions as those immediately prior to the Merger; (ii) each share of Pre-Merger Oruka Series A convertible preferred stock, par value $0.0001 (“Pre-Merger Oruka Series A Preferred Stock”) was converted into the right to receive a number of shares of ARCA Series B non-voting convertible preferred stock, par value $0.001 per share (“Company Series B Preferred Stock”), which are convertible into shares of Company Common Stock at a conversion ratio of approximately 83.3332:1 after the Reverse Stock Split, (iii) each outstanding option to purchase Pre-Merger Oruka Common Stock was converted into an option to purchase shares of Company Common Stock, and (iv) each outstanding warrant to purchase shares of Pre-Merger Oruka Common Stock was converted into a warrant to purchase shares of Company Common Stock.</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owned a substantial majority of the voting rights in the combined company; (ii) Pre-Merger Oruka’s largest stockholders retained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(a) the Merger was treated as the equivalent of Pre-Merger Oruka issuing stock to acquire the net assets of ARCA, and (b) the reported historical operating results of the combined company prior to the Merger are those of Pre-Merger Oruka. As part of the reverse recapitalization, the Company acquired a cash balance of $4.94 million from ARCA.</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Merger is included in Note 3 to the consolidated financial statements included in Part II – Item 8 of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PIPE Financings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11, 2024, we entered into a Securities Purchase Agreement (the “2024 Securities Purchase Agreement”) for a private placement (the “2024 PIPE Financing”) with certain institutional and accredited investors. The closing of the 2024 PIPE Financing occurred on September 13, 2024.</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2024 Securities Purchase Agreement, the investors purchased an aggregate of 5,600,000 shares of Company Common Stock at a purchase price of $23.00 per share, an aggregate of 2,439 shares of our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17, 2025, we entered into a Securities Purchase Agreement (the “2025 Securities Purchase Agreement”) for a private placement (the “2025 PIPE Financing”) with certain institutional and accredited investors. The closing of the 2025 PIPE Financing occurred on September 19,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2025 Securities Purchase Agreement, the investors purchased an aggregate of 10,933,405 shares of Company Common Stock at a purchase price of $15.00 per share, and pre-funded warrants to purchase an aggregate of 1,066,666 shares of Company Common Stock at a purchase price of $14.999 per pre-funded warrant, for aggregate net proceeds of approximately $169.6 million (net of issuance costs of $10.4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Paragon Therapeutics - Option and License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 Agreements – Paragon Therapeutics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2024, we entered into two antibody discovery and option agreements (the “Option Agreements”) with Paragon Therapeutics, Inc. (“Paragon”) and Paruka Holdings LLC (“Paruka”). Under the terms of each agreement, Paragon identifies, evaluates, and develops antibodies directed against certain mutually agreed therapeutic targets of interest to us. From time to time, we can choose to add additional targets to the collaboration upon agreement with Paragon and Paruka. Under the Option Agreements, we have the exclusive option to, on a research program-by-research program basis, be granted an exclusive, worldwide license to all of Paragon’s rights, titles, and interest in and to the intellectual property resulting from the applicable research program to develop, manufacture, and commercialize the antibodies and products directed to the selected target(s) (each, an “Option”). We have initiated certain research programs with Paragon that generally focus on discovering, generating, identifying and/or characterizing antibodies directed to a particular target (each, a “Research Program”), including for IL-23 and IL-17A/F for ORKA-001 and ORKA-002, respectively. The exclusive option with respect to each Research Program is exercisable at our sole discretion at such time as specified in the Option Agreements (the “Option Period”). There is no payment due upon exercise of an Option pursuant to the Option Agreements.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we entered into an additional option agreement for an antibody with Paragon and Paruka to enter into a license agreement, which we exercised in December 2025. For the year ended December 31, 2025 we incurred $1.5 million related to this additional option agreement which was recognized as research and development expense. Per the terms of this option agreement, once we enter into the corresponding license agreement, we will be required to make non-refundable milestone payments to Paragon of up to $12.0 million under the agreement upon the achievement of certain clinical development milestones, up to $10.0 million under the agreement upon the achievement of certain regulatory milestones, as well as a low single-digit percentage royalty for antibody products beginning on the first commercial sale. As of December 31, 2025, we have not entered into a license agreement with Paragon and Paruka related to this additional option agreement.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Option Agreements and the additional option agreement mentioned above, on December 31, 2024, we settled our 2024 obligations under the Paruka Warrant Obligation by issuing Paruka a warrant to purchase 596,930 shares of Company Common Stock at an exercise price of $19.39 per share, and on December 12, 2025, we settled our 2025 obligations under the Paruka Warrant Obligation by issuing Paruka a warrant to purchase 375,000 shares of Company Common Stock at an exercise price of $30.18 per share.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Agreements – Paragon Therapeutics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2024, we exercised our exclusive option to acquire certain rights to ORKA-001, and in December 2024, we entered into a corresponding license agreement with Paragon (the “ORKA-001 License Agreement”), pursuant to which Paragon granted us a royalty-bearing, world-wide, exclusive license to develop, manufacture, commercialize, or otherwise exploit certain antibodies and products targeting IL-23 in all fields other than the field of inflammatory bowel disease (“ORKA-001 Field”). In December 2024, we exercised our exclusive option to acquire certain rights to ORKA-002, and in February 2025, we entered into the corresponding license agreement with Paragon (the “ORKA-002 License Agreement” and together with the ORKA-001 License Agreement, the “License Agreements”), pursuant to which Paragon granted us a royalty-bearing, world-wide, exclusive license to develop, manufacture, commercialize, or otherwise exploit certain antibodies and products targeting IL-17A/F in all fields (“ORKA-002 Field” and together with the ORKA-001 Field, the “Fields”). Pursuant to each of the two License Agreements, Paragon has agreed not to conduct any new campaigns that generate anti-IL-23 monospecific antibodies or anti-IL-17A/F monospecific antibodies in the respective agreed-upon fields.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Agreements provide us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License Agreements may be terminated on 60 days’ notice to Paragon, on material breach without cure, and on a party’s insolvency or bankruptcy to the extent permitted by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73" w:name="page74"/>
    <w:bookmarkEnd w:id="7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each of the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we are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 Each of the License Agreements may be terminated on 60 days’ notice to Paragon, on material breach without cure, and on a party’s insolvency or bankruptcy to the extent permitted by law. As of December 31, 2025, we have incurred and expensed milestone payments of $7.0 million and $4.0 million in connection with the ORKA-001 License Agreement and the ORKA-002 License Agreement, respectively.</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Option Agreements and License Agreements, on a research program-by-research program basis following the finalization of the research plan for each respective research program, we were required to pay certain initiation fees, development costs and milestone payments to Paragon.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ORKA-001 program, we recognized research and development expenses related to the following milestones during the period from February 6, 2024 (inception) to December 31, 2024: a one-time, nonrefundable research initiation fee of $0.8 million; $1.5 million related to exercising our Option and achievement of development candidate; and $2.5 million related to completing the first dosing of a human subject in a Phase 1 trial. We were responsible for 50% of the development costs incurred through the completion of the IL-23 selection process, which was completed in June 2024. An amount of $13.5 million was incurred during the period from February 6, 2024 (inception) to December 31, 2024 for research and development expenses for the ORKA-001 program.</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ORKA-002 program, we recognized research and development expenses related to the following milestones during the period from February 6, 2024 (inception) to December 31, 2024: a one-time, nonrefundable research initiation fee of $0.8 million and $1.5 million related to exercising our Option and achievement of development candidate. We were responsible for the development costs incurred through the completion of the IL-23 selection process, which was completed in December 2024. An amount of $11.1 million was incurred during the period from February 6, 2024 (inception) to December 31, 2024 for research and development expenses for the ORKA-002 program.</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Option Agreements and License Agreements, for year ended December 31, 2025, our share of research and development expenses for the ORKA-001 program was nil. We recognized a milestone payment of $3.0 million related to completing the first dosing of a human patient in a Phase 2 trial for the ORKA-001 program during the year ended December 31, 2025. These costs were recorded as research and development expenses. As of December 31, 2025 and 2024, nil and $2.8 million, respectively, related to ORKA-001 were included in related party accounts payable and other current liabilities.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Option Agreements and License Agreements, for the year ended December 31, 2025, our share of research and development expense for the ORKA-002 program was $0.1 million. We recognized a milestone payment of $2.5 million related to completing the first dosing of a human subject in a Phase 1 trial for the ORKA-002 program during the year ended December 31, 2025. These costs were recorded as research and development expenses. As of December 31, 2025 and 2024, nil and $2.7 million, respectively, related to ORKA-002 were included in related party accounts payable and other current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expense the service fees as the associated costs are incurred when the underlying services are rendered. Such amounts are classified within research and development expenses in the accompanying consolidated statements of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and research of our programs. These expenses include:</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activities on our behalf;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and milestone payments under license and option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continuing our current research programs and discovery-phase development of any programs we may identify, including under future agreements with third parties, such as consultants and contractors;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contract manufacturing organizations (“CMOs”), and with clinical trial sites that conduct research and development activities on our behalf;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development and validating our manufacturing process for use in our preclinical studies and current and future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employee benefits, travel, and stock-based compensation expense;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human resource costs, information technology costs, and facility-related costs, including rent, maintenance, utilities, and depreciation for our leased office space.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Our primary focus since inception has been the identification and development of our pipeline programs. Our research and development expenses primarily consist of external costs. See “Contractual Obligations and Commitments” below for further details.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(“IND”) or comparable foreign applications that allow commencement of our planned clinical trials or future clinical trials for any programs we may develop;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trials that support a finding of safety and effectiveness, acceptable pharmacokinetics profile, and an acceptable risk-benefit profile in the intended populations;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programs we may develop following approval.</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programs that we may identify could mean a significant change in the costs and possible delays in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programs.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employee benefits, travel, and stock-based compensation, for our executive and other administrative personnel. Other significant general and administrative expenses include legal services, including intellectual property and corporate matters; professional fees for accounting, auditing, tax, insurance, and allocated human resource costs, information technology costs, and facility-related costs, including rent, utilities, maintenance, and depreciation for our leased office space.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substantially for the foreseeable future as we anticipate an increase in our personnel headcount to support the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other income (expense), net consists of interest earned on our cash, cash equivalents, and marketable securities; interest expense on the convertible note from a related party (see discussion herein); and foreign currency transactions gains and losses. Interest expense relates to a convertible note (the “Convertible Note”) issued to Fairmount Healthcare Fund II, L.P. (“Fairmount”), a related party, in March 2024. At the effective time of the Merger, the Convertible Note, along with the accrued interest, was automatically converted into Company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provision for income taxes was recorded for the year ended December 31, 2025 and for the period from February 6, 2024 (inception) to December 31, 2024. Deferred tax assets generated from our net operating losses have been fully offset by the valuation allowance as we believe it is not more likely than not that the benefit will be realized due to our cumulative losses generated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2025 and the period from February 6, 2024 (inception) to December 31,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5980" w:type="dxa"/>
            <w:vAlign w:val="bottom"/>
          </w:tcPr>
          <w:p>
            <w:pPr>
              <w:spacing w:after="0"/>
              <w:rPr>
                <w:sz w:val="22"/>
                <w:szCs w:val="22"/>
                <w:color w:val="auto"/>
              </w:rPr>
            </w:pPr>
          </w:p>
        </w:tc>
        <w:tc>
          <w:tcPr>
            <w:tcW w:w="138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100,640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75,060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r>
      <w:tr>
        <w:trPr>
          <w:trHeight w:val="277"/>
        </w:trPr>
        <w:tc>
          <w:tcPr>
            <w:tcW w:w="59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21,411</w:t>
            </w:r>
          </w:p>
        </w:tc>
        <w:tc>
          <w:tcPr>
            <w:tcW w:w="80" w:type="dxa"/>
            <w:vAlign w:val="bottom"/>
          </w:tcPr>
          <w:p>
            <w:pPr>
              <w:spacing w:after="0"/>
              <w:rPr>
                <w:sz w:val="24"/>
                <w:szCs w:val="2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13,063</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(122,051)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(88,123)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(33,928)</w:t>
            </w:r>
          </w:p>
        </w:tc>
        <w:tc>
          <w:tcPr>
            <w:tcW w:w="2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ind w:right="70"/>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16,630</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5,863</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184%</w:t>
            </w: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(1,468)</w:t>
            </w: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22"/>
                <w:szCs w:val="22"/>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0"/>
                <w:szCs w:val="20"/>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(105,433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(83,724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(21,709</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860" w:type="dxa"/>
            <w:vAlign w:val="bottom"/>
          </w:tcPr>
          <w:p>
            <w:pPr>
              <w:jc w:val="center"/>
              <w:ind w:right="70"/>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not meaningful</w:t>
      </w:r>
    </w:p>
    <w:p>
      <w:pPr>
        <w:spacing w:after="0" w:line="27" w:lineRule="exact"/>
        <w:rPr>
          <w:sz w:val="20"/>
          <w:szCs w:val="20"/>
          <w:color w:val="auto"/>
        </w:rPr>
      </w:pPr>
    </w:p>
    <w:p>
      <w:pPr>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$17,129 and $42,640 for the year ended December 31, 2025 and the period from February 6, 2024 (inception) to December 31, 2024, respectively.</w:t>
      </w:r>
    </w:p>
    <w:p>
      <w:pPr>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$139 and $1,364 for the year ended December 31, 2025 and the period from February 6, 2024 (inception) to December 31, 2024, respectively.</w:t>
      </w:r>
    </w:p>
    <w:p>
      <w:pPr>
        <w:ind w:left="340" w:hanging="332"/>
        <w:spacing w:after="0" w:line="26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nil and $1,468 for the year ended December 31, 2025 and the period from February 6, 2024 (inception) to December 31, 2024, respectively.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 (in thousands):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5980" w:type="dxa"/>
            <w:vAlign w:val="bottom"/>
          </w:tcPr>
          <w:p>
            <w:pPr>
              <w:spacing w:after="0"/>
              <w:rPr>
                <w:sz w:val="22"/>
                <w:szCs w:val="22"/>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(excluding stock-based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14,957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10,998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17,019</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11,992</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4,286</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2,857</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100,640</w:t>
            </w: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75,060</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25,580</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jc w:val="center"/>
              <w:ind w:right="130"/>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not meaningful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$25.6 million from $75.1 million for the period from February 6, 2024 (inception) to December 31, 2024 to $100.6 million for the year ended December 31,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External research and development expenses, including CROs, CMOs, and other third-party preclinical studies and clinical trials expenses, increased by $6.7 million, from $57.7 million for the period from February 6, 2024 (inception) to December 31, 2024 to $64.4 million for the year ended December 31, 2025. The increase is primarily related to increased CMO product development and manufacturing expenses, an increase in our CRO expenses related to our ongoing clinical trials and toxicology studies, partially offset by a reduction of research expenses incurred by Paragon.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Personnel-related expenses increased by $11.0 million, from $4.0 million for the period from February 6, 2024 (inception) to December 31, 2024 to $15.0 million for the year ended December 31, 2025, as we continue hiring employees in our research and development organization. Stock-based compensation expense increased by $5.0 million, from $12.0 million for the period from February 6, 2024 (inception) to December 31, 2024 to $17.0 million for the year ended December 31, 2025. Stock-based compensation expense increased due to the increase in employee awards.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research and development expenses increased by $2.9 million, from $1.4 million for the period from February 6, 2024 (inception) to December 31, 2024 to $4.3 million for the year ended December 31, 2025, primarily due to higher share of allocated overhead expenses for facilities and information technology due to an increase in our research and development employee 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services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5,534</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3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21,411</w:t>
            </w: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13,063</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8,348</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77" w:name="page78"/>
    <w:bookmarkEnd w:id="7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$8.3 million from $13.1 million for the period from February 6, 2024 (inception) to December 31, 2024 to $21.4 million for the year ended December 31,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Personnel-related expenses increased by $7.0 million, from $8.0 million for the period from February 6, 2024 (inception) to December 31, 2024 to $15.0 million for the year ended December 31, 2025, as a result of continued hiring of executives and administrative employees. Stock-based compensation expenses were $2.9 million and $7.2 million for the period from February 6, 2024 (inception) to December 31, 2024 and for the year ended December 31, 2025, respectively.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Professional and consulting services expenses increased by $0.9 million, from $4.6 million for the period from February 6, 2024 (inception) to December 31, 2024 to $5.5 million for the year ended December 31, 2025, due to higher spending on legal and other professional services.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general and administrative expenses increased by $0.4 million, from $0.5 million for the period from February 6, 2024 (inception) to December 31, 2024 to $0.9 million for the year ended December 31, 2025, primarily due to increase in facilities and information technology services expenses, partially offset by a higher allocation of overhead expenses to research and development expenses as a result of an increase in our research and development employee 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from cash equivalents and marketable securities increased by $10.8 million, from $5.9 million for the period from February 6, 2024 (inception) to December 31, 2024 to $16.6 million for the year ended December 31, 2025. The increase was primarily due to higher invested balances.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interest expense was recorded during the year ended December 31, 2025. Interest expense was $1.5 million for the period from February 6, 2024 (inception) to December 31, 2024 relating to the Convertible Note from Fairmount.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had $479.6 million of cash, cash equivalents, and marketable securities.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negative cash flow from operations. We expect to incur significant expenses and operating losses for the foreseeable future as we continue the pre-clinical and clinical development of our programs and our early-stage research activities. We have not yet commercialized any products, and we do not expect to generate revenue from sales of products for several years, if at all. Through December 31, 2025, we had funded our operations primarily with proceeds from issuances of convertible preferred stock, common stock, a convertible note, and pre-funded warrants.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2025, we entered into a Sales Agreement with TD Securities (USA) LLC (the “Sales Agreement”), as our sales agent, pursuant to which we may issue and sell, from time to time, shares of our common stock for aggregate gross proceeds of up to $200.0 million under an at-the-market equity offering program. We are not obligated to make any sales of shares under the Sales Agreement. As of December 31, 2025, no sales had been made under our at-the-market equity offering program.</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primary use of cash is to fund the development of our product candidates and advance our pipeline. This includes both the research and development costs and the general and administrative expenses required to support those operations. Since we are a clinical stage biopharmaceutical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We expect that our existing cash, cash equivalents, and marketable securities will be sufficient to fund our operating plans for at least twelve months from the date of filing of this Annual Report.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our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4"/>
              </w:rPr>
              <w:t>(88,210)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(57,837)</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(96,745)</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(330,127)</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170,315</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449,539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3"/>
              </w:rPr>
              <w:t>(14,640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61,575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$88.2 million, which was primarily attributable to a net loss of $105.4 million and net cash used by changes in our operating assets and liabilities of $2.6 million, partially offset by net non-cash charges of $19.8 million. Net cash used by changes in our operating assets and liabilities was primarily comprised of a decrease of $6.0 million in related party accounts payable and other current liabilities, an increase of $4.0 million in prepaid expenses and other current assets, partly offset by an increase of $7.2 million in accrued expenses and other current liabilities, and an increase of $0.7 million in accounts payable balances. Net non-cash charges primarily comprised of $24.2 million in stock-based compensation expense (includes $10.1 million from the Paruka Warrant Obligation, as defined in Note 11 to the consolidated financial statements), partially offset by $5.0 million in net accretion of premiums and discounts on marketable securities. The decrease in amounts due to related parties was primarily due to lower research expenses incurred with Paragon. The increase in balances for accrued expenses and other current liabilities, and accounts payable was primarily due to an increase in our business activity, as well as vendor invoicing and payments. The increase in prepaid expenses and other current assets was primarily due to prepaid research and development expenses with our contract research organization.</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February 6, 2024 (inception) to December 31, 2024, net cash used in operating activities was $57.8 million, which was primarily attributable to a net loss of $83.7 million, offset by net non-cash charges of $14.3 million and net changes in operating activities of $11.6 million. Non-cash charges primarily consisted of $14.9 million in stock-based compensation expense (including $10.4 million related to the Paruka Warrant Obligation) and $1.5 million of non-cash interest expense, partially offset by net accretion of premiums and discounts on marketable securities of $2.2 million. Net changes in our operating activities primarily consisted of a $3.5 million increase in accounts payable, a $3.3 million increase in accrued expenses and other current liabilities, a $6.0 million increase in related parties accounts payable and other current liabilities, partially offset by a $1.1 million increase in prepaid expenses and other current assets. The increase in amounts due to related parties, accounts payable, and accrued expenses and other current liabilities was primarily due to an increase in our business activity, as well as vendor invoicing and payments. The increase in prepaid expenses and other current assets was primarily due to prepaid research and development expenses with our contract research organization.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net cash used in investing activities was $96.7 million, which included $521.0 million in purchases of marketable securities and $0.2 million in purchases of property and equipment, partially offset by $424.4 million in proceeds from maturities of marketable securities.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February 6, 2024 (inception) to December 31, 2024, net cash used in investing activities was $330.1 million, which was primarily attributable to purchases of marketable securities.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$170.3 million, consisting of $169.6 million of net proceeds from the 2025 PIPE Financing and $0.7 million proceeds from the issuance of common stock upon exercise of stock options and employee warrants and purchases under our Employee Stock Purchase Plan.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February 6, 2024 (inception) to December 31, 2024, net cash provided by financing activities was $449.5 million, consisting of $228.0 million of net proceeds from the Pre-Closing Financing, $188.7 million of net proceeds from the 2024 PIPE Financing, $25.0 million of net proceeds from the issuance of notes payable to related parties, $4.9 million of cash acquired in connection with the reverse recapitalization and $2.9 million of net proceeds from issuance of the Pre-Merger Oruka Series A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CMOs and with other vendors for preclinical research studies, clinical trials, manufacturing, and other services and products for operating purposes. These contracts generally provide for termination on notice or may have a potential termination fee if a purchase order is cancelled within a specified time, and therefore, are cancelable contracts. We do not expect any such contract terminations and did not have any non-cancellable obligations under these agreements as of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Cell Line License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we entered into the Cell Line License Agreement (the “Cell Line License Agreement”) with WuXi Biologics Ireland Limited (“WuXi Biologics”). Under the Cell Line License Agreement, we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for the license, we agreed to pay WuXi Biologics a non-refundable license fee of $150,000, which was recognized as a research and development expense during the period from February 6, 2024 (inception) to December 31, 2024. Additionally, to the extent that we manufacture our commercial supplies of bulk drug product with a manufacturer other than WuXi Biologics or its affiliates, we are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minimum lease payments under our operating lease obligation for our headquarters in Menlo Park, California and our office in Waltham, Massachusetts. See Note 15 to the consolidated financial statements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Agreements and License Agreements – Paragon Therapeutics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milestones and royalties payable to Paragon. See Note 14 to the consolidated financial statements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its financial condition and results of operations is based on its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the consolidated financial statements, we believe the following accounting policies used in the preparation of our financial statements require the most significant judgments and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and bonuses, overhead costs, contract services and other related costs. The value of goods and services received from contract research organizations and contract manufacturing organizations in the reporting period are estimated based on the level of services performed, and progress in the period in cases when we have not received an invoice from the supplier. In circumstances where amounts have been paid in excess of costs incurred, we record a prepaid expense. When billing terms under these contracts do not coincide with the timing of when the work is performed, we are required to make estimates of outstanding obligations to those third parties as of period end. Any accrual estimates are based on a number of factors, including our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We measure stock options granted to employees and non-employees based on the estimated fair values of the awards as of the grant date using the Black-Scholes option-pricing model. The model requires management to make a number of assumptions, including common stock fair value, expected volatility, expected term, risk-free interest rate and expected dividend yield. For restricted stock awards and restricted stock units, the estimated fair value is the fair market value of the underlying stock on the grant date. We expense the fair value of our equity-based compensation awards on a straight-line basis over the requisite service period, which is the period in which the related services are received. We account for award forfeitures as they occur. The expense for stock-based awards with performance conditions is recognized when it is probable that a performance condition is met during the vesting period.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Fair Value of Common Stock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public trading market for Company Common Stock has been established in connection with the completion of the Merger. As such, it is no longer necessary for our board of directors to estimate the fair value of our stock-based awards in connection with its accounting for granted stock-based awards or other such awards we may grant, as the fair value of Company Common Stock and share-based awards is determined based on the quoted market price of Company Common Stock.</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the merger, Pre-Merger Oruka’s common stock valuations were prepared using a hybrid method, including an option pricing method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Pre-Merger Oruka had used significantly different assumptions or estimates, the fair value of Pre-Merger Oruka’s incentive shares and its stock-based compensation expense could have been materially different.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included in Part II - Item 8 of this Annual Report for more information regarding recently issued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did not have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Exchange Act of 1934, as amended (the “Exchange Act”), and in Item 10(f)(1) of Regulation S-K, and are not required to provide the information under this item.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00" w:type="dxa"/>
            <w:vAlign w:val="bottom"/>
          </w:tcPr>
          <w:p>
            <w:pPr>
              <w:spacing w:after="0"/>
              <w:rPr>
                <w:sz w:val="20"/>
                <w:szCs w:val="20"/>
                <w:color w:val="auto"/>
              </w:rPr>
            </w:pPr>
          </w:p>
        </w:tc>
      </w:tr>
      <w:tr>
        <w:trPr>
          <w:trHeight w:val="410"/>
        </w:trPr>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0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ORUKA THERAPEUTICS, INC.</w:t>
            </w:r>
          </w:p>
        </w:tc>
        <w:tc>
          <w:tcPr>
            <w:tcW w:w="1000" w:type="dxa"/>
            <w:vAlign w:val="bottom"/>
          </w:tcPr>
          <w:p>
            <w:pPr>
              <w:spacing w:after="0"/>
              <w:rPr>
                <w:sz w:val="24"/>
                <w:szCs w:val="24"/>
                <w:color w:val="auto"/>
              </w:rPr>
            </w:pPr>
          </w:p>
        </w:tc>
      </w:tr>
      <w:tr>
        <w:trPr>
          <w:trHeight w:val="238"/>
        </w:trPr>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8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0"/>
                <w:szCs w:val="20"/>
                <w:color w:val="auto"/>
              </w:rPr>
            </w:pPr>
          </w:p>
        </w:tc>
      </w:tr>
      <w:tr>
        <w:trPr>
          <w:trHeight w:val="439"/>
        </w:trPr>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00" w:type="dxa"/>
            <w:vAlign w:val="bottom"/>
          </w:tcPr>
          <w:p>
            <w:pPr>
              <w:spacing w:after="0"/>
              <w:rPr>
                <w:sz w:val="18"/>
                <w:szCs w:val="18"/>
                <w:color w:val="auto"/>
              </w:rPr>
            </w:pPr>
          </w:p>
        </w:tc>
      </w:tr>
      <w:tr>
        <w:trPr>
          <w:trHeight w:val="196"/>
        </w:trPr>
        <w:tc>
          <w:tcPr>
            <w:tcW w:w="5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238)</w:t>
            </w:r>
          </w:p>
        </w:tc>
        <w:tc>
          <w:tcPr>
            <w:tcW w:w="470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Convertible Preferred Stock and Stockholders’ Equity</w:t>
            </w:r>
          </w:p>
        </w:tc>
        <w:tc>
          <w:tcPr>
            <w:tcW w:w="4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Cash Flows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0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655"/>
        </w:trPr>
        <w:tc>
          <w:tcPr>
            <w:tcW w:w="5860" w:type="dxa"/>
            <w:vAlign w:val="bottom"/>
            <w:tcBorders>
              <w:bottom w:val="single" w:sz="8" w:color="auto"/>
            </w:tcBorders>
            <w:gridSpan w:val="7"/>
          </w:tcPr>
          <w:p>
            <w:pPr>
              <w:jc w:val="center"/>
              <w:ind w:left="5310"/>
              <w:spacing w:after="0"/>
              <w:rPr>
                <w:sz w:val="20"/>
                <w:szCs w:val="20"/>
                <w:color w:val="auto"/>
              </w:rPr>
            </w:pPr>
            <w:r>
              <w:rPr>
                <w:rFonts w:ascii="Times New Roman" w:cs="Times New Roman" w:eastAsia="Times New Roman" w:hAnsi="Times New Roman"/>
                <w:sz w:val="18"/>
                <w:szCs w:val="18"/>
                <w:color w:val="auto"/>
                <w:w w:val="99"/>
              </w:rPr>
              <w:t>79</w:t>
            </w:r>
          </w:p>
        </w:tc>
        <w:tc>
          <w:tcPr>
            <w:tcW w:w="4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2" w:name="page83"/>
    <w:bookmarkEnd w:id="8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Oruka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Oruka Therapeutics, Inc. and its subsidiary (the “Company”) as of December 31, 2025 and December 31, 2024, and the related consolidated statements of operations, of comprehensive loss, of convertible preferred stock and stockholders’ equity and of cash flows for the year ended December 31, 2025 and for the period from February 6, 2024 (inception) to December 31, 2024, including the related notes (collectively referred to as the “consolidated financial statements”). In our opinion, the consolidated financial statements present fairly, in all material respects, the financial position of the Company as of December 31, 2025 and December 31, 2024, and the results of its operations and its cash flows for the year ended December 31, 2025 and for the period from February 6, 2024 (inception) to December 31, 2024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Research and Development Costs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costs are expensed as incurred. Research and development costs include salaries and bonuses, stock-based compensation, employee benefits, and external costs of vendors and consultants engaged to conduct research and development activities, as well as allocated human resource costs, information technology costs, and facility-related costs, including rent, maintenance, utilities, and depreciation. As disclosed by management, the Company’s research and development expense for the year ended December 31, 2025 was $100.6 million, $64.4 million of which relates to external research and development costs.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external research and development costs, on a sample basis, by obtaining and agreeing the contractual terms of the agreement, amounts incurred to date, and estimates of work performed to date to the (i) underlying agreements with vendors engaged to conduct research and development; (ii) purchase orders; (iii) invoices received; (iv) underlying payments made for expenses incurred on the contracts; and (v) external confirmations or communications obtained by management from vendors.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290,109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314,073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343,857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376,869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15,374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13,043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16,687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non-voting convertible preferred stock, $0.001 par value; 251,504 shares authorized as of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 and 2024; 137,138 shares issued and outstanding as of December 31, 2025 and 2024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as of December 31, 2025 and 2024; 545,000,000 shares authorized as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2025 and 2024, 48,722,309 and 37,440,510 shares issued and outstanding as of December 31, 2025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657,561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463,018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(189,157)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(83,724)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471,930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382,221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6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(88,123)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16,630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(105,433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(83,724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loss per share attributable to Series A non-voting convertible preferred stockholders, basic and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Series B non-voting convertible preferred stockholders, basic and diluted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tc>
        <w:tc>
          <w:tcPr>
            <w:tcW w:w="1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45,614,142</w:t>
            </w: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16,789,362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6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Series A non-voting convertible</w:t>
            </w: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stockholders, basic and diluted</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Series B non-voting convertible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stockholders, basic and diluted</w:t>
            </w:r>
          </w:p>
        </w:tc>
        <w:tc>
          <w:tcPr>
            <w:tcW w:w="100" w:type="dxa"/>
            <w:vAlign w:val="bottom"/>
          </w:tcPr>
          <w:p>
            <w:pPr>
              <w:spacing w:after="0"/>
              <w:rPr>
                <w:sz w:val="22"/>
                <w:szCs w:val="22"/>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137,138</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$17,129 and $42,640 for the year ended December 31, 2025 and for the period from February 6, 2024 (inception) to December 31, 2024, respectively</w:t>
      </w:r>
    </w:p>
    <w:p>
      <w:pPr>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$139 and $1,364 for the year ended December 31, 2025 and for the period from February 6, 2024 (inception) to December 31, 2024, respectively</w:t>
      </w:r>
    </w:p>
    <w:p>
      <w:pPr>
        <w:ind w:left="340" w:hanging="332"/>
        <w:spacing w:after="0" w:line="26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of nil and $1,468 for the year ended December 31, 2025 and for the period from February 6, 2024 (inception) to December 31, 2024,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center"/>
        <w:ind w:left="3040"/>
        <w:spacing w:after="0" w:line="278" w:lineRule="auto"/>
        <w:rPr>
          <w:sz w:val="20"/>
          <w:szCs w:val="20"/>
          <w:color w:val="auto"/>
        </w:rPr>
      </w:pPr>
      <w:r>
        <w:rPr>
          <w:rFonts w:ascii="Times New Roman" w:cs="Times New Roman" w:eastAsia="Times New Roman" w:hAnsi="Times New Roman"/>
          <w:sz w:val="18"/>
          <w:szCs w:val="18"/>
          <w:b w:val="1"/>
          <w:bCs w:val="1"/>
          <w:color w:val="auto"/>
        </w:rPr>
        <w:t>ORUKA THERAPEUTICS, INC. CONSOLIDATED STATEMENTS OF COMPREHENSIVE LOSS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Unrealized gains (losses) on marketable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60" w:type="dxa"/>
            <w:vAlign w:val="bottom"/>
            <w:gridSpan w:val="3"/>
          </w:tcPr>
          <w:p>
            <w:pPr>
              <w:spacing w:after="0"/>
              <w:rPr>
                <w:sz w:val="20"/>
                <w:szCs w:val="20"/>
                <w:color w:val="auto"/>
              </w:rPr>
            </w:pPr>
          </w:p>
        </w:tc>
      </w:tr>
      <w:tr>
        <w:trPr>
          <w:trHeight w:val="434"/>
        </w:trPr>
        <w:tc>
          <w:tcPr>
            <w:tcW w:w="1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(83,765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200" w:space="480"/>
            <w:col w:w="2520"/>
          </w:cols>
          <w:pgMar w:left="320" w:top="873"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86" w:name="page87"/>
    <w:bookmarkEnd w:id="8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40" w:type="dxa"/>
            <w:vAlign w:val="bottom"/>
          </w:tcPr>
          <w:p>
            <w:pPr>
              <w:spacing w:after="0"/>
              <w:rPr>
                <w:sz w:val="16"/>
                <w:szCs w:val="16"/>
                <w:color w:val="auto"/>
              </w:rPr>
            </w:pPr>
          </w:p>
        </w:tc>
        <w:tc>
          <w:tcPr>
            <w:tcW w:w="13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240" w:type="dxa"/>
            <w:vAlign w:val="bottom"/>
          </w:tcPr>
          <w:p>
            <w:pPr>
              <w:spacing w:after="0"/>
              <w:rPr>
                <w:sz w:val="17"/>
                <w:szCs w:val="17"/>
                <w:color w:val="auto"/>
              </w:rPr>
            </w:pPr>
          </w:p>
        </w:tc>
        <w:tc>
          <w:tcPr>
            <w:tcW w:w="110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Non-Voting</w:t>
            </w:r>
          </w:p>
        </w:tc>
        <w:tc>
          <w:tcPr>
            <w:tcW w:w="40" w:type="dxa"/>
            <w:vAlign w:val="bottom"/>
          </w:tcPr>
          <w:p>
            <w:pPr>
              <w:spacing w:after="0"/>
              <w:rPr>
                <w:sz w:val="17"/>
                <w:szCs w:val="17"/>
                <w:color w:val="auto"/>
              </w:rPr>
            </w:pPr>
          </w:p>
        </w:tc>
        <w:tc>
          <w:tcPr>
            <w:tcW w:w="13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Non-Voting</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164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Convertible</w:t>
            </w:r>
          </w:p>
        </w:tc>
        <w:tc>
          <w:tcPr>
            <w:tcW w:w="12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40" w:type="dxa"/>
            <w:vAlign w:val="bottom"/>
          </w:tcPr>
          <w:p>
            <w:pPr>
              <w:spacing w:after="0"/>
              <w:rPr>
                <w:sz w:val="17"/>
                <w:szCs w:val="17"/>
                <w:color w:val="auto"/>
              </w:rPr>
            </w:pPr>
          </w:p>
        </w:tc>
        <w:tc>
          <w:tcPr>
            <w:tcW w:w="136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1240" w:type="dxa"/>
            <w:vAlign w:val="bottom"/>
          </w:tcPr>
          <w:p>
            <w:pPr>
              <w:spacing w:after="0"/>
              <w:rPr>
                <w:sz w:val="19"/>
                <w:szCs w:val="19"/>
                <w:color w:val="auto"/>
              </w:rPr>
            </w:pPr>
          </w:p>
        </w:tc>
        <w:tc>
          <w:tcPr>
            <w:tcW w:w="164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2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40" w:type="dxa"/>
            <w:vAlign w:val="bottom"/>
          </w:tcPr>
          <w:p>
            <w:pPr>
              <w:spacing w:after="0"/>
              <w:rPr>
                <w:sz w:val="19"/>
                <w:szCs w:val="19"/>
                <w:color w:val="auto"/>
              </w:rPr>
            </w:pPr>
          </w:p>
        </w:tc>
        <w:tc>
          <w:tcPr>
            <w:tcW w:w="13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9"/>
                <w:szCs w:val="19"/>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8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Accumulated  Stockholders’</w:t>
            </w:r>
          </w:p>
        </w:tc>
      </w:tr>
      <w:tr>
        <w:trPr>
          <w:trHeight w:val="209"/>
        </w:trPr>
        <w:tc>
          <w:tcPr>
            <w:tcW w:w="124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240" w:type="dxa"/>
            <w:vAlign w:val="bottom"/>
            <w:tcBorders>
              <w:top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40" w:type="dxa"/>
            <w:vAlign w:val="bottom"/>
          </w:tcPr>
          <w:p>
            <w:pPr>
              <w:spacing w:after="0"/>
              <w:rPr>
                <w:sz w:val="18"/>
                <w:szCs w:val="18"/>
                <w:color w:val="auto"/>
              </w:rPr>
            </w:pPr>
          </w:p>
        </w:tc>
        <w:tc>
          <w:tcPr>
            <w:tcW w:w="12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8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7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73"/>
        </w:trPr>
        <w:tc>
          <w:tcPr>
            <w:tcW w:w="124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Balances as of</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February 6,</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8"/>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11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3,197,975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2,207,553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Series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 convertible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of issuance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 of $69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2,931</w:t>
            </w:r>
          </w:p>
        </w:tc>
        <w:tc>
          <w:tcPr>
            <w:tcW w:w="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Exchange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Series B</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non-voting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upon the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closing of the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reverse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capitalization</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(20,000,000)</w:t>
            </w: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(2,931)</w:t>
            </w: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137,138</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2,931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2,931</w:t>
            </w: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upon the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closing of the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recapitalization</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2,722,207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26,445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26,448</w:t>
            </w: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pre-funded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in the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Pre-Closing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20,061,932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248,437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248,457</w:t>
            </w: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costs 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Pre-Closing</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 and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recapitalization</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(20,504)</w:t>
            </w: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former</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stockholders of</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ARCA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biopharma, Inc.</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 connection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the closing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reverse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recapitalization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1,208,883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A non-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voting</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pre-funded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warrants in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connection with</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 2024 PIPE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4"/>
              </w:rPr>
              <w:t>2,439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56,097</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144,433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144,439</w:t>
            </w: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PIPE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(8,592)</w:t>
            </w:r>
          </w:p>
        </w:tc>
      </w:tr>
    </w:tbl>
    <w:p>
      <w:pPr>
        <w:spacing w:after="0" w:line="20" w:lineRule="exact"/>
        <w:rPr>
          <w:sz w:val="20"/>
          <w:szCs w:val="20"/>
          <w:color w:val="auto"/>
        </w:rPr>
      </w:pPr>
    </w:p>
    <w:p>
      <w:pPr>
        <w:sectPr>
          <w:pgSz w:w="11900" w:h="16900" w:orient="portrait"/>
          <w:cols w:equalWidth="0" w:num="1">
            <w:col w:w="11240"/>
          </w:cols>
          <w:pgMar w:left="320" w:top="873" w:right="339"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9"/>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(2,439)</w:t>
            </w:r>
          </w:p>
        </w:tc>
        <w:tc>
          <w:tcPr>
            <w:tcW w:w="8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(52,834)</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52,832</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A non-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voting</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common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under employee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purchase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the Paruka</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from</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liability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10,357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4,562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on marketable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2"/>
                <w:szCs w:val="12"/>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8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(83,724</w:t>
            </w:r>
          </w:p>
        </w:tc>
        <w:tc>
          <w:tcPr>
            <w:tcW w:w="240" w:type="dxa"/>
            <w:vAlign w:val="bottom"/>
          </w:tcPr>
          <w:p>
            <w:pPr>
              <w:spacing w:after="0"/>
              <w:rPr>
                <w:sz w:val="6"/>
                <w:szCs w:val="6"/>
                <w:color w:val="auto"/>
              </w:rPr>
            </w:pPr>
          </w:p>
        </w:tc>
        <w:tc>
          <w:tcPr>
            <w:tcW w:w="80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color w:val="auto"/>
              </w:rPr>
              <w:t>(83,724</w:t>
            </w: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Balances as of</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137,138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2,931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37,440,510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463,018</w:t>
            </w: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(83,724)</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pre-funded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in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connection with</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2025 PIPE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10,933,405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179,989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 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 2025 PIPE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(10,356)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upon exercise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pre-funded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upon exercise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employee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under employee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purchase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Cancellation of</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stock</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awards</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(47,944)</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the Paruka</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from</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liability to</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10,065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14,175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on marketable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(105,433)</w:t>
            </w: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(105,433)</w:t>
            </w: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6"/>
                <w:szCs w:val="16"/>
                <w:b w:val="1"/>
                <w:bCs w:val="1"/>
                <w:color w:val="auto"/>
              </w:rPr>
              <w:t>Balances as of</w:t>
            </w: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right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137,138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2,931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48,722,309</w:t>
            </w:r>
          </w:p>
        </w:tc>
        <w:tc>
          <w:tcPr>
            <w:tcW w:w="100" w:type="dxa"/>
            <w:vAlign w:val="bottom"/>
          </w:tcPr>
          <w:p>
            <w:pPr>
              <w:spacing w:after="0"/>
              <w:rPr>
                <w:sz w:val="17"/>
                <w:szCs w:val="17"/>
                <w:color w:val="auto"/>
              </w:rPr>
            </w:pPr>
          </w:p>
        </w:tc>
        <w:tc>
          <w:tcPr>
            <w:tcW w:w="2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657,561</w:t>
            </w:r>
          </w:p>
        </w:tc>
        <w:tc>
          <w:tcPr>
            <w:tcW w:w="5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7"/>
                <w:szCs w:val="17"/>
                <w:color w:val="auto"/>
              </w:rPr>
            </w:pP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(189,157)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471,930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40" w:right="339" w:bottom="677"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677"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(105,433)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accretion of premiums and discounts on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accounts payable and other current liabilities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(520,959)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(329,938)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424,423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(96,745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(330,127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Pre-Merger Oruka Series A Preferred Stock, net of issuance costs paid</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notes payable to related party, net of issuance costs paid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24,980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Pre-Closing Financing, net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227,953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PIPE Financings,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169,644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188,681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 in connection with the reverse recapitalization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employee warrants and purchases under</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170,315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449,539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61,575</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operating and financing activities: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arising from obtaining operating right-of-use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acquired in connection with the reverse recapitalization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 assumed in connection with the reverse recapitalization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accrued interest on convertible note converted to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Non-cash exchange of Pre-Merger Oruka Series A Preferred Stock for Company Series B Convertible Preferred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Series A non-voting convertible preferred stock to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52,834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the Paruka warrant from liability to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10,357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Basis of Presentation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Oruka Therapeutics, Inc., together with its subsidiary (collectively, the “Company”), formerly known as ARCA biopharma, Inc. (“ARCA”), is a clinical-stage biopharmaceutical company that is the result of the reverse recapitalization discussed below. Prior to the reverse recapitalization, the private company Oruka Therapeutics, Inc. (“Pre-Merger Oruka”) was established and incorporated under the laws of the state of Delaware on February 6, 2024 (referred to in the Notes as the inception of the Company). The Company is headquartered in Menlo Park, California. The Company is focused on developing novel monoclonal antibody therapeutics for psoriasis (“PsO”) and other inflammatory and immunology (“I&amp;I”) indications.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operations of the Company and its wholly-owned subsidiary. Intercompany balances and transactions have been eliminated in consolidation. The accompanying consolidated financial statements have been prepared in conformity with United States (“U.S.”) generally accepted accounting principles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 and Pre-Closing Financing, and Reverse Stock Split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29, 2024 (the “Closing”), the Company completed the acquisition (the “Merger”) of Pre-Merger Oruka pursuant to an Agreement and Plan of Merger and Reorganization, dated as of April 3, 2024 (the “Merger Agreement”). Following the transactions contemplated by the Merger Agreement, Pre-Merger Oruka merged with and into Atlas Merger Sub Corp., a wholly owned subsidiary of ARCA and following that, Pre-Merger Oruka then merged with and into Atlas Merger Sub II, LLC (“Second Merger Sub”), with Second Merger Sub being the surviving entity. Second Merger Sub changed its corporate name to “Oruka Therapeutics Operating Company, LLC”. On August 29, 2024, the Company changed its name from “ARCA biopharma, Inc.” to “Oruka Therapeutics, Inc.” and the Company effected a 1-for-12 reverse stock split (the “Reverse Stock Split”) of its common stock, par value $0.001 per share (“Company Common Stock”), which became effective on September 3, 2024. All references to common stock, options to purchase common stock, outstanding common stock warrants, common stock share data, per share data, Company Common Stock, and related information contained in the consolidated financial statements have been retrospectively adjusted to reflect the effect of the Reverse Stock Split for all periods presented, unless otherwise specifically indicated or the context otherwise requires.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Immediately prior to the execution and delivery of the Merger Agreement, certain new and existing investors of Pre-Merger Oruka entered into a subscription agreement with Pre-Merger Oruka (that was subsequently amended and restated in July 2024,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(as defined in Note 9) and accrued interest on such note which converted to shares of Pre-Merger Oruka Common Stock) (the “Pre-Closing Financing”). The Company incurred transaction costs of $20.5 million, which were recorded as a reduction to additional paid-in capital in the consolidated financial statements.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shares of Pre-Merger Oruka Common Stock were converted into shares of Company Common Stock and pre-funded warrants of Company Common Stock in accordance with the Exchange Ratio (as defined below and determined by the terms of the Merger Agreement). Moreover, as part of the Closing, (i) then-issued and outstanding shares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(the “Exchange Ratio”), which were subject to the same vesting provisions as those immediately prior to the Merger; (ii) each share of Pre-Merger Oruka Series A convertible preferred stock, par value $0.0001 (“Pre-Merger Oruka Series A Preferred Stock”) was converted into the right to receive a number of shares of ARCA Series B non-voting convertible preferred stock, par value $0.001 per share (“Company Series B Preferred Stock”), which are convertible into shares of Company Common Stock at a conversion ratio of approximately 83.3332:1 after the Reverse Stock Split, (iii) each outstanding option to purchase Pre-Merger Oruka Common Stock was converted into an option to purchase shares of Company Common Stock, and (iv) each outstanding warrant to purchase shares of Pre-Merger Oruka Common Stock was converted into a warrant to purchase shares of Company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owned a substantial majority of the voting rights in the combined company; (ii) Pre-Merger Oruka’s largest stockholders retained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(a) the Merger was treated as the equivalent of Pre-Merger Oruka issuing stock to acquire the net assets of ARCA, and (b) the reported historical operating results of the combined company prior to the Merger are those of Pre-Merger Oruka. As part of the reverse recapitalization, the Company acquired a cash balance of $4.94 million from ARCA. Additional information regarding the Merger is included in Note 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cash, cash equivalents, and marketable securities of $479.6 million and an accumulated deficit of $189.2 million. 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to finance its operating activities through a combination of equity offerings and debt financings.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expects that its research and development and general and administrative costs will continue to increase significantly, including in connection with conducting future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assumptions, and judgments that affect the reported amounts of assets and liabilities and the disclosure of contingent liabilities at the date of the consolidated financial statements and the reported amounts of income and expenses during the reporting periods. Significant estimates and assumptions reflected within these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could differ materially from those estimates or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and marketable securities. The Company’s investment policy limits investments to high credit quality securities issued by the U.S. government, U.S. government-sponsored agencies, highly rated banks, and corporate issuers, subject to certain concentration limits and restrictions on maturities. The Company’s cash, cash equivalents and marketable securities are held by financial institutions that management believes are of high credit quality. The financial instruments that potentially subject the Company to a concentration of credit risk consist principally of cash deposits. Accounts at the Company’s U.S. banking institution are insured by the Federal Deposit Insurance Corporation (“FDIC”) up to $250,000 per depositor. As of December 31, 2025, the balance at the Company’s U.S. banking institution exceeded the FDIC limits. The Company has not experienced any losses on its deposits of cash and cash equivalents and its accounts are monitored by management to mitigate risk. The Company is exposed to credit risk in the event of default by the financial institutions holding its cash and cash equivalents, and bond issuers.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organizations to research, develop, manufacture, and process its product candidates for its development programs, including its two most advanced programs, ORKA-001 and ORKA-002.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Therapeutics, Inc. (“Paragon”) (see Note 14).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cash equivalents were comprised of investments in money market funds, U. S. treasury securities, U.S. government agency securities, and debt securities and are stated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invests in marketable securities, primarily securities issued by the U.S. government and its agencies, commercial paper and corporate debt securities. The Company’s marketable securities are classified as available-for-sale and reported at fair value, with unrealized gains and losses included as a component of accumulated other comprehensive loss.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results of operations. For available-for-sale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an allowance is recorded for the difference between the present value of cash flows expected to be collected and the amortized cost basis of the security. Impairment losses attributable to credit loss factors are charged against the allowance when management believes an available-for-sale security is uncollectible or when either of the criteria regarding intent or requirement to sell is met.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unrealized losses from declines in fair value below the amortized cost basis as a result of non-credit loss factors are recognized as a component of accumulated other comprehensive loss, net of unrealized gains. Realized gains and losses and declines in fair value, if any, on available-for-sale securities are included in other income, net, in the results of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Marketable securities with stated maturities of greater than three months from the date of purchase but less than one year from the consolidated balance sheet date are classified as current, while marketable securities with maturities in one year or beyond one year from the consolidated balance sheet date are classified as long-term. The cost of securities sold is determined using the specific-identification method. Interest earned and adjustments for the amortization of premiums and discounts on investments are included in interest income on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Debt issuance costs incurred in connection with the Convertible Note (see Note 9) are recorded as a reduction of the carrying value of the notes payable liability on the Company’s balance sheet and are amortized to interest expense over the term of the loan using the effective interest method. At the effective time of the Merger the Convertible Note was converted to common stock and is no longer on the balance sheet as of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determined according to the fair value hierarchy described above (see Note 6). The carrying values of the Company’s prepaid expenses and other current assets, accounts payable and accrued expenses and other current liabilities approximate their fair values due to their relatively short maturity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ranging from three to five years. Leasehold improvements are amortized over the shorter of the lease term or the estimated useful lives of the assets. Maintenance and repairs are charged to expense as incurred. When assets are retired or otherwise disposed of, the cost and accumulated depreciation are removed from the consolidated balance sheet and any resulting gain or loss is reflected in operations in the period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reverse recapitalization, the Company had classified its Pre-Merger Oruka Series A Preferred Stock outside of stockholders’ equity on the Company’s 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closing of the Merger, the Company converted its Pre-Merger Oruka Series A Preferred Stock to Company Series B Preferred Stock and has classified the Company Series B Preferred Stock within stockholders’ equity on its consolidated balance sheet because the Company Series B Preferred Stock is not redeemable or puttable to the Company by the holder under any circumstances.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2024 PIPE Financing (see Note 4) the Company issued Company Series A Preferred Stock, and has classified the Company Series A Preferred Stock outside of stockholders’ equity on the Company’s consolidated balance sheet because the holders of such stock have certain rights (see Note 10) that, in certain situations, is not solely within the control of the Company and would require the redemption of the then-outstanding convertible preferred stock. In November 2024, the Company Series A Preferred Stock shares were converted to common stock, and as of December 31, 2025 and December 31, 2024, there were no shares of Company Series A Preferred Stock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to Related Party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accounted for the Convertible Note (as defined in Note 9) at amortized cost. The Company considered if optional conversion features are required to be bifurcated and separately accounted for as a derivative. Costs related to the issuance of the Convertible Note were recorded as a debt discount, amortized over the term of the Convertible Note (see Note 9) and were accounted for as interest expense in other income (expenses) within the consolidated statements of operations using the effective interest method. At the effective time of the Merger, shares of Pre-Merger Oruka Common Stock issued pursuant to the conversion of the Convertible Note (including accrued interest) automatically converted into shares of Company Common Stock (see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Accruals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and contract manufacturing organizations (“CMOs”), and the Company’s related-party Paragon (see Note 14).</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accrues for expenses resulting from obligations under its antibody discovery and option agreements (the “Option Agreements”) (see Note 14), by and among Paragon, Paruka Holding LLC (“Paruka”), an entity formed by Paragon as a vehicle to hold equity in the Company, and the Company as well as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If advance payments are made to Paragon, a CRO, CMO, or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December 31, 2025 and December 31, 2024, the Company has not experienced any material deviations between accrued and actual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lease commencement date, when control of the underlying asset is transferred from the lessor to the Company, the Company classifies a lease as either an operating or finance lease and recognizes a right-of-use (“ROU”) asset and a current and non-current lease liability, as applicable, in the balance sheet if the lease has a term greater than one year. Lease terms may include options to extend or terminate the lease when it is reasonably certain that the Company will exercise its option.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lease commencement date, operating lease liabilities and their corresponding ROU assets are recorded at the present value of future minimum lease payments over the expected remaining lease term. The Company determines the present value of lease payments using the implicit rate, if it is readily determinable, or the risk-free discount rate for a period comparable with that of the lease term.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December 31, 2025, the Company has two operating leases and no finance leases.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lease and non-lease components related to operating leases as a single lease component. The Company has elected that costs associated with leases having an initial term of 12 months or less are recognized in the consolidated statements of operations on a straight-line basis over the lease term and are not recorded on its consolidated balance sheets. Variable lease expense is recognized as incurred and consists primarily of real estate taxes, utilities, and other office space-related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salaries and bonuses, stock-based compensation, employee benefits, and external costs of vendors and consultants engaged to conduct research and development activities, as well as allocated human resource costs, information technology costs, and facility-related costs, including rent, maintenance, utilities, and depreciation.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on the accompanying consolidated balance sheet. The prepaid amounts are expensed as the related goods are delivered or the services are performed, or when it is no longer expected that the goods will be delivered, or the services rendered. If nonrefundable advance payments represent a one-time cost for obtaining goods or services, with anticipated benefits to be utilized within a year of period end, the payment is expensed immediately.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bonuses, stock-based compensation, employee benefits, finance and administration costs, patent and intellectual property costs, professional fees, as well as allocated human resource costs, information technology costs, and facility-related costs, including rent, maintenance, utilities and depreciation.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balance sheet. The Company does not accrue for contingent losses that, in its judgment, are considered to be reasonably possible, but not probable; however, it discloses the range of reasonably possible losses. As of December 31, 2025 and 2024, no liabilities were recorded for loss contingencies (see Note 15).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its stock awards using the Black-Scholes option pricing model, which uses as inputs the fair value of the Company’s common stock, and certain management estimates,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Company selects companies with comparable characteristics with historical share price information that approximates the expected term of the equity-based awards. The Company computes the historical volatility data using the daily closing prices for the selected companies’ shares during the equivalent period that approximates the calculated expected term of the stock options. The Company will continue to apply this method until a sufficient amount of historical information regarding the volatility of its stock price becomes available. The risk-free interest rate is based on the U.S. Treasury yield curve in effect at the time of grant, commensurate with the expected term assumption. For employee and non-employee awards (except the Paruka warrant) the Company uses the simplified method, under which the expected term is presumed to be the midpoint between the vesting date and the end of the contractual term. The Company utilizes this method due to lack of historical exercise data. For the Paruka warrant, the contractual term is used for the expected term. The expected dividend yield is assumed to be zero as the Company has no current plans to pay any dividends on common stock.</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restricted common stock awards (“RSAs”) using the difference, if any, between the purchase price per share of the award and the fair value of the Company’s common stock at the date of grant.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grants stock options, restricted stock awards, and warrants that are subject to service or performance-based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Forfeitures are accounted for as they occur. As of each reporting date, the Company estimates the probability that specified performance criteria will be met and does not recognize compensation expense until it is probable that the performance-based vesting condition will be achieved.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issued stock options, warrants, and RSAs with service-based and performance-based vesting conditions.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the compensation expense for the option to purchase common stock under the Employee Stock Purchase Plan (“ESPP”), based on the fair value of the common stock estimated using the closing price of the Company’s common stock as reported on the date of offering, less the purchase discount percentage provided for in the plan.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 or in which the award recipient’s service payments are classified,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events other than those with stockholders. The Company’s unrealized gains and losses on marketable securities represent the only component of other comprehensive loss that is excluded from the reported net loss and that is presented in the consolidated statements of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Stockholders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and diluted net loss attributable to stockholders per share is presented in conformity with the two-class method required for participating securities (Pre-Merger Oruka Series A Preferred Stock). Basic earnings per share is computed by dividing net income available to each class of shares by the weighted-average number of shares of common stock and participating securities outstanding during the period. Pre-funded warrants were included as the exercise price is negligible and these warrants are fully vested and exercisable. Company Series A Preferred Stock and Company Series B Preferred Stock share the same characteristics as Common Stock and have no substantive preference attributed to them and, accordingly, have been considered as classes of Common Stock in the computation of net loss per share regardless of their legal form.</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loss is allocated to common stock based on its proportional ownership on an as-converted basis. Net loss is not allocated to participating securities as they do not have an obligation to fund losses. The weighted-average number of shares outstanding of common stock reflects changes in ownership over the periods presented. See Note 10 — Convertible Preferred Stock and Stockholders’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stockholders adjusted for income (expenses), net of tax, related to any diluted securities, by the weighted-average number of shares of common stock and potentially dilutive securities outstanding for the period. For purposes of this calculation, stock options to purchase common stock, employee warrants to purchase common stock, and unvested RSAs are considered potential dilutive common shares.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generated a net loss for the periods presented. Accordingly, basic and diluted net loss per share is the same because the inclusion of the potentially dilutive securities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of interest earned on the Company’s cash, cash equivalents, and marketable securities; interest expense on the convertible note from a related party, and foreign currency transactions gains and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expands disclosures in an entity’s income tax rate reconciliation table and disclosures regarding taxes paid both in the U.S. and foreign jurisdictions. This update is effective beginning with the Company’s 2025 fiscal year annual reporting period. The Company adopted ASU 2023-09 in 2025 and applied the update retrospectively for the period from February 6, 2024 (inception) to December 31, 2024, and the impact of the adoption of this update was not material to the Company’s consolidated financial position and results of operations since the update requires only enhancements of existing income tax disclosures. The additional required disclosures have been included in Note 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the adoption of this ASU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 and Pre-Closing Financing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within the Reverse Recapitalization and Pre-Closing Financing section in Note 1, on August 29, 2024, the reverse recapitalization between Pre-Merger Oruka and ARCA was consummated. The Merger was accounted for as a reverse recapitalization in accordance with U.S. GAAP. At the effective time of the Merger, substantially all of the assets of ARCA consisted of cash and cash equivalents and other nominal non-operating assets and liabilities. No goodwill or intangible assets were recognized.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part of the recapitalization, the Company acquired the assets and liabilities listed below (in thousands):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August 29,</w:t>
            </w:r>
          </w:p>
        </w:tc>
      </w:tr>
      <w:tr>
        <w:trPr>
          <w:trHeight w:val="245"/>
        </w:trPr>
        <w:tc>
          <w:tcPr>
            <w:tcW w:w="100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10020" w:type="dxa"/>
            <w:vAlign w:val="bottom"/>
            <w:tcBorders>
              <w:top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PIPE Financings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2024, the Company entered into a Securities Purchase Agreement (the “2024 Securities Purchase Agreement”) for a private placement (the “2024 PIPE Financing”) with certain institutional and accredited investors. The closing of the 2024 PIPE Financing occurred on September 13, 2024.</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2024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share of Company Series A Preferred Stock was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 In November 2024, the 2,439 shares of the Company Series A Preferred Stock were converted to 2,439,000 shares of Company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17, 2025, the Company entered into a Securities Purchase Agreement (the “2025 Securities Purchase Agreement”) for a private placement (the “2025 PIPE Financing”) with certain institutional and accredited investors. The closing of the 2025 PIPE Financing occurred on September 19,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2025 Securities Purchase Agreement, the investors purchased an aggregate of 10,933,405 shares of Company Common Stock at a purchase price of $15.00 per share, and pre-funded warrants to purchase an aggregate of 1,066,666 shares of Company Common Stock at a purchase price of $14.999 per pre-funded warrant, for aggregate net proceeds of approximately $169.6 million (net of issuance costs of $10.4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5. ATM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3, 2025, the Company entered into a Sales Agreement with TD Securities (USA) LLC (the “Sales Agreement”), as its sales agent, pursuant to which the Company may issue and sell, from time to time, shares of the Company Common Stock for aggregate gross proceeds of up to $200.0 million under an at-the-market (“ATM”) offering program. The Company is not obligated to make any sales of shares under the Sales Agreement. No securities were sold under the ATM offering program during the year ended December 31, 2025. Subsequent to the year end, the Company issued and sold an aggregate of 1,167,895 shares of Company Common Stock pursuant to the ATM offering program at an average price per share of $33.99 for total net proceeds of $38.9 million after deducting sales agents’ commissions.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financial assets measured as of December 31, 2025 and 2024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30,268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30,268</w:t>
            </w: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180" w:type="dxa"/>
            <w:vAlign w:val="bottom"/>
          </w:tcPr>
          <w:p>
            <w:pPr>
              <w:spacing w:after="0"/>
              <w:rPr>
                <w:sz w:val="20"/>
                <w:szCs w:val="20"/>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14,483</w:t>
            </w:r>
          </w:p>
        </w:tc>
        <w:tc>
          <w:tcPr>
            <w:tcW w:w="88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14,483</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30,268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195,915</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195,915</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28,757</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28,757</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papers</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21,241</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21,241</w:t>
            </w:r>
          </w:p>
        </w:tc>
      </w:tr>
      <w:tr>
        <w:trPr>
          <w:trHeight w:val="24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44,196</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44,196</w:t>
            </w:r>
          </w:p>
        </w:tc>
      </w:tr>
      <w:tr>
        <w:trPr>
          <w:trHeight w:val="210"/>
        </w:trPr>
        <w:tc>
          <w:tcPr>
            <w:tcW w:w="59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current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290,109</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290,109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75,730</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75,730</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54,998</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54,998</w:t>
            </w: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20"/>
                <w:szCs w:val="20"/>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11,811</w:t>
            </w:r>
          </w:p>
        </w:tc>
        <w:tc>
          <w:tcPr>
            <w:tcW w:w="88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11,811</w:t>
            </w:r>
          </w:p>
        </w:tc>
      </w:tr>
      <w:tr>
        <w:trPr>
          <w:trHeight w:val="236"/>
        </w:trPr>
        <w:tc>
          <w:tcPr>
            <w:tcW w:w="59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marketable securities, long-term</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ind w:left="460"/>
              <w:spacing w:after="0" w:line="203" w:lineRule="exact"/>
              <w:rPr>
                <w:sz w:val="20"/>
                <w:szCs w:val="20"/>
                <w:color w:val="auto"/>
              </w:rPr>
            </w:pPr>
            <w:r>
              <w:rPr>
                <w:rFonts w:ascii="Times New Roman" w:cs="Times New Roman" w:eastAsia="Times New Roman" w:hAnsi="Times New Roman"/>
                <w:sz w:val="18"/>
                <w:szCs w:val="18"/>
                <w:color w:val="auto"/>
                <w:w w:val="92"/>
              </w:rPr>
              <w:t>30,268</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447,131</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6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477,399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6,350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19,660</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3,988</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180" w:type="dxa"/>
            <w:vAlign w:val="bottom"/>
          </w:tcPr>
          <w:p>
            <w:pPr>
              <w:spacing w:after="0"/>
              <w:rPr>
                <w:sz w:val="20"/>
                <w:szCs w:val="20"/>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22,177</w:t>
            </w:r>
          </w:p>
        </w:tc>
        <w:tc>
          <w:tcPr>
            <w:tcW w:w="88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22,177</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6,350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190,792</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190,792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12,966</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papers</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34,811</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34,811</w:t>
            </w:r>
          </w:p>
        </w:tc>
      </w:tr>
      <w:tr>
        <w:trPr>
          <w:trHeight w:val="25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75,504</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75,504</w:t>
            </w:r>
          </w:p>
        </w:tc>
      </w:tr>
      <w:tr>
        <w:trPr>
          <w:trHeight w:val="210"/>
        </w:trPr>
        <w:tc>
          <w:tcPr>
            <w:tcW w:w="59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current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314,073</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314,073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13,607</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13,607</w:t>
            </w:r>
          </w:p>
        </w:tc>
      </w:tr>
      <w:tr>
        <w:trPr>
          <w:trHeight w:val="25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4,462</w:t>
            </w:r>
          </w:p>
        </w:tc>
      </w:tr>
      <w:tr>
        <w:trPr>
          <w:trHeight w:val="210"/>
        </w:trPr>
        <w:tc>
          <w:tcPr>
            <w:tcW w:w="59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long-term</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18,069</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18,069</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6,350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377,967</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 3 during the year ended December 31, 2025, and the period from February 6, 2024 (inception) to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7. Cash Equivalents and Marketable Securities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which are classified as available-for-sale, consisted of the following as of December 31,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30,268</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14,484</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14,483</w:t>
            </w:r>
          </w:p>
        </w:tc>
        <w:tc>
          <w:tcPr>
            <w:tcW w:w="0" w:type="dxa"/>
            <w:vAlign w:val="bottom"/>
          </w:tcPr>
          <w:p>
            <w:pPr>
              <w:spacing w:after="0"/>
              <w:rPr>
                <w:sz w:val="1"/>
                <w:szCs w:val="1"/>
                <w:color w:val="auto"/>
              </w:rPr>
            </w:pPr>
          </w:p>
        </w:tc>
      </w:tr>
      <w:tr>
        <w:trPr>
          <w:trHeight w:val="236"/>
        </w:trPr>
        <w:tc>
          <w:tcPr>
            <w:tcW w:w="4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Marketable securities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195,607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195,915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28,757</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21,239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44,173</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44,196</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current</w:t>
            </w:r>
          </w:p>
        </w:tc>
        <w:tc>
          <w:tcPr>
            <w:tcW w:w="14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289,743</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290,109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75,730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54,949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54,998</w:t>
            </w:r>
          </w:p>
        </w:tc>
        <w:tc>
          <w:tcPr>
            <w:tcW w:w="0" w:type="dxa"/>
            <w:vAlign w:val="bottom"/>
          </w:tcPr>
          <w:p>
            <w:pPr>
              <w:spacing w:after="0"/>
              <w:rPr>
                <w:sz w:val="1"/>
                <w:szCs w:val="1"/>
                <w:color w:val="auto"/>
              </w:rPr>
            </w:pPr>
          </w:p>
        </w:tc>
      </w:tr>
      <w:tr>
        <w:trPr>
          <w:trHeight w:val="237"/>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11,797</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11,811</w:t>
            </w:r>
          </w:p>
        </w:tc>
        <w:tc>
          <w:tcPr>
            <w:tcW w:w="0" w:type="dxa"/>
            <w:vAlign w:val="bottom"/>
          </w:tcPr>
          <w:p>
            <w:pPr>
              <w:spacing w:after="0"/>
              <w:rPr>
                <w:sz w:val="1"/>
                <w:szCs w:val="1"/>
                <w:color w:val="auto"/>
              </w:rPr>
            </w:pPr>
          </w:p>
        </w:tc>
      </w:tr>
      <w:tr>
        <w:trPr>
          <w:trHeight w:val="236"/>
        </w:trPr>
        <w:tc>
          <w:tcPr>
            <w:tcW w:w="45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marketable securities, long-term</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4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476,853</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19,656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22,180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22,177</w:t>
            </w:r>
          </w:p>
        </w:tc>
        <w:tc>
          <w:tcPr>
            <w:tcW w:w="0" w:type="dxa"/>
            <w:vAlign w:val="bottom"/>
          </w:tcPr>
          <w:p>
            <w:pPr>
              <w:spacing w:after="0"/>
              <w:rPr>
                <w:sz w:val="1"/>
                <w:szCs w:val="1"/>
                <w:color w:val="auto"/>
              </w:rPr>
            </w:pPr>
          </w:p>
        </w:tc>
      </w:tr>
      <w:tr>
        <w:trPr>
          <w:trHeight w:val="236"/>
        </w:trPr>
        <w:tc>
          <w:tcPr>
            <w:tcW w:w="4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equivalents</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52,174</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Marketable securities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190,748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190,792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12,966</w:t>
            </w: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34,808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34,811</w:t>
            </w: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75,537</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75,504</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current</w:t>
            </w:r>
          </w:p>
        </w:tc>
        <w:tc>
          <w:tcPr>
            <w:tcW w:w="14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314,060</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314,073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13,639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marketable securities, long-term</w:t>
            </w:r>
          </w:p>
        </w:tc>
        <w:tc>
          <w:tcPr>
            <w:tcW w:w="14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18,124</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384,358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9" w:name="page100"/>
    <w:bookmarkEnd w:id="9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available-for-sale securities in an unrealized loss position, aggregated by major security type and length of time in a continuous unrealized loss position, for which an allowance for credit losses was not recorded as of December 31,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longer</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8,771</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8,771</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6,143</w:t>
            </w:r>
          </w:p>
        </w:tc>
        <w:tc>
          <w:tcPr>
            <w:tcW w:w="1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6,143</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2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longer</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49,904</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49,904</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39,468</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39,468</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13,607</w:t>
            </w:r>
          </w:p>
        </w:tc>
        <w:tc>
          <w:tcPr>
            <w:tcW w:w="12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13,607</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49"/>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4,462</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32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130,353</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130,353</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it is not more likely than not that the Company will be required to sell the securities before recovery of the unamortized cost basis, which may be at maturity. There were no material realized gains or realized losses on marketable securities for the period presented. Given the Company’s intent and ability to hold such securities until recovery, and the lack of significant change in credit risk of these investments, the Company does not consider these marketable securities to be impaired as of December 31, 2025 and 2024. As of December 31, 2025 and 2024, the Company did not record an allowance for credit losses.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at estimated fair value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1-2 years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142,539</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18,069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10,591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Note Payable with Related Party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2024, Pre-Merger Oruka entered into a Series A Preferred Stock and Convertible Note Purchase Agreement (the “Purchase Agreement”) with Fairmount Healthcare Fund II, L.P. (“Fairmount”), whereby Pre-Merger Oruka issued a convertible note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Immediately prior to the completion of the Merger (see Note 1),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2,722,207 shares of Company Common Stock.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assessed all terms and features of the Convertible Note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 were not clearly and closely associated with a debt host. However, these features did not meet the definition of a derivative under ASC 815, Derivatives and Hedging, and as a result, did not require separate accounting as a derivative liability.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paid debt issuance costs of less than $0.1 million in relation to the Convertible Note. The debt issuance costs were reflected as a reduction of the carrying value of Convertible Note on the consolidated balance sheet and were being amortized as interest expense over the term of the Convertible Note using the effective interest method. For the year ended December 31, 2025 and the period from February 6, 2024 (inception) to December 31, 2024, the Company recognized interest expenses related to the Convertible Note of nil and $1.5 million, respectively, which includes non-cash interest expense related to the amortization of debt issuance. As of December 31, 2025 and 2024, the Convertible Note was not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10. Convertible Preferred Stock and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2024, pursuant to the Subscription Agreement and immediately prior to the Closing, certain new and current investors purchased pre-funded warrants, which, at the effective time of the Merger, were exercisable for 5,522,207 shares of Company Common Stock at a purchase price of approximately $9.70 per warrant. After the Closing, there were 5,522,207 pre-funded warrants outstanding and were exercisable for 5,522,207 shares of the Company Common Stock at an exercise price of $0.01 per share. The Company issued 25,014 shares of Company Common Stock on net exercises of 25,024 pre-funded warrants during the year ended December 31,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2024, in connection with the 2024 PIPE Financing, the Company issued and sold 680,000 pre-funded warrants, at a purchase price of $22.999 per warrant, exercisable for 680,000 shares of Company Common Stock at an exercise price of $0.001 per share. The Company issued 299,986 shares of Company Common Stock on net exercises of 300,000 pre-funded warrants during the year ended December 31, 2025.</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2025, in connection with the 2025 PIPE Financing, the Company issued and sold 1,066,666 pre-funded warrants, at a purchase price of $14.999 per warrant, exercisable for 1,066,666 shares of Company Common Stock at an exercise price of $0.001 per share.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pre-funded warrants were recorded as a component of stockholders’ equity within additional paid-in-capital and have no expiration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6,943,849 and 6,202,207 pre-funded warrants were outstanding as of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Warrants</w:t>
      </w:r>
    </w:p>
    <w:p>
      <w:pPr>
        <w:spacing w:after="0" w:line="22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The Subscription Agreement provided for, among other things, the issuance of warrants to certain of Pre-Merger Oruka’s employees and directors immediately prior to the Closing. During the period from February 6, 2024 (inception) to December 31, 2024, 3,054,358 employee warrants were issued at an exercise price of $7.80 per warrant. These warrants vest over a period of four years. Per the terms of the Employee Warrant Agreement, the holders of the Company’s warrants shall not have any of the rights or privileges of a stockholder of the Company in respect of any shares purchasable upon the exercise of the warrant or any portion thereof unless and until a certificate or certificates representing such shares have been issued or a book entry representing such shares has been made and such shares have been deposited with the appropriate registered book-entry custodian. The Company recognizes compensation cost related to warrants on a straight-line basis over the requisite service period, which is the period in which the related services are received. During the year ended December 31, 2025, 19,570 warrants were exercised. No employee warrants were exercised during the period from February 6, 2024 (inception) to December 31, 2024. As of December 31, 2025 and 2024, 3,029,510 and 3,054,358 warrants, respectively, were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2024, Pre-Merger Oruka issued and sold an aggregate of 20,000,000 shares of Pre-Merger Oruka Series A Preferred Stock to Fairmount, at a purchase price of approximately $0.15 per share, for aggregate gross proceeds of $3.0 million. Pre-Merger Oruka incurred less than $0.1 million of issuance costs in connection with this transaction. Upon the issuance of the Pre-Merger Oruka Series A Preferred Stock, the Company assessed the embedded conversion and liquidation features of the securities as described below and determined that such features did not require the Company to separately account for these features.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2024, upon Closing, the Pre-Merger Oruka Series A Preferred Stock converted to 137,138 shares of Company Series B Preferred Stock.</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2024, in connection with the 2024 PIPE Financing, the Company issued and sold an aggregate of 2,439 shares of the Company Series A Preferred Stock at a purchase price of $23,000.00 per share. In November 2024, the 2,439 shares of the Company Series A Preferred Stock were converted to 2,439,000 shares of Company Common Stock. As of December 31, 2025 and 2024, there are no outstanding shares of Company Series A Preferred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ind w:left="340"/>
        <w:spacing w:after="0"/>
        <w:rPr>
          <w:sz w:val="20"/>
          <w:szCs w:val="20"/>
          <w:color w:val="auto"/>
        </w:rPr>
      </w:pPr>
      <w:r>
        <w:rPr>
          <w:rFonts w:ascii="Times New Roman" w:cs="Times New Roman" w:eastAsia="Times New Roman" w:hAnsi="Times New Roman"/>
          <w:sz w:val="18"/>
          <w:szCs w:val="18"/>
          <w:color w:val="auto"/>
        </w:rPr>
        <w:t>As of December 31, 2025 and 2024, convertible preferred stock consisted of the following (in thousands,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Issuable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Upon</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Series B Preferred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Preferred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Issuable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Upon</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Series B Preferred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11,428,149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Certificate of Designation of Preferences, Rights and Limitations of the Series A Non-Voting Convertible Preferred Stock (the “Series A Certificate of Designation”) filed in connection with the PIPE Financing, holders of Company Series A Preferred Stock were entitled to receive dividends on shares of Company Series A Preferred Stock equal to, on an as-if-converted-to-Company Common Stock basis, and in the same form as, dividends actually paid on shares of Company Common Stock. Except as provided in the Series A Certificate of Designation or as otherwise required by law, the Company Series A Preferred Stock did not have voting rights. The Company Series A Preferred Stock shall rank on parity with the Company Common Stock and Company Series B Preferred Stock upon any liquidation, dissolution or winding-up of the Company. Subject to the terms and limitations contained in the Series A Certificate of Designation, the Company Series A Preferred Stock issued in the PIPE Financing will not become convertible until the Company’s stockholders approve the conversion of the Company Series A Preferred Stock into shares of Company Common Stock in accordance with the listing rules of the Nasdaq Stock Market (the “Stockholder Approval”), which, on issuance, resulted in the Company Series A Preferred Stock being classified outside of stockholders’ equity on the Company’s consolidated balance sheet. Following the Stockholder Approval in November 2024, each share of Company Series A Preferred Stock was automatically converted into 1,000 shares of Company Common Stock.</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Certificate of Designation of Preferences, Rights and Limitations of the Series B Non-Voting Convertible Preferred Stock (the “Series B Certificate of Designation”) filed in connection with the Merger, holders of Company Series B Preferred Stock are entitled to receive dividends on shares of Company Series B Preferred Stock equal to, on an as-if-converted-to-Company Common Stock basis, and in the same form as, dividends actually paid on shares of Company Common Stock. Except as provided in the Series B Certificate of Designation or as otherwise required by law, the Company Series B Preferred Stock does not have voting rights. The Company Series B Preferred Stock shall rank on parity with the Company Common Stock as to the distribution of assets upon any liquidation, dissolution, or winding-up of the Company. Each share of Company Series B Preferred Stock is convertible at the option of the holder, at any time, and without the payment of additional consideration by the holder. As of each of December 31, 2025 and 2024, each outstanding share of Company Series B Preferred Stock was convertible into common stock at a ratio of approximately 83.3332:1.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Paruka Warrant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2024, the Company settled its 2024 obligations under the Paruka Warrant Obligation (defined below) by issuing Paruka a warrant to purchase 596,930 shares of Company Common Stock at an exercise price of $19.39 per share. On December 12, 2025, the Company settled its 2025 obligations under the Paruka Warrant Obligation (defined below) by issuing Paruka a warrant to purchase 375,000 shares of Company Common Stock at an exercise price of $30.18 per share. The warrants have a term of 10 years, are fully vested, and are exercisable in part or full at any time during the term of the warrant. As of December 31, 2025 and 2024, the warrants issued under the Paruka Warrant Obligation are outstanding and unexercised. See Note 11 for additional information on the Paruka Warrant Obligation.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for 545,000,000 authorized shares of Company Common Stock as of each of December 31, 2025 and 2024. As of December 31, 2025, 48,722,309 shares of Company Common Stock were issued and outstanding, including 2,159,609 shares of RSAs issued and outstanding. As of December 31, 2024, 37,440,510 shares of Company Common Stock were issued and outstanding, including 2,207,553 shares of RSAs issued and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2025 and 2024, the Company had common stock reserved for future issuance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on conversion of Company Series B Preferred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11,428,149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pre-funded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6,943,849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6,202,207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under the Paruka Warrant Obligation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971,930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596,930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issued 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3,950,958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1,567,760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issued employee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3,029,510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3,054,358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2024 Stock Incentive Plan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4,600,217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4,246,324</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2024 Employee Stock Purchase Plan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975,922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460,529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shares of common stock reserved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31,900,535</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27,556,257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2024 Equity Incentive Plan (“2024 Plan”) was adopted by the board of directors of Pre-Merger Oruka on February 6, 2024. The 2024 Plan provided for Pre-Merger Oruka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two non-employee stock options were granted with vesting terms less than four years. As of December 31, 2025, and 2024, 1,167,826 shares and 1,179,193 shares, respectively, were subject to options outstanding under the 2024 Plan and will become available under the 2024 Stock Incentive Plan (defined below) to the extent the options are forfeited or lapse unexercised.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Incentive Plan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22, 2024, the 2024 Stock Incentive Plan (“2024 Stock Plan”) was approved by the Company’s stockholders and on August 29, 2024, the board of directors of the Company (the “Board”) ratified the 2024 Stock Plan. The 2024 Stock Plan allows for the grant of stock options, stock appreciation rights, restricted stock awards, restricted stock units, other stockholder-based awards and incentive bonuses.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2024 Stock Plan is administered by the Compensation Committee of the Board (the “Compensation Committee”) or another committee designated by the Board to administer the Plan. The initial share pool under the 2024 Stock Plan was 4,634,891 shares of Company Common Stock. The shares that may be issued under the 2024 Stock Plan will be automatically increased on January 1 of each year beginning in 2025 and ending with a final increase on January 1, 2034 in an amount equal to 5% of the diluted stock (including Company Common Stock, preferred stock and unexercised pre-funded warrants) on the preceding December 31, unless a lower, or no, increase is determined by the Compensation Committee. An additional 2,753,543 shares and 3,354,715 shares became available for issuance under the 2024 Stock Plan on January 1, 2025 and 2026, respectively, as a result of the annual increase pursuant to the evergreen provision. Current or prospective employees, officers, non-employee directors, and other independent service providers of the Company and its subsidiary are eligible to participate in the 2024 Stock Plan.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7,383,349 shares were reserved for issuance under the 2024 Stock Plan, of which 4,600,217 shares were available for future grant and 2,783,132 shares were subject to outstanding options. As of December 31, 2024, 4,634,891 shares were reserved for issuance under the 2024 Stock Plan, of which 4,246,324 shares were available for future grant and 388,567 shares were subject to outstanding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Employee Stock Purchase Plan (the “ESPP”) became effective in August 2024, at which time 463,489 shares of Company Common Stock were reserved for issuance. Eligible employees may purchase shares of Company Common Stock under the ESPP at 85% of the lower of the fair market value of the Company Common Stock as of the first or the last day of each offering period. Employees are limited to contributing 15% of the employee’s eligible compensation and may not purchase more than $25,000 of stock during any calendar year. The ESPP will terminate ten years from the first purchase date under the plan, unless terminated earlier by the board of directors.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shares that may be issued under the ESPP will be automatically increased on January 1 of each year beginning in 2025 and ending with a final increase on January 1, 2034 in an amount equal to 1% of the diluted stock (including Company Common Stock, preferred stock and unexercised pre-funded warrants) on the preceding December 31, unless a lower, or no increase is determined by the Compensation Committee. An additional 550,709 shares and nil shares became available for issuance under the ESPP on January 1, 2025 and 2026, respectively, as a result of the annual increase pursuant to the evergreen provision.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35,316 and 2,960 shares during the year ended December 31, 2025 and for the period from February 6, 2024 (inception) to December 31, 2024, respectively, out of the ESPP. As of December 31, 2025 and 2024, there were 975,922 and 460,529 shares, respectively, of Company Common Stock available in the pool for future issuances.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and for the period from February 6, 2024 (inception) to December 31, 2024, stock-based compensation expenses related to the ESPP were $0.2 million and less than $0.1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14"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calculating the fair value of the awards for the year ended December 31, 2025 and the period from February 6, 2024 (inception) to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activities under the 2024 Plan and 2024 Stock Plan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1,567,760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2,440,400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3,950,958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220" w:type="dxa"/>
            <w:vAlign w:val="bottom"/>
            <w:tcBorders>
              <w:top w:val="single" w:sz="8" w:color="CCEEFF"/>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69,966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December 31, 2025</w:t>
            </w:r>
          </w:p>
        </w:tc>
        <w:tc>
          <w:tcPr>
            <w:tcW w:w="1280" w:type="dxa"/>
            <w:vAlign w:val="bottom"/>
            <w:gridSpan w:val="2"/>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69,966</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3,950,958</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gridSpan w:val="2"/>
            <w:vMerge w:val="continue"/>
          </w:tcPr>
          <w:p>
            <w:pPr>
              <w:spacing w:after="0"/>
              <w:rPr>
                <w:sz w:val="22"/>
                <w:szCs w:val="22"/>
                <w:color w:val="auto"/>
              </w:rPr>
            </w:pPr>
          </w:p>
        </w:tc>
        <w:tc>
          <w:tcPr>
            <w:tcW w:w="1180" w:type="dxa"/>
            <w:vAlign w:val="bottom"/>
            <w:tcBorders>
              <w:bottom w:val="single" w:sz="8" w:color="CCEEFF"/>
            </w:tcBorders>
            <w:gridSpan w:val="2"/>
            <w:vMerge w:val="continue"/>
          </w:tcPr>
          <w:p>
            <w:pPr>
              <w:spacing w:after="0"/>
              <w:rPr>
                <w:sz w:val="22"/>
                <w:szCs w:val="22"/>
                <w:color w:val="auto"/>
              </w:rPr>
            </w:pPr>
          </w:p>
        </w:tc>
        <w:tc>
          <w:tcPr>
            <w:tcW w:w="1220" w:type="dxa"/>
            <w:vAlign w:val="bottom"/>
            <w:tcBorders>
              <w:bottom w:val="single" w:sz="8" w:color="CCEEFF"/>
            </w:tcBorders>
            <w:gridSpan w:val="2"/>
            <w:vMerge w:val="continue"/>
          </w:tcPr>
          <w:p>
            <w:pPr>
              <w:spacing w:after="0"/>
              <w:rPr>
                <w:sz w:val="22"/>
                <w:szCs w:val="22"/>
                <w:color w:val="auto"/>
              </w:rPr>
            </w:pPr>
          </w:p>
        </w:tc>
        <w:tc>
          <w:tcPr>
            <w:tcW w:w="240" w:type="dxa"/>
            <w:vAlign w:val="bottom"/>
            <w:tcBorders>
              <w:bottom w:val="single" w:sz="8" w:color="CCEEFF"/>
            </w:tcBorders>
            <w:gridSpan w:val="2"/>
            <w:vMerge w:val="continue"/>
          </w:tcPr>
          <w:p>
            <w:pPr>
              <w:spacing w:after="0"/>
              <w:rPr>
                <w:sz w:val="22"/>
                <w:szCs w:val="22"/>
                <w:color w:val="auto"/>
              </w:rPr>
            </w:pPr>
          </w:p>
        </w:tc>
        <w:tc>
          <w:tcPr>
            <w:tcW w:w="112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Exercisable, December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972,898</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10.75</w:t>
            </w:r>
          </w:p>
        </w:tc>
        <w:tc>
          <w:tcPr>
            <w:tcW w:w="1220" w:type="dxa"/>
            <w:vAlign w:val="bottom"/>
            <w:tcBorders>
              <w:bottom w:val="single" w:sz="8" w:color="CCEEFF"/>
            </w:tcBorders>
            <w:gridSpan w:val="2"/>
            <w:shd w:val="clear" w:color="auto" w:fill="CCEEFF"/>
          </w:tcPr>
          <w:p>
            <w:pPr>
              <w:ind w:left="880"/>
              <w:spacing w:after="0" w:line="202" w:lineRule="exact"/>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19,029</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during the year ended December 31, 2025 and the period from February 6, 2024 (inception) to December 31, 2024 was $10.49 and $9.12 per share,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Company Common Stock and the exercise price of outstanding, in-the-money employee stock options. The total intrinsic value of the options exercised during the year ended December 31, 2025 and for the period from February 6, 2024 (inception) to December 31, 2024 was $0.3 million and nil,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2024 and March 2024, the Company issued 2,207,553 shares of RSAs to certain employees, directors, and consultants at a price of $0.0001 per share, the then par value of Pre-Merger Oruka Common Stock. Such RSAs have service-based vesting conditions only and vest over a four-year period, during which time all unvested shares are subject to forfeiture in the event the holder’s service with the Company voluntarily or involuntarily terminates. For each of the year ended December 31, 2025 and the period February 6, 2024 (inception) to December 31, 2024, stock-based compensation expenses related to RSAs were less than $0.1 million.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RSA activity for the year ended December 31,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RSAs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2,207,553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restricted stock awards that vested during the year ended December 31, 2025 was $14.0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Agreements and the Paruka Warrant Obligation</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Option Agreements, the Company granted warrants to purchase a number of shares equal to 1.00% of outstanding shares as of the date of the grant on a fully-diluted basis, or based upon the agreed number of warrants as disclosed in the Warrant Agreement, with an exercise price equal to the fair market value of the underlying shares on the grant date (the “Paruka Warrant Obligation”).</w:t>
      </w:r>
    </w:p>
    <w:p>
      <w:pPr>
        <w:spacing w:after="0" w:line="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grant dates for the issuance of warrants were expected to be December 31, 2024 and December 31, 2025 as all terms of the award, including number of shares and exercise price, will be known by all parties. The Company determined that the 2024 and 2025 grants are two separate grants, as there would be no obligation for the 2025 grant had the Company exercised or terminated all of the options under the Option Agreements prior to December 31, 2024. The service inception period for the grant precedes the grant date, with the full award being vested as of the grant date with no post-grant date service requirement. Accordingly, a liability related to the Paruka Warrant Obligation was recorded during the 2024 and 2025 interim periods. The liability is adjusted to fair value at the end of each interim reporting period, with changes in fair value recorded in the consolidated statements of operations as stock-based compensation expenses under research and development expenses.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settled its 2024 and 2025 obligations under the Paruka Warrant Obligation by issuing Paruka 596,930 and 375,000 warrants, respectively, to purchase the Company Common Stock at an exercise price per share per warrant of $19.39 and $30.18, respectively. For the year ended December 31, 2025 and for the period from February 6 (inception) to December 31, 2024, $10.1 million and $10.4 million, respectively, were recognized as stock-based compensation expenses related to the Paruka Warrant obligation. On issuance of the warrants to Paruka, the fair value of the warrants was reclassified from liability to equity on the consolidated balance sheet as of December 31, 2025 and 2024.</w:t>
      </w:r>
    </w:p>
    <w:p>
      <w:pPr>
        <w:spacing w:after="0" w:line="1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calculating the fair value of the Paruka Warrant Obligation for the year ended December 31, 2025 and the period from February 6, 2024 (inception) to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33"/>
        </w:trPr>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2025, the unamortized expense related to Paruka Warrant Obligation was nil.</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Warrants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stated above, in July 2024, the Subscription Agreement was amended and restated, among other things, for employee warrants to be issued to certain Pre-Merger Oruka employees and directors prior to the Closing. During the period from February 6, 2024 (inception) to December 31, 2024, the Company issued 3,054,358 warrants at an exercise price of $7.80 per warrant, which are accounted as equity in the consolidated financial statements. The employee warrants were subject to performance and service based vesting requirements and upon completion of the Merger the performance-based requirements had been achieved.</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employee warrant activity for the period during the year ended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Canceled/forfeited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tcBorders>
              <w:top w:val="single" w:sz="8" w:color="CCEEFF"/>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68,194</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December 31, 2025</w:t>
            </w:r>
          </w:p>
        </w:tc>
        <w:tc>
          <w:tcPr>
            <w:tcW w:w="1280" w:type="dxa"/>
            <w:vAlign w:val="bottom"/>
            <w:gridSpan w:val="2"/>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68,194</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3,029,510</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gridSpan w:val="2"/>
            <w:vMerge w:val="continue"/>
          </w:tcPr>
          <w:p>
            <w:pPr>
              <w:spacing w:after="0"/>
              <w:rPr>
                <w:sz w:val="22"/>
                <w:szCs w:val="22"/>
                <w:color w:val="auto"/>
              </w:rPr>
            </w:pPr>
          </w:p>
        </w:tc>
        <w:tc>
          <w:tcPr>
            <w:tcW w:w="1200" w:type="dxa"/>
            <w:vAlign w:val="bottom"/>
            <w:tcBorders>
              <w:bottom w:val="single" w:sz="8" w:color="CCEEFF"/>
            </w:tcBorders>
            <w:gridSpan w:val="2"/>
            <w:vMerge w:val="continue"/>
          </w:tcPr>
          <w:p>
            <w:pPr>
              <w:spacing w:after="0"/>
              <w:rPr>
                <w:sz w:val="22"/>
                <w:szCs w:val="22"/>
                <w:color w:val="auto"/>
              </w:rPr>
            </w:pPr>
          </w:p>
        </w:tc>
        <w:tc>
          <w:tcPr>
            <w:tcW w:w="1220" w:type="dxa"/>
            <w:vAlign w:val="bottom"/>
            <w:tcBorders>
              <w:bottom w:val="single" w:sz="8" w:color="CCEEFF"/>
            </w:tcBorders>
            <w:gridSpan w:val="2"/>
            <w:vMerge w:val="continue"/>
          </w:tcPr>
          <w:p>
            <w:pPr>
              <w:spacing w:after="0"/>
              <w:rPr>
                <w:sz w:val="22"/>
                <w:szCs w:val="22"/>
                <w:color w:val="auto"/>
              </w:rPr>
            </w:pPr>
          </w:p>
        </w:tc>
        <w:tc>
          <w:tcPr>
            <w:tcW w:w="220" w:type="dxa"/>
            <w:vAlign w:val="bottom"/>
            <w:tcBorders>
              <w:bottom w:val="single" w:sz="8" w:color="CCEEFF"/>
            </w:tcBorders>
            <w:gridSpan w:val="2"/>
            <w:vMerge w:val="continue"/>
          </w:tcPr>
          <w:p>
            <w:pPr>
              <w:spacing w:after="0"/>
              <w:rPr>
                <w:sz w:val="22"/>
                <w:szCs w:val="22"/>
                <w:color w:val="auto"/>
              </w:rPr>
            </w:pPr>
          </w:p>
        </w:tc>
        <w:tc>
          <w:tcPr>
            <w:tcW w:w="114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Exercisable, December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1,221,338</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7.80</w:t>
            </w:r>
          </w:p>
        </w:tc>
        <w:tc>
          <w:tcPr>
            <w:tcW w:w="1220" w:type="dxa"/>
            <w:vAlign w:val="bottom"/>
            <w:tcBorders>
              <w:bottom w:val="single" w:sz="8" w:color="CCEEFF"/>
            </w:tcBorders>
            <w:gridSpan w:val="2"/>
            <w:shd w:val="clear" w:color="auto" w:fill="CCEEFF"/>
          </w:tcPr>
          <w:p>
            <w:pPr>
              <w:ind w:left="880"/>
              <w:spacing w:after="0" w:line="202" w:lineRule="exact"/>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27,492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employee warrants were granted during the year ended December 31, 2025. The weighted average grant-date fair value per share of the employee warrants granted during the period from February 6, 2024 (inception) to December 31, 2024 was $6.27 per share.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6" w:name="page107"/>
    <w:bookmarkEnd w:id="10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estimated fair value of the underlying Company Common Stock and the exercise price of outstanding, in-the-money warrants. The total intrinsic value of the employee warrants exercised during the year ended December 31, 2025 and for the period from February 6, 2024 (inception) to December 31, 2024 was $0.4 million and nil, respectively.</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calculating the fair value of the warrants for the period from February 6, 2024 (inception) to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9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the Company’s stock-based compensation expense in the consolidated statements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2,927</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the unvested stock options was $29.1 million, which is expected to be recognized over a weighted average period of approximately 2.9 years.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the unvested RSAs was less than $0.1 million, which is expected to be recognized over a weighted average period of 2.1 years.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compensation cost related to the employee warrants was $11.0 million, which is expected to be recognized over a weighted average period of 2.3 years.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award types of the Company’s stock-based compensation expense in the consolidated statements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84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Paruka Warrant Obligation</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Employee warrants</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84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12. Segment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operates in one reportable segment.</w:t>
      </w:r>
    </w:p>
    <w:p>
      <w:pPr>
        <w:spacing w:after="0" w:line="15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consolidated assets. The Company’s long-lived assets consist primarily of property and equipment, net. As of December 31, 2025 all of long-lived assets were in the U.S.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summarizes the segment loss from operations, including significant segment expenses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personnel-related (excluding stock-based compensation)</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personnel-related (excluding 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stock-based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57,680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1,429</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excluding personnel-related and stock-based compensation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5,082</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122,051</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88,123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provision for income taxes was recorded for the year ended December 31, 2025 and for the period from February 6, 2024 (inception) to December 31, 2024.</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loss before income tax expense by jurisdiction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and for the period from February 6, 2024 (inception) to December 31, 2024, the Company recognized no provision or benefit from income taxes. The difference between the Company’s provision for income taxes and the amounts computed by applying the statutory federal income tax rate to income before income taxes is as follows (amounts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February 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 w:type="dxa"/>
            <w:vAlign w:val="bottom"/>
          </w:tcPr>
          <w:p>
            <w:pPr>
              <w:spacing w:after="0"/>
              <w:rPr>
                <w:sz w:val="18"/>
                <w:szCs w:val="18"/>
                <w:color w:val="auto"/>
              </w:rPr>
            </w:pPr>
          </w:p>
        </w:tc>
        <w:tc>
          <w:tcPr>
            <w:tcW w:w="132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24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24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Percent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8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Tax benefit derived by applying the federal statutory rate to loss before income</w:t>
            </w: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(22,141)</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(17,582)</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(2,109)</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(2,840)</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4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the valuation allowance</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23,338</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22.14</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340" w:type="dxa"/>
            <w:vAlign w:val="bottom"/>
            <w:tcBorders>
              <w:top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
        </w:trPr>
        <w:tc>
          <w:tcPr>
            <w:tcW w:w="584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8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838"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consist of the following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25,069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49,140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21,501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(48,716)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established a full federal and state valuation allowance equal to the net deferred tax assets due to uncertainties regarding the realization of the deferred tax asset based on the Company’s lack of earnings history. The valuation allowance increased by $27.4 million and $21.3 million, respectively during the year ended December 31, 2025 and the period from February 6, 2024 (inception) to December 31, 2024, primarily due to continuing loss from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21,317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0" w:type="dxa"/>
            <w:vAlign w:val="bottom"/>
          </w:tcPr>
          <w:p>
            <w:pPr>
              <w:spacing w:after="0"/>
              <w:rPr>
                <w:sz w:val="20"/>
                <w:szCs w:val="20"/>
                <w:color w:val="auto"/>
              </w:rPr>
            </w:pP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27,399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21,317</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48,716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U.S. net operating loss carryforwards (“NOL”) of $28.2 million and $10.8 million, respectively. The federal NOL carryforwards do not expire and can be utilized to offset up to 80% of the taxable income in any tax year. As of December 31, 2025 and 2024, the Company also had state NOL carryforwards of $7.5 million and nil, respectively. The state NOL carryforwards will expire starting in 2044, if not utilized.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had federal tax credit carryforwards and state tax credit carryforwards of $6.7 million and $0.5 million, respectively. For the period from February 6, 2024 (inception) to December 31, 2024 the Company had federal tax credit carryforwards and state tax credit carryforwards of $3.8 million and $0.4 million, respectively. The federal credits will expire starting in 2044 if not utilized, and the state research credit can be carried forward indefinitely.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has not performed a Section 382 analysis through December 31, 2025.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820" w:type="dxa"/>
            <w:vAlign w:val="bottom"/>
            <w:tcBorders>
              <w:bottom w:val="single" w:sz="8" w:color="CCEEFF"/>
            </w:tcBorders>
          </w:tcPr>
          <w:p>
            <w:pPr>
              <w:spacing w:after="0"/>
              <w:rPr>
                <w:sz w:val="21"/>
                <w:szCs w:val="21"/>
                <w:color w:val="auto"/>
              </w:rPr>
            </w:pPr>
          </w:p>
        </w:tc>
        <w:tc>
          <w:tcPr>
            <w:tcW w:w="3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in the current year</w:t>
            </w: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4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taken in prior years</w:t>
            </w:r>
          </w:p>
        </w:tc>
        <w:tc>
          <w:tcPr>
            <w:tcW w:w="3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Ending balance</w:t>
            </w:r>
          </w:p>
        </w:tc>
        <w:tc>
          <w:tcPr>
            <w:tcW w:w="38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86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366" w:gutter="0" w:footer="0" w:header="0"/>
        </w:sectPr>
      </w:pPr>
    </w:p>
    <w:bookmarkStart w:id="109" w:name="page110"/>
    <w:bookmarkEnd w:id="109"/>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includes penalties and interest expense related to income taxes as a component of income tax expense, as necessary. As of December 31, 2025 and 2024, the Company had no accrued interest or penalties related to uncertain tax positions.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various state jurisdictions. The Company is not currently under examination by income tax authorities in federal, state, or other jurisdictions.</w:t>
      </w:r>
    </w:p>
    <w:p>
      <w:pPr>
        <w:spacing w:after="0" w:line="158" w:lineRule="exact"/>
        <w:rPr>
          <w:sz w:val="20"/>
          <w:szCs w:val="20"/>
          <w:color w:val="auto"/>
        </w:rPr>
      </w:pPr>
    </w:p>
    <w:p>
      <w:pPr>
        <w:ind w:left="340" w:right="7540" w:hanging="332"/>
        <w:spacing w:after="0" w:line="532" w:lineRule="auto"/>
        <w:tabs>
          <w:tab w:leader="none" w:pos="286"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Option Agreements and License Agreements </w:t>
      </w:r>
      <w:r>
        <w:rPr>
          <w:rFonts w:ascii="Times New Roman" w:cs="Times New Roman" w:eastAsia="Times New Roman" w:hAnsi="Times New Roman"/>
          <w:sz w:val="17"/>
          <w:szCs w:val="17"/>
          <w:i w:val="1"/>
          <w:iCs w:val="1"/>
          <w:color w:val="auto"/>
        </w:rPr>
        <w:t>Option Agreements – Paragon Therapeutics</w:t>
      </w:r>
    </w:p>
    <w:p>
      <w:pPr>
        <w:spacing w:after="0" w:line="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2024, the Company entered into two antibody discovery and option agreements (the “Option Agreements”) with Paragon Therapeutics, Inc. (“Paragon”) and Paruka. Under the terms of each agreement, Paragon identifies, evaluates, and develops antibodies directed against certain mutually agreed therapeutic targets of interest to the Company. From time to time, the Company can choose to add additional targets to the collaboration upon agreement with Paragon and Paruka. Under the Option Agreements, the Company has the exclusive option to, on a research program-by-research program basis, be granted an exclusive, worldwide license to all of Paragon’s rights, titles, and interest in and to the intellectual property resulting from the applicable research program to develop, manufacture, and commercialize the antibodies and products directed to the selected target(s) (each, an “Option”). The Company has initiated certain research programs with Paragon that generally focus on discovering, generating, identifying and/or characterizing antibodies directed to a particular target (each, a “Research Program”), including for IL-23 and IL-17A/F for ORKA-001 and ORKA-002, respectively. The exclusive option with respect to each Research Program is exercisable at the Company’s sole discretion at such time as specified in the Option Agreements (the “Option Period”). There is no payment due upon exercise of an Option pursuant to the Option Agreements.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Company entered into an additional option agreement for an antibody with Paragon and Paruka to enter into a license agreement, which the Company exercised in December 2025. For the year ended December 31, 2025 the Company incurred $1.5 million related to this additional option agreement which was recognized as research and development expense. Per the terms of this option agreement, once the Company enters into the corresponding license agreement, it will be required to make non-refundable milestone payments to Paragon of up to $12.0 million under the agreement upon the achievement of certain clinical development milestones, up to $10.0 million under the agreement upon the achievement of certain regulatory milestones, as well as a low single-digit percentage royalty for antibody products beginning on the first commercial sale. As of December 31, 2025, the Company has not entered into a license agreement with Paragon and Paruka related to this additional option agreement.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the Option Agreements and the additional option agreement mentioned above, on December 31, 2024, the Company settled its 2024 obligations under the Paruka Warrant Obligation by issuing Paruka a warrant to purchase 596,930 shares of Company Common Stock at an exercise price of $19.39 per share, and on December 12, 2025, the Company settled its 2025 obligations under the Paruka Warrant Obligation by issuing Paruka a warrant to purchase 375,000 shares of Company Common Stock at an exercise price of $30.18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 Paragon Therapeutics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2024, the Company exercised its exclusive option to acquire certain rights to ORKA-001, and in December 2024, it entered into a corresponding license agreement with Paragon (the “ORKA-001 License Agreement”), pursuant to which Paragon granted the Company a royalty-bearing, world-wide, exclusive license to develop, manufacture, commercialize, or otherwise exploit certain antibodies and products targeting IL-23 in all fields other than the field of inflammatory bowel disease (“ORKA-001 Field”). In December 2024, the Company exercised its exclusive option to acquire certain rights to ORKA-002, and in February 2025, it entered into the corresponding license agreement with Paragon (the “ORKA-002 License Agreement” and together with the ORKA-001 License Agreement, the “License Agreements”), pursuant to which Paragon granted the Company a royalty-bearing, world-wide, exclusive license to develop, manufacture, commercialize, or otherwise exploit certain antibodies and products targeting IL-17A/F in all fields (“ORKA-002 Field” and together with the ORKA-001 Field, the “Fields”). Pursuant to each of the two License Agreements, Paragon has agreed not to conduct any new campaigns that generate anti-IL-23 monospecific antibodies or anti-IL-17A/F monospecific antibodies in the respective agreed-upon fields.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Agreements provide the Company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License Agreements may be terminated on 60 days’ notice to Paragon, on material breach without cure, and on a party’s insolvency or bankruptcy to the extent permitted by law.</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each of the License Agreements, the Company is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the Company is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 Each of the License Agreements may be terminated on 60 days’ notice to Paragon, on material breach without cure, and on a party’s insolvency or bankruptcy to the extent permitted by law. As of December 31, 2025, the Company has incurred and expensed milestone payments of $7.0 million and $4.0 million in connection with the ORKA-001 License Agreement and the ORKA-002 License Agreement,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Option Agreements and License Agreements, on a research program-by-research program basis following the finalization of the research plan for each respective research program, the Company was required to pay certain initiation fees, development costs and milestone payments to Paragon.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ORKA-001 program, the Company recognized research and development expenses related to the following milestones during the period from February 6, 2024 (inception) to December 31, 2024: a one-time, nonrefundable research initiation fee of $0.8 million; $1.5 million related to exercising the Company’s Option and achievement of development candidate; and $2.5 million related to completing the first dosing of a human subject in a Phase 1 trial. The Company was responsible for 50% of the development costs incurred through the completion of the IL-23 selection process, which was completed in June 2024. An amount of $13.5 million was incurred during the period from February 6, 2024 (inception) to December 31, 2024 for research and development expenses for the ORKA-001 program.</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ORKA-002 program, the Company recognized research and development expenses related to the following milestones during the period from February 6, 2024 (inception) to December 31, 2024: a one-time, nonrefundable research initiation fee of $0.8 million and $1.5 million related to exercising the Company’s Option and achievement of development candidate. The Company was responsible for the development costs incurred through the completion of the IL-23 selection process, which was completed in December 2024. An amount of $11.1 million was incurred during the period from February 6, 2024 (inception) to December 31, 2024 for research and development expenses for the ORKA-002 program.</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Option Agreements and License Agreements, for year ended December 31, 2025, the Company’s share of research and development expenses for the ORKA-001 program was nil. The Company recognized a milestone payment of $3.0 million related to completing the first dosing of a human patient in a Phase 2 trial for the ORKA-001 program during the year ended December 31, 2025. These costs were recorded as research and development expenses. As of December 31, 2025 and 2024, nil and $2.8 million, respectively, related to ORKA-001 were included in related party accounts payable and other current liabilities.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Option Agreements and License Agreements, for the year ended December 31, 2025, the Company’s share of research and development expense for the ORKA-002 program was $0.1 million. The Company recognized a milestone payment of $2.5 million related to completing the first dosing of a human subject in a Phase 1 trial for the ORKA-002 program during the year ended December 31, 2025. These costs were recorded as research and development expenses. As of December 31, 2025 and 2024, nil and $2.7 million, respectively, related to ORKA-002 were included in related party accounts payable and other current liabilities.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the service fees as the associated costs are incurred when the underlying services are rendered. Such amounts are classified within research and development expenses in the accompanying consolidated statements of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ind w:left="340" w:right="8420" w:hanging="332"/>
        <w:spacing w:after="0" w:line="503" w:lineRule="auto"/>
        <w:tabs>
          <w:tab w:leader="none" w:pos="28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2024, the Company entered into an operating lease agreement for the Company’s headquarters in Menlo Park, California, which commenced on June 15, 2024 with an initial term of 39.5 months. In February 2025, the Company entered into an operating lease agreement in Waltham, Massachusetts, which commenced on April 1, 2025 with an initial term of 54 months. The Company leases office spaces under noncancelable operating lease agreements. Lease liabilities are based on the net present value of the remaining lease payments over the remaining lease terms. In determining the present value of lease payments, the Company used its incremental borrowing rate when measuring operating lease liabilities, as discount rates were not implicit or readily determinable.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and for the period from February 6, 2024 (inception) to December 31, 2024, the Company recorded operating and variable lease expenses of $0.9 million and $0.3 million, respectively, in general and administrative expenses in its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supplemental cash flow information related to leases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 from</w:t>
            </w: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February 6,</w:t>
            </w: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16"/>
        </w:trPr>
        <w:tc>
          <w:tcPr>
            <w:tcW w:w="860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17.95%</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 maturity analysis of the Company’s operating lease liabilities showing the aggregate lease payments as of December 31,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22"/>
                <w:szCs w:val="22"/>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10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10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discounted lease payments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23"/>
        </w:trPr>
        <w:tc>
          <w:tcPr>
            <w:tcW w:w="100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Non-current portion of lease liability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Cell Line License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consideration for the license, the Company agreed to pay WuXi Biologics a non-refundable license fee of $150,000, which was recognized as a research and development expense during the period from February 6,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basic and diluted net loss per share attributable to stockholders were calculated as follows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February 6, 2024 (inception) to</w:t>
            </w: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8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Loss Per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Share,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Share,</w:t>
            </w: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Basic and</w:t>
            </w:r>
          </w:p>
        </w:tc>
        <w:tc>
          <w:tcPr>
            <w:tcW w:w="120" w:type="dxa"/>
            <w:vAlign w:val="bottom"/>
          </w:tcPr>
          <w:p>
            <w:pPr>
              <w:spacing w:after="0"/>
              <w:rPr>
                <w:sz w:val="18"/>
                <w:szCs w:val="18"/>
                <w:color w:val="auto"/>
              </w:rPr>
            </w:pPr>
          </w:p>
        </w:tc>
        <w:tc>
          <w:tcPr>
            <w:tcW w:w="12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Basic and</w:t>
            </w:r>
          </w:p>
        </w:tc>
      </w:tr>
      <w:tr>
        <w:trPr>
          <w:trHeight w:val="245"/>
        </w:trPr>
        <w:tc>
          <w:tcPr>
            <w:tcW w:w="3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100" w:type="dxa"/>
            <w:vAlign w:val="bottom"/>
            <w:tcBorders>
              <w:bottom w:val="single" w:sz="8" w:color="CCEEFF"/>
            </w:tcBorders>
          </w:tcPr>
          <w:p>
            <w:pPr>
              <w:spacing w:after="0"/>
              <w:rPr>
                <w:sz w:val="21"/>
                <w:szCs w:val="2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45,614,142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w:t>
            </w:r>
          </w:p>
        </w:tc>
        <w:tc>
          <w:tcPr>
            <w:tcW w:w="22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16,789,362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r>
      <w:tr>
        <w:trPr>
          <w:trHeight w:val="257"/>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Company Series A Preferred Stock</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(1,918)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(3,873.25)</w:t>
            </w:r>
          </w:p>
        </w:tc>
      </w:tr>
      <w:tr>
        <w:trPr>
          <w:trHeight w:val="290"/>
        </w:trPr>
        <w:tc>
          <w:tcPr>
            <w:tcW w:w="32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Company Series B Preferred Stock</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(21,123)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137,138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(154.03)</w:t>
            </w: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(322.81)</w:t>
            </w:r>
          </w:p>
        </w:tc>
      </w:tr>
      <w:tr>
        <w:trPr>
          <w:trHeight w:val="210"/>
        </w:trPr>
        <w:tc>
          <w:tcPr>
            <w:tcW w:w="32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(105,433</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(83,724</w:t>
            </w:r>
          </w:p>
        </w:tc>
        <w:tc>
          <w:tcPr>
            <w:tcW w:w="22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number of shares of as-converted Company Series A Preferred Stock used in the loss allocation was nil and 495,191 for the year ended December 31, 2025 and the period from February 6, 2024 (inception) to December 31, 2024, respectively.</w:t>
      </w:r>
    </w:p>
    <w:p>
      <w:pPr>
        <w:ind w:left="340" w:hanging="332"/>
        <w:spacing w:after="0" w:line="26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number of shares of as-converted Company Series B Preferred Stock used in the loss allocation was 11,428,129 and 4,328,844 for the year ended December 31, 2025 and the period from February 6, 2024 (inception) to December 31, 2024, respectively.</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computation of basic net loss per share attributable to stockholders, the amount of weighted-average shares outstanding excludes all shares of unvested restricted common stock as such shares are not considered outstanding for accounting purposes until vested. The amount of weighted-average shares outstanding includes the pre-funded warrants as the exercise price is negligible and these warrants are fully vested and exercisable.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stockholders for the periods presented because including them would have had an anti-dilutive effect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warrants to purchase common stock</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3,029,510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3,054,358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unvested restricted stock awards</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1,149,589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2,207,553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issued common stock options</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3,950,958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1,567,760</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issued warrant to Paruka</w:t>
            </w:r>
          </w:p>
        </w:tc>
        <w:tc>
          <w:tcPr>
            <w:tcW w:w="1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971,930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596,930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9,101,987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Paragon and Paruka each beneficially own less than 5% of the Company’s capital stock through their respective holdings of Company Common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Fairmount beneficially owns more than 5% of the Company’s capital stock, currently has one representative appointed to the Board, and beneficially owns more than 5% of Paragon. Fairmount appointed Paragon’s board of directors and has the contractual right to approve the appointment of any executive officers of Paragon.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is a summary of related party accounts payable and other current liabilities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Paragon reimbursable Option Agreements’ fees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Paragon milestone payments for License Agreement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Paragon reimbursable other research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Paragon reimbursable patent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401(k) Plan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 retirement and savings plan under Section 401(k) of the Internal Revenue Code (the “401(k) Plan”) covering all U.S. employees. The 401(k) Plan allows employees to make pre- and post-tax contributions up to the maximum allowable amount set by the Internal Revenue Service. The Company may make contributions to this plan at its discretion. During the year ended December 31, 2025 the Company matched 100% of each employee’s first 3% of pay contributed to the 401(k) Plan. The company match was limited up to $10,500 per employee for the year ended December 31, 2025. The Company recognized an expense of $0.4 million for the year ended December 31, 2025. The Company did not make any matching contributions for the period from February 6, 2024 (inception) to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36"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December 31, 2025. Based on the foregoing evaluation, our Principal Executive Officer and Principal Financial Officer concluded that our disclosure controls and procedures were effective at a reasonable assurance level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8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assessed the effectiveness of our internal control over financial reporting as of December 31, 2025. In making this assessment, management used the criteria set forth by the Committee of Sponsoring Organizations of the Treadway Commission (COSO) in its 2013 Internal Control – Integrated Framework. Based on our assessment, our management has concluded that, as of December 31, 2025, our internal control over financial reporting was effective based on those criteria.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For as long as we remain a “smaller reporting company” as defined by Rule 12b-2 of the Exchange Act and report less than $100 million of annual revenues in our most recent fiscal year,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 director or Section 16 officer (as defined in Section 16 of the Securities Exchange Act of 1934, as amended) adopted or terminated any Rule 10b5-1 trading arrangements or non-Rule 10b5-1 trading arrangements (in each case, as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(the “2026 Proxy Statement”), which will be filed with the SEC within 120 days after the end of our fiscal year ended December 31, 2025,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2026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2026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2026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2026 Proxy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56"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The following documents are filed as part of this Annual Report:</w:t>
      </w:r>
    </w:p>
    <w:p>
      <w:pPr>
        <w:spacing w:after="0" w:line="279"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Financial Statements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Financial Statements included in Part II, Item 8 of this Annual Report.</w:t>
      </w:r>
    </w:p>
    <w:p>
      <w:pPr>
        <w:spacing w:after="0" w:line="252"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252"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List of Exhibits required by Item 601 of Regulation S-K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gridSpan w:val="1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520" w:type="dxa"/>
            <w:vAlign w:val="bottom"/>
            <w:tcBorders>
              <w:top w:val="single" w:sz="8" w:color="auto"/>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Agreement and Plan of Merger and Reorganization, dated as of April 3, 2024, by and</w:t>
              </w:r>
            </w:hyperlink>
          </w:p>
        </w:tc>
        <w:tc>
          <w:tcPr>
            <w:tcW w:w="60" w:type="dxa"/>
            <w:vAlign w:val="bottom"/>
            <w:tcBorders>
              <w:top w:val="single" w:sz="8" w:color="auto"/>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4/3/2024</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52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among ARCA biopharma, Inc., Atlas Merger Sub Corp., Atlas Merger Sub II, LLC and</w:t>
              </w:r>
            </w:hyperlink>
          </w:p>
        </w:tc>
        <w:tc>
          <w:tcPr>
            <w:tcW w:w="12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Oruka Therapeutics, Inc.</w:t>
              </w:r>
            </w:hyperlink>
          </w:p>
        </w:tc>
        <w:tc>
          <w:tcPr>
            <w:tcW w:w="4840" w:type="dxa"/>
            <w:vAlign w:val="bottom"/>
            <w:tcBorders>
              <w:bottom w:val="single" w:sz="8" w:color="CCEEFF"/>
            </w:tcBorders>
            <w:gridSpan w:val="19"/>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6640" w:type="dxa"/>
            <w:vAlign w:val="bottom"/>
            <w:gridSpan w:val="22"/>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Second Amended and Restated Certificate of Incorporation</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Amended and Restated Bylaws</w:t>
              </w:r>
            </w:hyperlink>
          </w:p>
        </w:tc>
        <w:tc>
          <w:tcPr>
            <w:tcW w:w="438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652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Certificate of Designation of Preferences, Rights and Limitations of Series A</w:t>
              </w:r>
            </w:hyperlink>
          </w:p>
        </w:tc>
        <w:tc>
          <w:tcPr>
            <w:tcW w:w="120" w:type="dxa"/>
            <w:vAlign w:val="bottom"/>
            <w:gridSpan w:val="4"/>
          </w:tcPr>
          <w:p>
            <w:pPr>
              <w:spacing w:after="0"/>
              <w:rPr>
                <w:sz w:val="15"/>
                <w:szCs w:val="15"/>
                <w:color w:val="auto"/>
              </w:rPr>
            </w:pPr>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6"/>
              </w:rPr>
              <w:t>3.1(b)</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5/24/2013</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40" w:type="dxa"/>
            <w:vAlign w:val="bottom"/>
            <w:gridSpan w:val="22"/>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Convertible Preferred Stock</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5"/>
                <w:szCs w:val="15"/>
                <w:color w:val="auto"/>
              </w:rPr>
            </w:pPr>
          </w:p>
        </w:tc>
        <w:tc>
          <w:tcPr>
            <w:tcW w:w="66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Certificate of Elimination of Series A Convertible Preferred Stock, dated August 29, 2024</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5"/>
                <w:szCs w:val="15"/>
                <w:color w:val="auto"/>
              </w:rPr>
            </w:pPr>
          </w:p>
        </w:tc>
        <w:tc>
          <w:tcPr>
            <w:tcW w:w="656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Certificate of Designation of Preferences, Rights and Limitations of Series B Non-Voting</w:t>
              </w:r>
            </w:hyperlink>
          </w:p>
        </w:tc>
        <w:tc>
          <w:tcPr>
            <w:tcW w:w="80" w:type="dxa"/>
            <w:vAlign w:val="bottom"/>
            <w:gridSpan w:val="2"/>
          </w:tcPr>
          <w:p>
            <w:pPr>
              <w:spacing w:after="0"/>
              <w:rPr>
                <w:sz w:val="15"/>
                <w:szCs w:val="15"/>
                <w:color w:val="auto"/>
              </w:rPr>
            </w:pPr>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40" w:type="dxa"/>
            <w:vAlign w:val="bottom"/>
            <w:gridSpan w:val="2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Convertible Preferred Stock</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Certificate of Designation of Preferences, Rights and Limitations of Series A Non-Voting</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4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Convertible Preferred Stock</w:t>
              </w:r>
            </w:hyperlink>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5"/>
                <w:szCs w:val="15"/>
                <w:color w:val="auto"/>
              </w:rPr>
            </w:pPr>
          </w:p>
        </w:tc>
        <w:tc>
          <w:tcPr>
            <w:tcW w:w="2020" w:type="dxa"/>
            <w:vAlign w:val="bottom"/>
            <w:tcBorders>
              <w:top w:val="single" w:sz="8" w:color="0000EE"/>
            </w:tcBorders>
            <w:gridSpan w:val="4"/>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Description of Securities</w:t>
              </w:r>
            </w:hyperlink>
          </w:p>
        </w:tc>
        <w:tc>
          <w:tcPr>
            <w:tcW w:w="4620" w:type="dxa"/>
            <w:vAlign w:val="bottom"/>
            <w:tcBorders>
              <w:top w:val="single" w:sz="8" w:color="CCEEFF"/>
            </w:tcBorders>
            <w:gridSpan w:val="18"/>
          </w:tcPr>
          <w:p>
            <w:pPr>
              <w:spacing w:after="0"/>
              <w:rPr>
                <w:sz w:val="15"/>
                <w:szCs w:val="15"/>
                <w:color w:val="auto"/>
              </w:rPr>
            </w:pPr>
          </w:p>
        </w:tc>
        <w:tc>
          <w:tcPr>
            <w:tcW w:w="100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00" w:type="dxa"/>
            <w:vAlign w:val="bottom"/>
            <w:tcBorders>
              <w:top w:val="single" w:sz="8" w:color="CCEEFF"/>
            </w:tcBorders>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Pre-Funded Warrant, dated August 29, 2024</w:t>
              </w:r>
            </w:hyperlink>
          </w:p>
        </w:tc>
        <w:tc>
          <w:tcPr>
            <w:tcW w:w="282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6640" w:type="dxa"/>
            <w:vAlign w:val="bottom"/>
            <w:gridSpan w:val="22"/>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Pre-Funded Warrant, dated September 13, 2024</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406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Form of Pre-Funded Warrant, dated September 17, 2025</w:t>
              </w:r>
            </w:hyperlink>
          </w:p>
        </w:tc>
        <w:tc>
          <w:tcPr>
            <w:tcW w:w="258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9/22/2025</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6640" w:type="dxa"/>
            <w:vAlign w:val="bottom"/>
            <w:gridSpan w:val="22"/>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Paruka Warrant, dated December 31, 2024</w:t>
              </w:r>
            </w:hyperlink>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66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Paruka Warrant, dated December 12, 2025</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6640" w:type="dxa"/>
            <w:vAlign w:val="bottom"/>
            <w:gridSpan w:val="22"/>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Oruka Therapeutics, Inc. 2024 Stock Incentive Plan</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664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Oruka Therapeutics, Inc. 2024 Employee Stock Purchase Plan</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CCEEFF"/>
            </w:tcBorders>
          </w:tcPr>
          <w:p>
            <w:pPr>
              <w:spacing w:after="0"/>
              <w:rPr>
                <w:sz w:val="15"/>
                <w:szCs w:val="15"/>
                <w:color w:val="auto"/>
              </w:rPr>
            </w:pPr>
          </w:p>
        </w:tc>
        <w:tc>
          <w:tcPr>
            <w:tcW w:w="4480" w:type="dxa"/>
            <w:vAlign w:val="bottom"/>
            <w:tcBorders>
              <w:top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Amended and Restated 2024 Equity Incentive Plan</w:t>
              </w:r>
            </w:hyperlink>
          </w:p>
        </w:tc>
        <w:tc>
          <w:tcPr>
            <w:tcW w:w="216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Second Amendment to the Oruka Therapeutics, Inc. Amended and Restated 2024 Equity</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Incentive Plan</w:t>
              </w:r>
            </w:hyperlink>
          </w:p>
        </w:tc>
        <w:tc>
          <w:tcPr>
            <w:tcW w:w="5600" w:type="dxa"/>
            <w:vAlign w:val="bottom"/>
            <w:tcBorders>
              <w:bottom w:val="single" w:sz="8" w:color="CCEEFF"/>
            </w:tcBorders>
            <w:gridSpan w:val="21"/>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6640" w:type="dxa"/>
            <w:vAlign w:val="bottom"/>
            <w:gridSpan w:val="22"/>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Employee Warrant Agreement</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Grant Notice for Nonqualified Stock Option and Standard Terms and Conditions</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11/14/2024</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 Stock Options (Directors)</w:t>
              </w:r>
            </w:hyperlink>
          </w:p>
        </w:tc>
        <w:tc>
          <w:tcPr>
            <w:tcW w:w="4520" w:type="dxa"/>
            <w:vAlign w:val="bottom"/>
            <w:tcBorders>
              <w:bottom w:val="single" w:sz="8" w:color="CCEEFF"/>
            </w:tcBorders>
            <w:gridSpan w:val="17"/>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652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Grant Notice for Stock Option and Standard Terms and Conditions for Stock</w:t>
              </w:r>
            </w:hyperlink>
          </w:p>
        </w:tc>
        <w:tc>
          <w:tcPr>
            <w:tcW w:w="120" w:type="dxa"/>
            <w:vAlign w:val="bottom"/>
            <w:gridSpan w:val="4"/>
          </w:tcPr>
          <w:p>
            <w:pPr>
              <w:spacing w:after="0"/>
              <w:rPr>
                <w:sz w:val="15"/>
                <w:szCs w:val="15"/>
                <w:color w:val="auto"/>
              </w:rPr>
            </w:pPr>
          </w:p>
        </w:tc>
        <w:tc>
          <w:tcPr>
            <w:tcW w:w="10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99.3</w:t>
            </w: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11/14/2024</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40" w:type="dxa"/>
            <w:vAlign w:val="bottom"/>
            <w:gridSpan w:val="2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Options (Employees)</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Stock Option Agreement under the Oruka Therapeutics, Inc. Amended and</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5/14/2024</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Restated 2024 Equity Incentive Plan</w:t>
              </w:r>
            </w:hyperlink>
          </w:p>
        </w:tc>
        <w:tc>
          <w:tcPr>
            <w:tcW w:w="4000" w:type="dxa"/>
            <w:vAlign w:val="bottom"/>
            <w:tcBorders>
              <w:bottom w:val="single" w:sz="8" w:color="CCEEFF"/>
            </w:tcBorders>
            <w:gridSpan w:val="15"/>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652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Form of Grant Notice for Restricted Stock Unit Award and Standard Terms and</w:t>
            </w:r>
          </w:p>
        </w:tc>
        <w:tc>
          <w:tcPr>
            <w:tcW w:w="12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Conditions for Restricted Stock Units</w:t>
            </w:r>
          </w:p>
        </w:tc>
        <w:tc>
          <w:tcPr>
            <w:tcW w:w="392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17"/>
          </w:tcPr>
          <w:p>
            <w:pPr>
              <w:ind w:left="4360"/>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10.10#</w:t>
            </w:r>
          </w:p>
        </w:tc>
        <w:tc>
          <w:tcPr>
            <w:tcW w:w="6560" w:type="dxa"/>
            <w:vAlign w:val="bottom"/>
            <w:tcBorders>
              <w:bottom w:val="single" w:sz="8" w:color="0000EE"/>
            </w:tcBorders>
            <w:gridSpan w:val="31"/>
            <w:shd w:val="clear" w:color="auto" w:fill="CCEEFF"/>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Amended and Restated Director Offer Letter, dated March 22, 2024, by and between</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S-4</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10.43</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5/14/2024</w:t>
            </w:r>
          </w:p>
        </w:tc>
      </w:tr>
      <w:tr>
        <w:trPr>
          <w:trHeight w:val="196"/>
        </w:trPr>
        <w:tc>
          <w:tcPr>
            <w:tcW w:w="1140" w:type="dxa"/>
            <w:vAlign w:val="bottom"/>
            <w:shd w:val="clear" w:color="auto" w:fill="CCEEFF"/>
          </w:tcPr>
          <w:p>
            <w:pPr>
              <w:spacing w:after="0"/>
              <w:rPr>
                <w:sz w:val="17"/>
                <w:szCs w:val="17"/>
                <w:color w:val="auto"/>
              </w:rPr>
            </w:pPr>
          </w:p>
        </w:tc>
        <w:tc>
          <w:tcPr>
            <w:tcW w:w="67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Oruka Therapeutics, Inc. and Samarth Kulkarni</w:t>
              </w:r>
            </w:hyperlink>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654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Director Offer Letter, dated April 24, 2024, by and between Oruka Therapeutics, Inc. and</w:t>
              </w:r>
            </w:hyperlink>
          </w:p>
        </w:tc>
        <w:tc>
          <w:tcPr>
            <w:tcW w:w="160" w:type="dxa"/>
            <w:vAlign w:val="bottom"/>
            <w:gridSpan w:val="3"/>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5/14/2024</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Kristine Ball</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6580" w:type="dxa"/>
            <w:vAlign w:val="bottom"/>
            <w:tcBorders>
              <w:bottom w:val="single" w:sz="8" w:color="0000EE"/>
            </w:tcBorders>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Director Offer Letter, dated December 1, 2025, by and between Oruka Therapeutics, Inc.</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12/11/2025</w:t>
            </w: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and Chris Martin</w:t>
              </w:r>
            </w:hyperlink>
          </w:p>
        </w:tc>
        <w:tc>
          <w:tcPr>
            <w:tcW w:w="5460" w:type="dxa"/>
            <w:vAlign w:val="bottom"/>
            <w:tcBorders>
              <w:bottom w:val="single" w:sz="8" w:color="CCEEFF"/>
            </w:tcBorders>
            <w:gridSpan w:val="28"/>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652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Amended  and  Restated  Employment  Letter  Agreement  by  and  between  Oruka</w:t>
              </w:r>
            </w:hyperlink>
          </w:p>
        </w:tc>
        <w:tc>
          <w:tcPr>
            <w:tcW w:w="180" w:type="dxa"/>
            <w:vAlign w:val="bottom"/>
            <w:gridSpan w:val="4"/>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10/4/2024</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Therapeutics, Inc. and Lawrence Klein, dated October 3, 2024</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652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Amended  and  Restated  Employment  Letter  Agreement  by  and  between  Oruka</w:t>
              </w:r>
            </w:hyperlink>
          </w:p>
        </w:tc>
        <w:tc>
          <w:tcPr>
            <w:tcW w:w="18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10/4/2024</w:t>
            </w: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4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Therapeutics, Inc. and Arjun Agarwal, dated October 3, 2024</w:t>
              </w:r>
            </w:hyperlink>
          </w:p>
        </w:tc>
        <w:tc>
          <w:tcPr>
            <w:tcW w:w="2280" w:type="dxa"/>
            <w:vAlign w:val="bottom"/>
            <w:tcBorders>
              <w:bottom w:val="single" w:sz="8" w:color="CCEEFF"/>
            </w:tcBorders>
            <w:gridSpan w:val="13"/>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652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Amended  and  Restated  Employment  Letter  Agreement  by  and  between  Oruka</w:t>
              </w:r>
            </w:hyperlink>
          </w:p>
        </w:tc>
        <w:tc>
          <w:tcPr>
            <w:tcW w:w="180" w:type="dxa"/>
            <w:vAlign w:val="bottom"/>
            <w:gridSpan w:val="4"/>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Therapeutics, Inc. and Paul Quinlan, dated October 1, 2024</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652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Amended  and  Restated  Employment  Letter  Agreement  by  and  between  Oruka</w:t>
              </w:r>
            </w:hyperlink>
          </w:p>
        </w:tc>
        <w:tc>
          <w:tcPr>
            <w:tcW w:w="18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5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196"/>
        </w:trPr>
        <w:tc>
          <w:tcPr>
            <w:tcW w:w="1140" w:type="dxa"/>
            <w:vAlign w:val="bottom"/>
            <w:shd w:val="clear" w:color="auto" w:fill="CCEEFF"/>
          </w:tcPr>
          <w:p>
            <w:pPr>
              <w:spacing w:after="0"/>
              <w:rPr>
                <w:sz w:val="17"/>
                <w:szCs w:val="17"/>
                <w:color w:val="auto"/>
              </w:rPr>
            </w:pPr>
          </w:p>
        </w:tc>
        <w:tc>
          <w:tcPr>
            <w:tcW w:w="67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Therapeutics, Inc. and Joana Goncalves, dated October 1, 2024</w:t>
              </w:r>
            </w:hyperlink>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564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Amended and Restated Employment Letter Agreement by and between Oruka</w:t>
              </w:r>
            </w:hyperlink>
          </w:p>
        </w:tc>
        <w:tc>
          <w:tcPr>
            <w:tcW w:w="1060" w:type="dxa"/>
            <w:vAlign w:val="bottom"/>
            <w:gridSpan w:val="7"/>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7/1/2025</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Therapeutics, Inc. and Laura Sandler, dated July 1, 2025</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67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Indemnification Agreement</w:t>
              </w:r>
            </w:hyperlink>
          </w:p>
        </w:tc>
        <w:tc>
          <w:tcPr>
            <w:tcW w:w="9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5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6700" w:type="dxa"/>
            <w:vAlign w:val="bottom"/>
            <w:gridSpan w:val="33"/>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Non-Employee Directors Compensation Program</w:t>
              </w:r>
            </w:hyperlink>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20"/>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67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Amendment to Subscription Agreement</w:t>
              </w:r>
            </w:hyperlink>
          </w:p>
        </w:tc>
        <w:tc>
          <w:tcPr>
            <w:tcW w:w="9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7/9/2024</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6700" w:type="dxa"/>
            <w:vAlign w:val="bottom"/>
            <w:gridSpan w:val="33"/>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Amended &amp; Restated Subscription Agreement</w:t>
              </w:r>
            </w:hyperlink>
          </w:p>
        </w:tc>
        <w:tc>
          <w:tcPr>
            <w:tcW w:w="9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7/9/2024</w:t>
            </w:r>
          </w:p>
        </w:tc>
      </w:tr>
      <w:tr>
        <w:trPr>
          <w:trHeight w:val="21"/>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67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Registration Rights Agreement, dated August 29, 2024</w:t>
              </w:r>
            </w:hyperlink>
          </w:p>
        </w:tc>
        <w:tc>
          <w:tcPr>
            <w:tcW w:w="9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11/13/2024</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654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Securities Purchase Agreement by and between Oruka Therapeutics, Inc. and each of the</w:t>
              </w:r>
            </w:hyperlink>
          </w:p>
        </w:tc>
        <w:tc>
          <w:tcPr>
            <w:tcW w:w="160" w:type="dxa"/>
            <w:vAlign w:val="bottom"/>
            <w:gridSpan w:val="3"/>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entities listed on Exhibit A thereto, dated September 11, 2024</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67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Registration Rights Agreement, dated as of September 13, 2024</w:t>
              </w:r>
            </w:hyperlink>
          </w:p>
        </w:tc>
        <w:tc>
          <w:tcPr>
            <w:tcW w:w="9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9/13/2024</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654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Securities Purchase Agreement by and between Oruka Therapeutics, Inc. and each of the</w:t>
              </w:r>
            </w:hyperlink>
          </w:p>
        </w:tc>
        <w:tc>
          <w:tcPr>
            <w:tcW w:w="160" w:type="dxa"/>
            <w:vAlign w:val="bottom"/>
            <w:gridSpan w:val="3"/>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9/22/2025</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entities listed on Exhibit A thereto, dated September 17, 2025</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67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Registration Rights Agreement, dated as of September 17, 2025</w:t>
              </w:r>
            </w:hyperlink>
          </w:p>
        </w:tc>
        <w:tc>
          <w:tcPr>
            <w:tcW w:w="900" w:type="dxa"/>
            <w:vAlign w:val="bottom"/>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5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9/22/2025</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652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Amended and Restated Antibody Discovery and Option Agreement (IL-17) by and among</w:t>
              </w:r>
            </w:hyperlink>
          </w:p>
        </w:tc>
        <w:tc>
          <w:tcPr>
            <w:tcW w:w="180" w:type="dxa"/>
            <w:vAlign w:val="bottom"/>
            <w:gridSpan w:val="4"/>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10.50</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6/18/2024</w:t>
            </w:r>
          </w:p>
        </w:tc>
      </w:tr>
      <w:tr>
        <w:trPr>
          <w:trHeight w:val="196"/>
        </w:trPr>
        <w:tc>
          <w:tcPr>
            <w:tcW w:w="1140" w:type="dxa"/>
            <w:vAlign w:val="bottom"/>
          </w:tcPr>
          <w:p>
            <w:pPr>
              <w:spacing w:after="0"/>
              <w:rPr>
                <w:sz w:val="17"/>
                <w:szCs w:val="17"/>
                <w:color w:val="auto"/>
              </w:rPr>
            </w:pPr>
          </w:p>
        </w:tc>
        <w:tc>
          <w:tcPr>
            <w:tcW w:w="65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Paragon Therapeutics, Inc., Paruka Holding, LLC, and Oruka Therapeutics, Inc. dated</w:t>
              </w:r>
            </w:hyperlink>
          </w:p>
        </w:tc>
        <w:tc>
          <w:tcPr>
            <w:tcW w:w="1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March 28, 2024</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67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IL-17 License Agreement by and between Paragon Therapeutics, Inc. and Oruka</w:t>
              </w:r>
            </w:hyperlink>
          </w:p>
        </w:tc>
        <w:tc>
          <w:tcPr>
            <w:tcW w:w="9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5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6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Therapeutics, Inc., dated February 4, 2025</w:t>
              </w:r>
            </w:hyperlink>
          </w:p>
        </w:tc>
        <w:tc>
          <w:tcPr>
            <w:tcW w:w="344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652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Amended and Restated Antibody Discovery and Option Agreement (IL-23) by and among</w:t>
              </w:r>
            </w:hyperlink>
          </w:p>
        </w:tc>
        <w:tc>
          <w:tcPr>
            <w:tcW w:w="180" w:type="dxa"/>
            <w:vAlign w:val="bottom"/>
            <w:gridSpan w:val="4"/>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7"/>
              </w:rPr>
              <w:t>S-4/A</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10.51</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6/18/2024</w:t>
            </w:r>
          </w:p>
        </w:tc>
      </w:tr>
      <w:tr>
        <w:trPr>
          <w:trHeight w:val="196"/>
        </w:trPr>
        <w:tc>
          <w:tcPr>
            <w:tcW w:w="1140" w:type="dxa"/>
            <w:vAlign w:val="bottom"/>
          </w:tcPr>
          <w:p>
            <w:pPr>
              <w:spacing w:after="0"/>
              <w:rPr>
                <w:sz w:val="17"/>
                <w:szCs w:val="17"/>
                <w:color w:val="auto"/>
              </w:rPr>
            </w:pPr>
          </w:p>
        </w:tc>
        <w:tc>
          <w:tcPr>
            <w:tcW w:w="65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Paragon Therapeutics, Inc., Paruka Holding, LLC, and Oruka Therapeutics, Inc. dated</w:t>
              </w:r>
            </w:hyperlink>
          </w:p>
        </w:tc>
        <w:tc>
          <w:tcPr>
            <w:tcW w:w="1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March 28, 2024</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67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IL-23 License Agreement by and between Paragon Therapeutics, Inc. and Oruka</w:t>
              </w:r>
            </w:hyperlink>
          </w:p>
        </w:tc>
        <w:tc>
          <w:tcPr>
            <w:tcW w:w="90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5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240" w:type="dxa"/>
            <w:vAlign w:val="bottom"/>
            <w:tcBorders>
              <w:top w:val="single" w:sz="8" w:color="0000EE"/>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Therapeutics, Inc., dated December 17, 2024</w:t>
              </w:r>
            </w:hyperlink>
          </w:p>
        </w:tc>
        <w:tc>
          <w:tcPr>
            <w:tcW w:w="326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656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Cell Line License Agreement by and between WuXi Biologics Ireland Limited and Oruka</w:t>
              </w:r>
            </w:hyperlink>
          </w:p>
        </w:tc>
        <w:tc>
          <w:tcPr>
            <w:tcW w:w="140" w:type="dxa"/>
            <w:vAlign w:val="bottom"/>
            <w:gridSpan w:val="2"/>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Therapeutics, Inc., dated March 4, 2024</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652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Amendment No. 1 to the Cell Line License Agreement by and between WuXi Biologics</w:t>
              </w:r>
            </w:hyperlink>
          </w:p>
        </w:tc>
        <w:tc>
          <w:tcPr>
            <w:tcW w:w="18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5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196"/>
        </w:trPr>
        <w:tc>
          <w:tcPr>
            <w:tcW w:w="1140" w:type="dxa"/>
            <w:vAlign w:val="bottom"/>
            <w:shd w:val="clear" w:color="auto" w:fill="CCEEFF"/>
          </w:tcPr>
          <w:p>
            <w:pPr>
              <w:spacing w:after="0"/>
              <w:rPr>
                <w:sz w:val="17"/>
                <w:szCs w:val="17"/>
                <w:color w:val="auto"/>
              </w:rPr>
            </w:pPr>
          </w:p>
        </w:tc>
        <w:tc>
          <w:tcPr>
            <w:tcW w:w="67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Ireland Limited and Oruka Therapeutics, Inc., dated November 20, 2024</w:t>
              </w:r>
            </w:hyperlink>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654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Sales Agreement between Oruka Therapeutics, Inc. and TD Securities (USA) LLC, dated</w:t>
              </w:r>
            </w:hyperlink>
          </w:p>
        </w:tc>
        <w:tc>
          <w:tcPr>
            <w:tcW w:w="160" w:type="dxa"/>
            <w:vAlign w:val="bottom"/>
            <w:gridSpan w:val="3"/>
          </w:tcPr>
          <w:p>
            <w:pPr>
              <w:spacing w:after="0"/>
              <w:rPr>
                <w:sz w:val="15"/>
                <w:szCs w:val="15"/>
                <w:color w:val="auto"/>
              </w:rPr>
            </w:pPr>
          </w:p>
        </w:tc>
        <w:tc>
          <w:tcPr>
            <w:tcW w:w="9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1.2</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10/3/2025</w:t>
            </w:r>
          </w:p>
        </w:tc>
      </w:tr>
      <w:tr>
        <w:trPr>
          <w:trHeight w:val="196"/>
        </w:trPr>
        <w:tc>
          <w:tcPr>
            <w:tcW w:w="1140" w:type="dxa"/>
            <w:vAlign w:val="bottom"/>
          </w:tcPr>
          <w:p>
            <w:pPr>
              <w:spacing w:after="0"/>
              <w:rPr>
                <w:sz w:val="17"/>
                <w:szCs w:val="17"/>
                <w:color w:val="auto"/>
              </w:rPr>
            </w:pPr>
          </w:p>
        </w:tc>
        <w:tc>
          <w:tcPr>
            <w:tcW w:w="6700" w:type="dxa"/>
            <w:vAlign w:val="bottom"/>
            <w:gridSpan w:val="33"/>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October 3, 2025</w:t>
              </w:r>
            </w:hyperlink>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272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Code of Business Conduct and Ethics</w:t>
              </w:r>
            </w:hyperlink>
          </w:p>
        </w:tc>
        <w:tc>
          <w:tcPr>
            <w:tcW w:w="3980" w:type="dxa"/>
            <w:vAlign w:val="bottom"/>
            <w:tcBorders>
              <w:bottom w:val="single" w:sz="8" w:color="CCEEFF"/>
            </w:tcBorders>
            <w:gridSpan w:val="2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14.1</w:t>
            </w:r>
          </w:p>
        </w:tc>
        <w:tc>
          <w:tcPr>
            <w:tcW w:w="15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6700" w:type="dxa"/>
            <w:vAlign w:val="bottom"/>
            <w:gridSpan w:val="33"/>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Letter from KPMG LLP, dated September 5, 2024</w:t>
              </w:r>
            </w:hyperlink>
          </w:p>
        </w:tc>
        <w:tc>
          <w:tcPr>
            <w:tcW w:w="9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16.1</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9/5/2024</w:t>
            </w:r>
          </w:p>
        </w:tc>
      </w:tr>
      <w:tr>
        <w:trPr>
          <w:trHeight w:val="20"/>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Insider Trading Policy</w:t>
              </w:r>
            </w:hyperlink>
          </w:p>
        </w:tc>
        <w:tc>
          <w:tcPr>
            <w:tcW w:w="5080" w:type="dxa"/>
            <w:vAlign w:val="bottom"/>
            <w:tcBorders>
              <w:bottom w:val="single" w:sz="8" w:color="CCEEFF"/>
            </w:tcBorders>
            <w:gridSpan w:val="2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19.1</w:t>
            </w:r>
          </w:p>
        </w:tc>
        <w:tc>
          <w:tcPr>
            <w:tcW w:w="15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67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 of the Registrant</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4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2380" w:type="dxa"/>
            <w:vAlign w:val="bottom"/>
            <w:tcBorders>
              <w:bottom w:val="single" w:sz="8" w:color="CCEEFF"/>
            </w:tcBorders>
            <w:gridSpan w:val="1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646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(Incorporated by reference to the signature page of this Annual Report</w:t>
            </w:r>
          </w:p>
        </w:tc>
        <w:tc>
          <w:tcPr>
            <w:tcW w:w="240" w:type="dxa"/>
            <w:vAlign w:val="bottom"/>
            <w:gridSpan w:val="6"/>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on Form 10-K)</w:t>
            </w:r>
          </w:p>
        </w:tc>
        <w:tc>
          <w:tcPr>
            <w:tcW w:w="5600" w:type="dxa"/>
            <w:vAlign w:val="bottom"/>
            <w:gridSpan w:val="31"/>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5"/>
          </w:tcPr>
          <w:p>
            <w:pPr>
              <w:ind w:left="4360"/>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654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or 15d-14(a)</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40" w:type="dxa"/>
            <w:vAlign w:val="bottom"/>
            <w:shd w:val="clear" w:color="auto" w:fill="CCEEFF"/>
          </w:tcPr>
          <w:p>
            <w:pPr>
              <w:spacing w:after="0"/>
              <w:rPr>
                <w:sz w:val="17"/>
                <w:szCs w:val="17"/>
                <w:color w:val="auto"/>
              </w:rPr>
            </w:pPr>
          </w:p>
        </w:tc>
        <w:tc>
          <w:tcPr>
            <w:tcW w:w="67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promulgated under the Securities Exchange Act of 1934</w:t>
            </w: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52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15d-14(a)</w:t>
            </w:r>
          </w:p>
        </w:tc>
        <w:tc>
          <w:tcPr>
            <w:tcW w:w="20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40" w:type="dxa"/>
            <w:vAlign w:val="bottom"/>
          </w:tcPr>
          <w:p>
            <w:pPr>
              <w:spacing w:after="0"/>
              <w:rPr>
                <w:sz w:val="17"/>
                <w:szCs w:val="17"/>
                <w:color w:val="auto"/>
              </w:rPr>
            </w:pPr>
          </w:p>
        </w:tc>
        <w:tc>
          <w:tcPr>
            <w:tcW w:w="6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promulgated under the Securities Exchange Act of 1934</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65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 and Principal Financial Officer pursuant to</w:t>
            </w: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1140" w:type="dxa"/>
            <w:vAlign w:val="bottom"/>
            <w:shd w:val="clear" w:color="auto" w:fill="CCEEFF"/>
          </w:tcPr>
          <w:p>
            <w:pPr>
              <w:spacing w:after="0"/>
              <w:rPr>
                <w:sz w:val="17"/>
                <w:szCs w:val="17"/>
                <w:color w:val="auto"/>
              </w:rPr>
            </w:pPr>
          </w:p>
        </w:tc>
        <w:tc>
          <w:tcPr>
            <w:tcW w:w="672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and Rule 13a-14(B) promulgated under the Securities Exchange</w:t>
            </w: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652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1934</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6720" w:type="dxa"/>
            <w:vAlign w:val="bottom"/>
            <w:gridSpan w:val="6"/>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Incentive Compensation Clawback Policy</w:t>
              </w:r>
            </w:hyperlink>
          </w:p>
        </w:tc>
        <w:tc>
          <w:tcPr>
            <w:tcW w:w="8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64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99"/>
              </w:rPr>
              <w:t>3/6/2025</w:t>
            </w:r>
          </w:p>
        </w:tc>
      </w:tr>
      <w:tr>
        <w:trPr>
          <w:trHeight w:val="20"/>
        </w:trPr>
        <w:tc>
          <w:tcPr>
            <w:tcW w:w="114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w:t>
        <w:tab/>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p>
    <w:p>
      <w:pPr>
        <w:spacing w:after="0" w:line="1"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jc w:val="both"/>
        <w:ind w:left="340" w:hanging="332"/>
        <w:spacing w:after="0" w:line="253"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Company hereby undertakes to furnish supplementally copies of any of the omitted exhibits and schedules upon request by the SEC; provided, however, that the Company may request confidential treatment pursuant to Rule 24b-2 under the Exchange Act for any exhibits or schedules so furnished. Certain portions of this exhibit (indicated by “***”) have been omitted because they are both (i) not material and (ii) is the type of information that the registrant both customarily and actually treats as private and confidential.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14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Oruka Therapeutics, Inc.</w:t>
            </w:r>
          </w:p>
        </w:tc>
      </w:tr>
      <w:tr>
        <w:trPr>
          <w:trHeight w:val="43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814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Lawrence Klein</w:t>
            </w:r>
          </w:p>
        </w:tc>
      </w:tr>
      <w:tr>
        <w:trPr>
          <w:trHeight w:val="196"/>
        </w:trPr>
        <w:tc>
          <w:tcPr>
            <w:tcW w:w="31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1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Lawrence Klein</w:t>
            </w:r>
          </w:p>
        </w:tc>
      </w:tr>
      <w:tr>
        <w:trPr>
          <w:trHeight w:val="216"/>
        </w:trPr>
        <w:tc>
          <w:tcPr>
            <w:tcW w:w="3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100" w:type="dxa"/>
            <w:vAlign w:val="bottom"/>
          </w:tcPr>
          <w:p>
            <w:pPr>
              <w:spacing w:after="0"/>
              <w:rPr>
                <w:sz w:val="24"/>
                <w:szCs w:val="24"/>
                <w:color w:val="auto"/>
              </w:rPr>
            </w:pPr>
          </w:p>
        </w:tc>
        <w:tc>
          <w:tcPr>
            <w:tcW w:w="814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 Lawrence Klein and Mr. Arjun Agarwal, jointly and severally, his or her attorneys-in-fact, each with the power of substitution, for him or her in any and all capacities, to sign any amendments to this Report on Form 10-K and to file same, with exhibits thereto and other documents in connection therewith, with the Securities and Exchange Commission, hereby ratifying and confirming all that each of said attorneys-in-fact, or his substitutes, may do or cause to be done by virtue hereof.</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1"/>
                <w:szCs w:val="21"/>
                <w:color w:val="auto"/>
              </w:rPr>
            </w:pP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Klein</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&amp;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Lawrence Klein</w:t>
            </w:r>
          </w:p>
        </w:tc>
        <w:tc>
          <w:tcPr>
            <w:tcW w:w="120" w:type="dxa"/>
            <w:vAlign w:val="bottom"/>
          </w:tcPr>
          <w:p>
            <w:pPr>
              <w:spacing w:after="0"/>
              <w:rPr>
                <w:sz w:val="20"/>
                <w:szCs w:val="20"/>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Arjun Agarwal</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Finance and Treasurer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Arjun Agarwal</w:t>
            </w:r>
          </w:p>
        </w:tc>
        <w:tc>
          <w:tcPr>
            <w:tcW w:w="120" w:type="dxa"/>
            <w:vAlign w:val="bottom"/>
          </w:tcPr>
          <w:p>
            <w:pPr>
              <w:spacing w:after="0"/>
              <w:rPr>
                <w:sz w:val="20"/>
                <w:szCs w:val="20"/>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Samarth Kulkarni</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Samarth Kulkarni</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Kristine Ball</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Ball</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Carl Dambkowski</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Carl Dambkowski</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Harwin</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Harwin</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Martin</w:t>
            </w:r>
          </w:p>
        </w:tc>
        <w:tc>
          <w:tcPr>
            <w:tcW w:w="120" w:type="dxa"/>
            <w:vAlign w:val="bottom"/>
          </w:tcPr>
          <w:p>
            <w:pPr>
              <w:spacing w:after="0"/>
              <w:rPr>
                <w:sz w:val="24"/>
                <w:szCs w:val="24"/>
                <w:color w:val="auto"/>
              </w:rPr>
            </w:pPr>
          </w:p>
        </w:tc>
        <w:tc>
          <w:tcPr>
            <w:tcW w:w="6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Martin</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jc w:val="right"/>
              <w:ind w:right="361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of Warrant Shares: 375,000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7" w:lineRule="exact"/>
        <w:rPr>
          <w:sz w:val="20"/>
          <w:szCs w:val="20"/>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color w:val="auto"/>
        </w:rPr>
        <w:t>Warrant No. ORKA-002</w:t>
      </w:r>
      <w:r>
        <w:rPr>
          <w:sz w:val="20"/>
          <w:szCs w:val="20"/>
          <w:color w:val="auto"/>
        </w:rPr>
        <w:tab/>
      </w:r>
      <w:r>
        <w:rPr>
          <w:rFonts w:ascii="Times New Roman" w:cs="Times New Roman" w:eastAsia="Times New Roman" w:hAnsi="Times New Roman"/>
          <w:sz w:val="17"/>
          <w:szCs w:val="17"/>
          <w:color w:val="auto"/>
        </w:rPr>
        <w:t>Original Issue Date: December 12, 2025</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WARRANT TO PURCHASE COMMON STOCK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Paruka Holding LLC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and on or prior to 5:00 p.m. (New York City time) on December 12, 2035,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Oruka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375,000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$0.001 par value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The purchase price of one share of Common Stock under this Warrant shall be equal to the Exercise Price, as defined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those certain Amended and Restated Antibody Discovery and Option Agreements, each dated as of March 6, 2024 and subsequently amended and restated as of March 28, 2024 (as amended and restated, the “</w:t>
      </w:r>
      <w:r>
        <w:rPr>
          <w:rFonts w:ascii="Times New Roman" w:cs="Times New Roman" w:eastAsia="Times New Roman" w:hAnsi="Times New Roman"/>
          <w:sz w:val="18"/>
          <w:szCs w:val="18"/>
          <w:u w:val="single" w:color="auto"/>
          <w:color w:val="auto"/>
        </w:rPr>
        <w:t>Option Agreements</w:t>
      </w:r>
      <w:r>
        <w:rPr>
          <w:rFonts w:ascii="Times New Roman" w:cs="Times New Roman" w:eastAsia="Times New Roman" w:hAnsi="Times New Roman"/>
          <w:sz w:val="18"/>
          <w:szCs w:val="18"/>
          <w:color w:val="auto"/>
        </w:rPr>
        <w:t>”), by and among the Company, Paragon Therapeutics, Inc. and Paruka Holding LLC.</w:t>
      </w:r>
    </w:p>
    <w:p>
      <w:pPr>
        <w:spacing w:after="0" w:line="176" w:lineRule="exact"/>
        <w:rPr>
          <w:sz w:val="20"/>
          <w:szCs w:val="20"/>
          <w:color w:val="auto"/>
        </w:rPr>
      </w:pPr>
    </w:p>
    <w:p>
      <w:pPr>
        <w:jc w:val="both"/>
        <w:ind w:left="660" w:firstLine="644"/>
        <w:spacing w:after="0" w:line="253" w:lineRule="auto"/>
        <w:tabs>
          <w:tab w:leader="none" w:pos="14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91"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or legal entity.</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was the Nasdaq Global Market.</w:t>
      </w:r>
    </w:p>
    <w:p>
      <w:pPr>
        <w:spacing w:after="0" w:line="162" w:lineRule="exact"/>
        <w:rPr>
          <w:sz w:val="20"/>
          <w:szCs w:val="20"/>
          <w:color w:val="auto"/>
        </w:rPr>
      </w:pPr>
    </w:p>
    <w:p>
      <w:pPr>
        <w:jc w:val="both"/>
        <w:ind w:left="660" w:firstLine="644"/>
        <w:spacing w:after="0" w:line="266" w:lineRule="auto"/>
        <w:tabs>
          <w:tab w:leader="none" w:pos="14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176" w:lineRule="exact"/>
        <w:rPr>
          <w:sz w:val="20"/>
          <w:szCs w:val="20"/>
          <w:color w:val="auto"/>
        </w:rPr>
      </w:pPr>
    </w:p>
    <w:p>
      <w:pPr>
        <w:ind w:left="660" w:firstLine="644"/>
        <w:spacing w:after="0" w:line="282" w:lineRule="auto"/>
        <w:tabs>
          <w:tab w:leader="none" w:pos="14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Original Issue Date and on or before the Termination Date, including by means of a “cashless exercise” as described in Section 2(c) below,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and (ii) the number of Trading Days comprising the Standard Settlement Period following the date of exercise (the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its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paragraph, following the purchase of a portion of the Warrant Shares hereunder, the number of Warrant Shares available for purchase hereunder at any given time may be less than the amount stated on the face hereof. </w:t>
      </w: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 settlement period, expressed in a number of Trading Days, on the Principal Trading Market with respect to the Common Stock as in effect on the date of delivery of the Notice of Exercise to the Company.</w:t>
      </w:r>
    </w:p>
    <w:p>
      <w:pPr>
        <w:spacing w:after="0" w:line="189" w:lineRule="exact"/>
        <w:rPr>
          <w:rFonts w:ascii="Times New Roman" w:cs="Times New Roman" w:eastAsia="Times New Roman" w:hAnsi="Times New Roman"/>
          <w:sz w:val="18"/>
          <w:szCs w:val="18"/>
          <w:color w:val="auto"/>
        </w:rPr>
      </w:pPr>
    </w:p>
    <w:p>
      <w:pPr>
        <w:ind w:right="20" w:firstLine="644"/>
        <w:spacing w:after="0" w:line="282" w:lineRule="auto"/>
        <w:tabs>
          <w:tab w:leader="none" w:pos="8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$30.18,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be exercised, in whole or in part, by means of a “cashless exercise” in which the Holder shall be entitled to receive a number of Warrant Shares as determined as follows: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1140" w:right="360" w:hanging="491"/>
        <w:spacing w:after="0" w:line="282" w:lineRule="auto"/>
        <w:rPr>
          <w:sz w:val="20"/>
          <w:szCs w:val="20"/>
          <w:color w:val="auto"/>
        </w:rPr>
      </w:pPr>
      <w:r>
        <w:rPr>
          <w:rFonts w:ascii="Times New Roman" w:cs="Times New Roman" w:eastAsia="Times New Roman" w:hAnsi="Times New Roman"/>
          <w:sz w:val="18"/>
          <w:szCs w:val="18"/>
          <w:color w:val="auto"/>
        </w:rPr>
        <w:t>“A” equals the Closing Sale Price per share of Common Stock as of the Trading Day on the date immediately preceding the Exercise Date;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on the Exercise Date.</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2" w:name="page123"/>
    <w:bookmarkEnd w:id="122"/>
    <w:p>
      <w:pPr>
        <w:ind w:left="380" w:hanging="196"/>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000" w:firstLine="648"/>
        <w:spacing w:after="0" w:line="256" w:lineRule="auto"/>
        <w:tabs>
          <w:tab w:leader="none" w:pos="180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Within a reasonable time after Holder exercises this Warrant in the manner set forth in Section 2(a) or 2(c) above, the Company shall deliver to Holder a certificate (which certificate may be in the form of an electronic certificate or DTC entry, to the extent used by the Company at the time of such exercise) or evidence of book entry representing the Warrant Shares issued to such Holder upon such exercise.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Principal Trading Market with respect to the Common Stock as in effect on the date of delivery of the Notice of Exercise to the Company.</w:t>
      </w:r>
    </w:p>
    <w:p>
      <w:pPr>
        <w:spacing w:after="0" w:line="187" w:lineRule="exact"/>
        <w:rPr>
          <w:rFonts w:ascii="Times New Roman" w:cs="Times New Roman" w:eastAsia="Times New Roman" w:hAnsi="Times New Roman"/>
          <w:sz w:val="18"/>
          <w:szCs w:val="18"/>
          <w:color w:val="auto"/>
        </w:rPr>
      </w:pPr>
    </w:p>
    <w:p>
      <w:pPr>
        <w:jc w:val="both"/>
        <w:ind w:left="1000" w:firstLine="571"/>
        <w:spacing w:after="0" w:line="261" w:lineRule="auto"/>
        <w:tabs>
          <w:tab w:leader="none" w:pos="1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left="1000" w:firstLine="648"/>
        <w:spacing w:after="0" w:line="261" w:lineRule="auto"/>
        <w:tabs>
          <w:tab w:leader="none" w:pos="188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spacing w:after="0" w:line="179" w:lineRule="exact"/>
        <w:rPr>
          <w:rFonts w:ascii="Times New Roman" w:cs="Times New Roman" w:eastAsia="Times New Roman" w:hAnsi="Times New Roman"/>
          <w:sz w:val="18"/>
          <w:szCs w:val="18"/>
          <w:color w:val="auto"/>
        </w:rPr>
      </w:pPr>
    </w:p>
    <w:p>
      <w:pPr>
        <w:jc w:val="both"/>
        <w:ind w:left="1000" w:firstLine="648"/>
        <w:spacing w:after="0" w:line="255" w:lineRule="auto"/>
        <w:tabs>
          <w:tab w:leader="none" w:pos="18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88" w:lineRule="exact"/>
        <w:rPr>
          <w:rFonts w:ascii="Times New Roman" w:cs="Times New Roman" w:eastAsia="Times New Roman" w:hAnsi="Times New Roman"/>
          <w:sz w:val="18"/>
          <w:szCs w:val="18"/>
          <w:color w:val="auto"/>
        </w:rPr>
      </w:pPr>
    </w:p>
    <w:p>
      <w:pPr>
        <w:ind w:left="1000" w:firstLine="642"/>
        <w:spacing w:after="0" w:line="282" w:lineRule="auto"/>
        <w:tabs>
          <w:tab w:leader="none" w:pos="181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3" w:name="page124"/>
    <w:bookmarkEnd w:id="123"/>
    <w:p>
      <w:pPr>
        <w:jc w:val="both"/>
        <w:ind w:left="-460" w:firstLine="644"/>
        <w:spacing w:after="0" w:line="251" w:lineRule="auto"/>
        <w:tabs>
          <w:tab w:leader="none" w:pos="3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Holder’s submission of a Notice of Exercise to the Company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absent manifest error,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As used herein,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Person directly or indirectly controlled by, controlling or under common control with, a Holder, as such terms are used in and construed under Rule 405 under the Securities Act, but only for so long as such control shall continue. The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Warrant Shares shall be multiplied by a fraction of which the numerator shall be the number of shares of Common Stock (excluding treasury shares, if any) outstanding immediately after such event and of which the denominator shall be the number of shares of Common Stock outstanding immediately before such event, and the Exercise Price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jc w:val="both"/>
        <w:ind w:firstLine="644"/>
        <w:spacing w:after="0" w:line="252" w:lineRule="auto"/>
        <w:tabs>
          <w:tab w:leader="none" w:pos="8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outstanding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outstanding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to the extent the fair market value of one Warrant Share as determined in accordance with Section 1(a) above would be greater than the Exercise Price in effect on such date immediately prior to such Fundamental Transaction, and Holder has not exercised this Warrant pursuant to Section 2 above as to all Warrant Shares, then this Warrant shall automatically be deemed to be cashless exercised pursuant to Section 2(c) above as to all Warrant Shares effective immediately prior to and contingent upon the consummation of a Fundamental Transaction. For the avoidance of doubt, if, immediately prior to the Fundamental Transaction, the fair market value of one Warrant Share as determined in accordance with Section 1(a) above is not greater than the Exercise Price in effect on the Trading Day immediately prior to the closing of such Fundamental Transaction, then this Warrant shall terminate without exercise or conversion immediately prior to, and subject to, the closing of such Fundamental Transaction.</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5" w:name="page126"/>
    <w:bookmarkEnd w:id="125"/>
    <w:p>
      <w:pPr>
        <w:jc w:val="both"/>
        <w:ind w:left="-460" w:firstLine="644"/>
        <w:spacing w:after="0" w:line="266" w:lineRule="auto"/>
        <w:tabs>
          <w:tab w:leader="none" w:pos="3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one-hundredth of one cent or the nearest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Upon the occurrence of each adjustment pursuant to this Section 3,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35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3(b), other than a Fundamental Transaction under clause (iii) of Section 3(b), the Company shall deliver to the Holder a notice of such Fundamental Transaction at least ten (10) days prior to the date such Fundamental Transaction is consummated. Holder agrees to maintain any information disclosed pursuant to this Section 3(f) in confidence until such information is publicly available, and shall comply with applicable law with respect to trading in the Company’s securities following receipt of any such information.</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6" w:name="page127"/>
    <w:bookmarkEnd w:id="126"/>
    <w:p>
      <w:pPr>
        <w:ind w:left="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67" w:lineRule="auto"/>
        <w:tabs>
          <w:tab w:leader="none" w:pos="85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(including, without limitation, any registration rights) are transferable only to employees of Paragon Therapeutics, Inc. that are limited partners of Paruka Holding LLC at the time of transfer,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if any,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w:t>
      </w:r>
    </w:p>
    <w:p>
      <w:pPr>
        <w:spacing w:after="0" w:line="5" w:lineRule="exact"/>
        <w:rPr>
          <w:rFonts w:ascii="Times New Roman" w:cs="Times New Roman" w:eastAsia="Times New Roman" w:hAnsi="Times New Roman"/>
          <w:sz w:val="17"/>
          <w:szCs w:val="17"/>
          <w:color w:val="auto"/>
        </w:rPr>
      </w:pPr>
    </w:p>
    <w:p>
      <w:pPr>
        <w:jc w:val="both"/>
        <w:ind w:left="4" w:hanging="4"/>
        <w:spacing w:after="0" w:line="255" w:lineRule="auto"/>
        <w:tabs>
          <w:tab w:leader="none" w:pos="2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 and the Exercise Price.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shall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66" w:lineRule="auto"/>
        <w:tabs>
          <w:tab w:leader="none" w:pos="8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7" w:name="page128"/>
    <w:bookmarkEnd w:id="127"/>
    <w:p>
      <w:pPr>
        <w:ind w:left="840" w:hanging="196"/>
        <w:spacing w:after="0"/>
        <w:tabs>
          <w:tab w:leader="none" w:pos="8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Principal Trading Market.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represents, warrants and covenants that, as of the date hereof, (i) the issued and outstanding Common Stock of the Company is registered pursuant to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of the Exchange Act, and listed for trading on the Nasdaq Global Market; (ii) there is no suit, action, proceeding or investigation pending or, to the knowledge of the Company, threatened against the Company by the Principal Trading Market, or the Commission with respect to any intention by such entity to deregister the Common Stock or prohibit or terminate the listing of the Common Stock on the Principal Trading Market; and (iii) the Company has taken no action that is designed to terminate the registration of Common Stock under the Exchange Act.</w:t>
      </w:r>
    </w:p>
    <w:p>
      <w:pPr>
        <w:spacing w:after="0" w:line="187" w:lineRule="exact"/>
        <w:rPr>
          <w:sz w:val="20"/>
          <w:szCs w:val="20"/>
          <w:color w:val="auto"/>
        </w:rPr>
      </w:pPr>
    </w:p>
    <w:p>
      <w:pPr>
        <w:ind w:firstLine="644"/>
        <w:spacing w:after="0" w:line="282" w:lineRule="auto"/>
        <w:tabs>
          <w:tab w:leader="none" w:pos="8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Option Agreements.</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8" w:name="page129"/>
    <w:bookmarkEnd w:id="128"/>
    <w:p>
      <w:pPr>
        <w:jc w:val="both"/>
        <w:ind w:left="660" w:firstLine="644"/>
        <w:spacing w:after="0" w:line="255" w:lineRule="auto"/>
        <w:tabs>
          <w:tab w:leader="none" w:pos="1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Notice of Exercise) shall be in writing 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Oruka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855 Oak Grove Avenue, Suite 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Senior Vice President, Finance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Holder, to its address or e-mail address set forth herein or on the books and records of the Company.</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Or, in each of the above instances, to such other address or e-mail address as the recipient party has specified by written notice given to each other party at least five (5) days prior to the effectiveness of such change.</w:t>
      </w:r>
    </w:p>
    <w:p>
      <w:pPr>
        <w:spacing w:after="0" w:line="162" w:lineRule="exact"/>
        <w:rPr>
          <w:sz w:val="20"/>
          <w:szCs w:val="20"/>
          <w:color w:val="auto"/>
        </w:rPr>
      </w:pPr>
    </w:p>
    <w:p>
      <w:pPr>
        <w:jc w:val="both"/>
        <w:ind w:left="660" w:firstLine="644"/>
        <w:spacing w:after="0" w:line="261" w:lineRule="auto"/>
        <w:tabs>
          <w:tab w:leader="none" w:pos="14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4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4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Lawrence Klein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Oruka Therapeutics, Inc. (the “Company”)</w:t>
      </w:r>
    </w:p>
    <w:p>
      <w:pPr>
        <w:spacing w:after="0" w:line="225" w:lineRule="exact"/>
        <w:rPr>
          <w:sz w:val="20"/>
          <w:szCs w:val="20"/>
          <w:color w:val="auto"/>
        </w:rPr>
      </w:pPr>
    </w:p>
    <w:p>
      <w:pPr>
        <w:ind w:firstLine="1304"/>
        <w:spacing w:after="0" w:line="282" w:lineRule="auto"/>
        <w:tabs>
          <w:tab w:leader="none" w:pos="15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68" w:val="left"/>
        </w:tabs>
        <w:numPr>
          <w:ilvl w:val="1"/>
          <w:numId w:val="5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Holders will not beneficially own in excess of the number of shares of Common Stock permitted to be owned under Section 2(e) of the Warrant to which this notice relates.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FORM</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NOTICE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GOOD AND VALUABLE CONSIDERATION, Oruka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grants to the Participant named below the number of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specified below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the Oruka Therapeutics, Inc. 2024 Stock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18"/>
          <w:szCs w:val="18"/>
          <w:b w:val="1"/>
          <w:bCs w:val="1"/>
          <w:i w:val="1"/>
          <w:iCs w:val="1"/>
          <w:color w:val="auto"/>
        </w:rPr>
        <w:t>Standard Terms and Conditions</w:t>
      </w:r>
      <w:r>
        <w:rPr>
          <w:rFonts w:ascii="Times New Roman" w:cs="Times New Roman" w:eastAsia="Times New Roman" w:hAnsi="Times New Roman"/>
          <w:sz w:val="18"/>
          <w:szCs w:val="18"/>
          <w:color w:val="auto"/>
        </w:rPr>
        <w:t xml:space="preserve">”) promulgated under such Plan and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Participant:</w:t>
            </w:r>
          </w:p>
        </w:tc>
        <w:tc>
          <w:tcPr>
            <w:tcW w:w="7400" w:type="dxa"/>
            <w:vAlign w:val="bottom"/>
            <w:tcBorders>
              <w:top w:val="single" w:sz="8" w:color="auto"/>
              <w:right w:val="single" w:sz="8" w:color="auto"/>
            </w:tcBorders>
          </w:tcPr>
          <w:p>
            <w:pPr>
              <w:spacing w:after="0"/>
              <w:rPr>
                <w:sz w:val="24"/>
                <w:szCs w:val="24"/>
                <w:color w:val="auto"/>
              </w:rPr>
            </w:pP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r>
      <w:tr>
        <w:trPr>
          <w:trHeight w:val="264"/>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Grant Date:</w:t>
            </w:r>
          </w:p>
        </w:tc>
        <w:tc>
          <w:tcPr>
            <w:tcW w:w="7400" w:type="dxa"/>
            <w:vAlign w:val="bottom"/>
            <w:tcBorders>
              <w:right w:val="single" w:sz="8" w:color="auto"/>
            </w:tcBorders>
          </w:tcPr>
          <w:p>
            <w:pPr>
              <w:spacing w:after="0"/>
              <w:rPr>
                <w:sz w:val="22"/>
                <w:szCs w:val="22"/>
                <w:color w:val="auto"/>
              </w:rPr>
            </w:pP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r>
      <w:tr>
        <w:trPr>
          <w:trHeight w:val="264"/>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RSUs:</w:t>
            </w:r>
          </w:p>
        </w:tc>
        <w:tc>
          <w:tcPr>
            <w:tcW w:w="7400" w:type="dxa"/>
            <w:vAlign w:val="bottom"/>
            <w:tcBorders>
              <w:right w:val="single" w:sz="8" w:color="auto"/>
            </w:tcBorders>
          </w:tcPr>
          <w:p>
            <w:pPr>
              <w:spacing w:after="0"/>
              <w:rPr>
                <w:sz w:val="22"/>
                <w:szCs w:val="22"/>
                <w:color w:val="auto"/>
              </w:rPr>
            </w:pP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r>
      <w:tr>
        <w:trPr>
          <w:trHeight w:val="264"/>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Vesting Commencement Date:</w:t>
            </w:r>
          </w:p>
        </w:tc>
        <w:tc>
          <w:tcPr>
            <w:tcW w:w="7400" w:type="dxa"/>
            <w:vAlign w:val="bottom"/>
            <w:tcBorders>
              <w:right w:val="single" w:sz="8" w:color="auto"/>
            </w:tcBorders>
          </w:tcPr>
          <w:p>
            <w:pPr>
              <w:spacing w:after="0"/>
              <w:rPr>
                <w:sz w:val="22"/>
                <w:szCs w:val="22"/>
                <w:color w:val="auto"/>
              </w:rPr>
            </w:pP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r>
      <w:tr>
        <w:trPr>
          <w:trHeight w:val="245"/>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Vesting Schedule:</w:t>
            </w:r>
          </w:p>
        </w:tc>
        <w:tc>
          <w:tcPr>
            <w:tcW w:w="7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Subject to the Plan and the Standard Terms and Conditions, the RSUs shall vest in accordance with</w:t>
            </w:r>
          </w:p>
        </w:tc>
      </w:tr>
      <w:tr>
        <w:trPr>
          <w:trHeight w:val="214"/>
        </w:trPr>
        <w:tc>
          <w:tcPr>
            <w:tcW w:w="3840" w:type="dxa"/>
            <w:vAlign w:val="bottom"/>
            <w:tcBorders>
              <w:left w:val="single" w:sz="8" w:color="auto"/>
              <w:right w:val="single" w:sz="8" w:color="auto"/>
            </w:tcBorders>
          </w:tcPr>
          <w:p>
            <w:pPr>
              <w:spacing w:after="0"/>
              <w:rPr>
                <w:sz w:val="18"/>
                <w:szCs w:val="18"/>
                <w:color w:val="auto"/>
              </w:rPr>
            </w:pPr>
          </w:p>
        </w:tc>
        <w:tc>
          <w:tcPr>
            <w:tcW w:w="7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following schedule, so long as Participant remains continuously employed by the Company or</w:t>
            </w:r>
          </w:p>
        </w:tc>
      </w:tr>
      <w:tr>
        <w:trPr>
          <w:trHeight w:val="236"/>
        </w:trPr>
        <w:tc>
          <w:tcPr>
            <w:tcW w:w="3840" w:type="dxa"/>
            <w:vAlign w:val="bottom"/>
            <w:tcBorders>
              <w:left w:val="single" w:sz="8" w:color="auto"/>
              <w:right w:val="single" w:sz="8" w:color="auto"/>
            </w:tcBorders>
          </w:tcPr>
          <w:p>
            <w:pPr>
              <w:spacing w:after="0"/>
              <w:rPr>
                <w:sz w:val="20"/>
                <w:szCs w:val="20"/>
                <w:color w:val="auto"/>
              </w:rPr>
            </w:pPr>
          </w:p>
        </w:tc>
        <w:tc>
          <w:tcPr>
            <w:tcW w:w="7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its Subsidiaries from the Grant Date through such vesting date: [</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7400" w:type="dxa"/>
            <w:vAlign w:val="bottom"/>
            <w:tcBorders>
              <w:bottom w:val="single" w:sz="8" w:color="auto"/>
              <w:right w:val="single" w:sz="8" w:color="auto"/>
            </w:tcBorders>
          </w:tcPr>
          <w:p>
            <w:pPr>
              <w:spacing w:after="0"/>
              <w:rPr>
                <w:sz w:val="4"/>
                <w:szCs w:val="4"/>
                <w:color w:val="auto"/>
              </w:rPr>
            </w:pPr>
          </w:p>
        </w:tc>
      </w:tr>
      <w:tr>
        <w:trPr>
          <w:trHeight w:val="433"/>
        </w:trPr>
        <w:tc>
          <w:tcPr>
            <w:tcW w:w="38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3" w:name="page134"/>
    <w:bookmarkEnd w:id="133"/>
    <w:p>
      <w:pPr>
        <w:spacing w:after="0" w:line="282" w:lineRule="auto"/>
        <w:rPr>
          <w:sz w:val="20"/>
          <w:szCs w:val="20"/>
          <w:color w:val="auto"/>
        </w:rPr>
      </w:pPr>
      <w:r>
        <w:rPr>
          <w:rFonts w:ascii="Times New Roman" w:cs="Times New Roman" w:eastAsia="Times New Roman" w:hAnsi="Times New Roman"/>
          <w:sz w:val="18"/>
          <w:szCs w:val="18"/>
          <w:color w:val="auto"/>
        </w:rPr>
        <w:t>By accepting this Grant Notice, Participant acknowledges that Participant has received and read, and agrees that this Award shall be subject to, the terms of this Grant Notice, the Plan and the Standard Terms and Conditions.</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294005</wp:posOffset>
            </wp:positionV>
            <wp:extent cx="284607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 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estricted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2024 STOCK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TERMS AND CONDITIONS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Standard Terms and Conditions apply to the Award of Restricted Stock Units granted pursuant to the Oruka Therapeutics, Inc. 2024 Stock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TERMS OF RESTRICTED STOCK UNITS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Oruka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named in the Grant Notice provided to said Participant herewith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 award of Restricted Stock Units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specified in the Grant Notice, with each Restricted Stock Unit representing the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receive one share of Common Stock. The Award is subject to the conditions set forth in the Grant Notice, these Standard Terms and Conditions and the Plan. For the purposes of these Standard Terms and Conditions and the Grant Notice, any reference to the Company shall include a reference to any Subsidiary.</w:t>
      </w:r>
    </w:p>
    <w:p>
      <w:pPr>
        <w:spacing w:after="0" w:line="179"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SETTLEMENT OF RESTRICTED STOCK UNITS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18"/>
          <w:szCs w:val="18"/>
          <w:b w:val="1"/>
          <w:bCs w:val="1"/>
          <w:i w:val="1"/>
          <w:iCs w:val="1"/>
          <w:color w:val="auto"/>
        </w:rPr>
        <w:t>Vested RSUs</w:t>
      </w:r>
      <w:r>
        <w:rPr>
          <w:rFonts w:ascii="Times New Roman" w:cs="Times New Roman" w:eastAsia="Times New Roman" w:hAnsi="Times New Roman"/>
          <w:sz w:val="18"/>
          <w:szCs w:val="18"/>
          <w:color w:val="auto"/>
        </w:rPr>
        <w:t>.” Restricted Stock Units awarded hereunder that are not vested and remain subject to forfeiture are referred to herein as “</w:t>
      </w:r>
      <w:r>
        <w:rPr>
          <w:rFonts w:ascii="Times New Roman" w:cs="Times New Roman" w:eastAsia="Times New Roman" w:hAnsi="Times New Roman"/>
          <w:sz w:val="18"/>
          <w:szCs w:val="18"/>
          <w:b w:val="1"/>
          <w:bCs w:val="1"/>
          <w:i w:val="1"/>
          <w:iCs w:val="1"/>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administratively practicable following the vesting of the RSUs pursuant to the Grant Notice and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but in no event later than 60 days after each vesting date, the Company shall deliver to the Participant a number of shares of Common Stock equal to the number of RSUs that vested on such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Participant’s Termination of Employment for any reason, any then Unvested RSUs held by the Participant (after taking into account any accelerated vesting under Section 16 of the Plan or any other agreement between the Participant and the Company) shall be forfeited and canceled as of the date of the Participant’s Termination of Employment.</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STOCKHOLDER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xhibit</w:t>
      </w:r>
      <w:r>
        <w:rPr>
          <w:rFonts w:ascii="Times New Roman" w:cs="Times New Roman" w:eastAsia="Times New Roman" w:hAnsi="Times New Roman"/>
          <w:sz w:val="18"/>
          <w:szCs w:val="18"/>
          <w:color w:val="auto"/>
        </w:rPr>
        <w:t xml:space="preserv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tandard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onditions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estricted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4. RESTRICTIONS ON RESALES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the Participant authorizes the Company (and any Subsidiary or Affiliate) to withhold all such amounts legally payable by Participant. In this regard, Participant authorizes the Company (and any Subsidiary or Affiliate), at the direction and discretion of the Committee, to satisfy all obligations by (i) withholding shares of Common Stock based on the Fair Market Value of the shares of Common Stock that otherwise would be issued to Participant when Participant’s RSUs are settled, provided that the Company does not withhold more than the amount of shares of Common Stock necessary to satisfy the maximum statutory withholding amount or (ii) by withholding from proceeds of the sale of shares of Common Stock acquired upon settlement of the RSUs through a mandatory sale arranged by the Company (on Participant’s behalf pursuant to this authorization without further action by Participant). The Company shall not be required to issue shares of Common Stock or to recognize the disposition of such shares of Common Stock until such obligations are satisfied.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NON-TRANSFERABILITY OF AWARD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AGREEMENTS SUPERSEDED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 Notice, these Standard Terms and Conditions and the Plan constitute the entire understanding between the Participant and the Company regarding the Award; provided, however, that any provisions regarding the acceleration of the Award upon a Termination of Employment set forth in any written employment, offer, services or severance agreement or letter between the Participant and the Company or under the terms of any severance plan in which the Participant participates shall continue to apply to the Award. Any prior agreements, commitments or negotiations concerning the Award are superseded.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LIMITATION OF INTEREST IN SHARES SUBJECT TO RESTRICTED STOCK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9. NO LIABILITY OF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any Affiliate that is in existence or hereafter comes into existence shall not be liable to the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exercise or settlement of the Award.</w:t>
      </w:r>
    </w:p>
    <w:p>
      <w:pPr>
        <w:spacing w:after="0" w:line="176" w:lineRule="exact"/>
        <w:rPr>
          <w:sz w:val="20"/>
          <w:szCs w:val="20"/>
          <w:color w:val="auto"/>
        </w:rPr>
      </w:pPr>
    </w:p>
    <w:p>
      <w:pPr>
        <w:ind w:left="280" w:hanging="272"/>
        <w:spacing w:after="0"/>
        <w:tabs>
          <w:tab w:leader="none" w:pos="2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Standard Terms and Conditions shall inure to the benefit of and be binding upon the parties hereto and their respective permitted heirs, beneficiaries, successors and assigns.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Standard Terms and Conditions shall be construed in accordance with and governed by the laws of the State of Delaware, without regard to principles of conflicts of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arising under the Plan or under these Standard Terms and Conditions shall be decided by the Committee in its total and absolute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11. CLAWBACK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RSUs and any shares of Common Stock received upon settlement of the RSUs are subject to any recoupment policy that the Company may adopt from time to time, to the extent any such policy is applicable to the Participant. No recovery of compensation under such a clawback policy will be an event giving rise to a right to resign for “good reason” or “constructive termination” (or similar term) under any agreement with the Company. By accepting the Award, the Participant is agreeing to be bound by any such clawback policy, as in effect or as may be adopted and/or modified from time to time by the Company in its discretion.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of Common Stock and/or other amounts to the Company and</w:t>
      </w:r>
    </w:p>
    <w:p>
      <w:pPr>
        <w:spacing w:after="0" w:line="3" w:lineRule="exact"/>
        <w:rPr>
          <w:sz w:val="20"/>
          <w:szCs w:val="20"/>
          <w:color w:val="auto"/>
        </w:rPr>
      </w:pPr>
    </w:p>
    <w:p>
      <w:pPr>
        <w:jc w:val="both"/>
        <w:ind w:firstLine="8"/>
        <w:spacing w:after="0" w:line="253" w:lineRule="auto"/>
        <w:tabs>
          <w:tab w:leader="none" w:pos="2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ELECTRONIC DELIVERY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executing the Grant Notice, the Participant hereby consents to the delivery of information (including information required to be delivered to the Participant pursuant to applicable securities laws) regarding the Company and the Subsidiaries, the Plan, and the Restricted Stock Units via Company web site or other electronic delivery.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3700" w:type="dxa"/>
            <w:vAlign w:val="bottom"/>
          </w:tcPr>
          <w:p>
            <w:pPr>
              <w:spacing w:after="0"/>
              <w:rPr>
                <w:sz w:val="24"/>
                <w:szCs w:val="24"/>
                <w:color w:val="auto"/>
              </w:rPr>
            </w:pP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Subsidiaries of Oruka Therapeutics, Inc.</w:t>
            </w:r>
          </w:p>
        </w:tc>
      </w:tr>
      <w:tr>
        <w:trPr>
          <w:trHeight w:val="439"/>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Jurisdiction in Which Incorporated or Organized</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Oruka Therapeutics Operating Company, LLC</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333-283243) and Form S-3 (Nos. 333-290718 and 333-290715) of Oruka Therapeutics, Inc. of our report dated March 12, 2026 relating to the financial statements, which appears in this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Klein,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Oruka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740" w:val="left"/>
          <w:tab w:leader="none" w:pos="852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Lawrence Klein</w:t>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Arjun Agarwal, certify that:</w:t>
      </w:r>
    </w:p>
    <w:p>
      <w:pPr>
        <w:spacing w:after="0" w:line="22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Oruka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tabs>
          <w:tab w:leader="none" w:pos="6740" w:val="left"/>
          <w:tab w:leader="none" w:pos="854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Arjun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Arjun Agarwal</w:t>
      </w:r>
    </w:p>
    <w:p>
      <w:pPr>
        <w:spacing w:after="0" w:line="3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Senior Vice President, Finance and Treasurer</w:t>
      </w:r>
    </w:p>
    <w:p>
      <w:pPr>
        <w:spacing w:after="0" w:line="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2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Oruka Therapeutics, Inc. (the “Company”) for the year ending December 31, 2025, as filed with the Securities and Exchange Commission on the date hereof (the “Report”), each of the undersigned officers of the Company hereby certifies, pursuant to 18 U.S.C. § 1350, as adopted pursuant to § 906 of the Sarbanes-Oxley Act of 2002, that to the best of his knowledge:</w:t>
      </w:r>
    </w:p>
    <w:p>
      <w:pPr>
        <w:spacing w:after="0" w:line="176"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tabs>
          <w:tab w:leader="none" w:pos="6740" w:val="left"/>
          <w:tab w:leader="none" w:pos="852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Lawrence Klein</w:t>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spacing w:after="0"/>
        <w:tabs>
          <w:tab w:leader="none" w:pos="6740" w:val="left"/>
          <w:tab w:leader="none" w:pos="854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Arjun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b w:val="1"/>
          <w:bCs w:val="1"/>
          <w:color w:val="auto"/>
        </w:rPr>
        <w:t>Arjun Agarwal</w:t>
      </w:r>
    </w:p>
    <w:p>
      <w:pPr>
        <w:spacing w:after="0" w:line="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Senior Vice President, Finance and Treasurer</w:t>
      </w:r>
    </w:p>
    <w:p>
      <w:pPr>
        <w:spacing w:after="0" w:line="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9"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Note: A signed original of this written statement required by §906 has been provided to Oruka Therapeutics, Inc. and will be retained by Oruka Therapeutics,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lvl w:ilvl="1">
      <w:lvlJc w:val="left"/>
      <w:lvlText w:val="☒"/>
      <w:numFmt w:val="bullet"/>
      <w:start w:val="1"/>
    </w:lvl>
  </w:abstractNum>
  <w:abstractNum w:abstractNumId="1">
    <w:nsid w:val="4516DDE9"/>
    <w:multiLevelType w:val="hybridMultilevel"/>
    <w:lvl w:ilvl="0">
      <w:lvlJc w:val="left"/>
      <w:lvlText w:val="%1."/>
      <w:numFmt w:val="decimal"/>
      <w:start w:val="23"/>
    </w:lvl>
  </w:abstractNum>
  <w:abstractNum w:abstractNumId="2">
    <w:nsid w:val="3006C83E"/>
    <w:multiLevelType w:val="hybridMultilevel"/>
    <w:lvl w:ilvl="0">
      <w:lvlJc w:val="left"/>
      <w:lvlText w:val="%1."/>
      <w:numFmt w:val="decimal"/>
      <w:start w:val="2"/>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lowerRoman"/>
      <w:start w:val="2"/>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2"/>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23"/>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2"/>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14"/>
    </w:lvl>
  </w:abstractNum>
  <w:abstractNum w:abstractNumId="35">
    <w:nsid w:val="749ABB43"/>
    <w:multiLevelType w:val="hybridMultilevel"/>
    <w:lvl w:ilvl="0">
      <w:lvlJc w:val="left"/>
      <w:lvlText w:val="%1."/>
      <w:numFmt w:val="decimal"/>
      <w:start w:val="15"/>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3"/>
    </w:lvl>
  </w:abstractNum>
  <w:abstractNum w:abstractNumId="43">
    <w:nsid w:val="374A3FE6"/>
    <w:multiLevelType w:val="hybridMultilevel"/>
    <w:lvl w:ilvl="0">
      <w:lvlJc w:val="left"/>
      <w:lvlText w:val="%1)"/>
      <w:numFmt w:val="lowerLetter"/>
      <w:start w:val="5"/>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46">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47">
    <w:nsid w:val="275AC794"/>
    <w:multiLevelType w:val="hybridMultilevel"/>
    <w:lvl w:ilvl="0">
      <w:lvlJc w:val="left"/>
      <w:lvlText w:val="%1)"/>
      <w:numFmt w:val="lowerLetter"/>
      <w:start w:val="5"/>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3"/>
    </w:lvl>
  </w:abstractNum>
  <w:abstractNum w:abstractNumId="50">
    <w:nsid w:val="180115BE"/>
    <w:multiLevelType w:val="hybridMultilevel"/>
    <w:lvl w:ilvl="0">
      <w:lvlJc w:val="left"/>
      <w:lvlText w:val="%1"/>
      <w:numFmt w:val="decimal"/>
      <w:start w:val="1"/>
    </w:lvl>
    <w:lvl w:ilvl="1">
      <w:lvlJc w:val="left"/>
      <w:lvlText w:val="%2)"/>
      <w:numFmt w:val="lowerLetter"/>
      <w:start w:val="1"/>
    </w:lvl>
  </w:abstractNum>
  <w:abstractNum w:abstractNumId="51">
    <w:nsid w:val="235BA861"/>
    <w:multiLevelType w:val="hybridMultilevel"/>
    <w:lvl w:ilvl="0">
      <w:lvlJc w:val="left"/>
      <w:lvlText w:val="(%1)"/>
      <w:numFmt w:val="decimal"/>
      <w:start w:val="3"/>
    </w:lvl>
    <w:lvl w:ilvl="1">
      <w:lvlJc w:val="left"/>
      <w:lvlText w:val="%2)"/>
      <w:numFmt w:val="lowerLetter"/>
      <w:start w:val="2"/>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4"/>
    </w:lvl>
  </w:abstractNum>
  <w:abstractNum w:abstractNumId="54">
    <w:nsid w:val="15B5AF5C"/>
    <w:multiLevelType w:val="hybridMultilevel"/>
    <w:lvl w:ilvl="0">
      <w:lvlJc w:val="left"/>
      <w:lvlText w:val="%1)"/>
      <w:numFmt w:val="lowerLetter"/>
      <w:start w:val="5"/>
    </w:lvl>
  </w:abstractNum>
  <w:abstractNum w:abstractNumId="55">
    <w:nsid w:val="741226BB"/>
    <w:multiLevelType w:val="hybridMultilevel"/>
    <w:lvl w:ilvl="0">
      <w:lvlJc w:val="left"/>
      <w:lvlText w:val="%1)"/>
      <w:numFmt w:val="lowerLetter"/>
      <w:start w:val="8"/>
    </w:lvl>
  </w:abstractNum>
  <w:abstractNum w:abstractNumId="56">
    <w:nsid w:val="D34B6A8"/>
    <w:multiLevelType w:val="hybridMultilevel"/>
    <w:lvl w:ilvl="0">
      <w:lvlJc w:val="left"/>
      <w:lvlText w:val="%1)"/>
      <w:numFmt w:val="lowerLetter"/>
      <w:start w:val="9"/>
    </w:lvl>
  </w:abstractNum>
  <w:abstractNum w:abstractNumId="57">
    <w:nsid w:val="10233C99"/>
    <w:multiLevelType w:val="hybridMultilevel"/>
    <w:lvl w:ilvl="0">
      <w:lvlJc w:val="left"/>
      <w:lvlText w:val="(%1)"/>
      <w:numFmt w:val="decimal"/>
      <w:start w:val="1"/>
    </w:lvl>
    <w:lvl w:ilvl="1">
      <w:lvlJc w:val="left"/>
      <w:lvlText w:val="☐"/>
      <w:numFmt w:val="bullet"/>
      <w:start w:val="1"/>
    </w:lvl>
  </w:abstractNum>
  <w:abstractNum w:abstractNumId="58">
    <w:nsid w:val="3F6AB60F"/>
    <w:multiLevelType w:val="hybridMultilevel"/>
    <w:lvl w:ilvl="0">
      <w:lvlJc w:val="left"/>
      <w:lvlText w:val="%1."/>
      <w:numFmt w:val="decimal"/>
      <w:start w:val="2"/>
    </w:lvl>
    <w:lvl w:ilvl="1">
      <w:lvlJc w:val="left"/>
      <w:lvlText w:val="(%2)"/>
      <w:numFmt w:val="lowerLetter"/>
      <w:start w:val="1"/>
    </w:lvl>
  </w:abstractNum>
  <w:abstractNum w:abstractNumId="59">
    <w:nsid w:val="61574095"/>
    <w:multiLevelType w:val="hybridMultilevel"/>
    <w:lvl w:ilvl="0">
      <w:lvlJc w:val="left"/>
      <w:lvlText w:val="%1."/>
      <w:numFmt w:val="decimal"/>
      <w:start w:val="10"/>
    </w:lvl>
    <w:lvl w:ilvl="1">
      <w:lvlJc w:val="left"/>
      <w:lvlText w:val="(%2)"/>
      <w:numFmt w:val="lowerLetter"/>
      <w:start w:val="1"/>
    </w:lvl>
  </w:abstractNum>
  <w:abstractNum w:abstractNumId="60">
    <w:nsid w:val="7E0C57B1"/>
    <w:multiLevelType w:val="hybridMultilevel"/>
    <w:lvl w:ilvl="0">
      <w:lvlJc w:val="left"/>
      <w:lvlText w:val="(%1)"/>
      <w:numFmt w:val="lowerLetter"/>
      <w:start w:val="25"/>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128" Type="http://schemas.openxmlformats.org/officeDocument/2006/relationships/hyperlink" Target="http://www.sec.gov/Archives/edgar/data/907654/000119312524085437/d794675dex21.htm" TargetMode="External"/><Relationship Id="rId129" Type="http://schemas.openxmlformats.org/officeDocument/2006/relationships/hyperlink" Target="http://www.sec.gov/Archives/edgar/data/907654/000121390024076184/ea021319301ex3-5_oruka.htm" TargetMode="External"/><Relationship Id="rId130" Type="http://schemas.openxmlformats.org/officeDocument/2006/relationships/hyperlink" Target="http://www.sec.gov/Archives/edgar/data/907654/000121390024076184/ea021319301ex3-6_oruka.htm" TargetMode="External"/><Relationship Id="rId131" Type="http://schemas.openxmlformats.org/officeDocument/2006/relationships/hyperlink" Target="http://www.sec.gov/Archives/edgar/data/907654/000119312513233692/d507513dex31b.htm" TargetMode="External"/><Relationship Id="rId132" Type="http://schemas.openxmlformats.org/officeDocument/2006/relationships/hyperlink" Target="http://www.sec.gov/Archives/edgar/data/907654/000121390024076184/ea021319301ex3-8_oruka.htm" TargetMode="External"/><Relationship Id="rId133" Type="http://schemas.openxmlformats.org/officeDocument/2006/relationships/hyperlink" Target="http://www.sec.gov/Archives/edgar/data/907654/000121390024076184/ea021319301ex3-9_oruka.htm" TargetMode="External"/><Relationship Id="rId134" Type="http://schemas.openxmlformats.org/officeDocument/2006/relationships/hyperlink" Target="http://www.sec.gov/Archives/edgar/data/907654/000121390024078549/ea021443901ex3-1_oruka.htm" TargetMode="External"/><Relationship Id="rId135" Type="http://schemas.openxmlformats.org/officeDocument/2006/relationships/hyperlink" Target="https://www.sec.gov/Archives/edgar/data/907654/000121390025021165/ea023044501ex4-1_orukathe.htm" TargetMode="External"/><Relationship Id="rId136" Type="http://schemas.openxmlformats.org/officeDocument/2006/relationships/hyperlink" Target="https://www.sec.gov/Archives/edgar/data/907654/000121390025021165/ea023044501ex4-3_orukathe.htm" TargetMode="External"/><Relationship Id="rId137" Type="http://schemas.openxmlformats.org/officeDocument/2006/relationships/hyperlink" Target="http://www.sec.gov/Archives/edgar/data/907654/000121390024078549/ea021443901ex4-1_oruka.htm" TargetMode="External"/><Relationship Id="rId138" Type="http://schemas.openxmlformats.org/officeDocument/2006/relationships/hyperlink" Target="https://www.sec.gov/Archives/edgar/data/907654/000121390025090129/ea025786501ex4-1_oruka.htm" TargetMode="External"/><Relationship Id="rId139" Type="http://schemas.openxmlformats.org/officeDocument/2006/relationships/hyperlink" Target="https://www.sec.gov/Archives/edgar/data/907654/000121390025043279/ea023989801ex4-5_oruka.htm" TargetMode="External"/><Relationship Id="rId140" Type="http://schemas.openxmlformats.org/officeDocument/2006/relationships/hyperlink" Target="https://www.sec.gov/Archives/edgar/data/907654/000121390024076184/ea021319301ex10-10_oruka.htm" TargetMode="External"/><Relationship Id="rId141" Type="http://schemas.openxmlformats.org/officeDocument/2006/relationships/hyperlink" Target="https://www.sec.gov/Archives/edgar/data/907654/000121390024076184/ea021319301ex10-11_oruka.htm" TargetMode="External"/><Relationship Id="rId142" Type="http://schemas.openxmlformats.org/officeDocument/2006/relationships/hyperlink" Target="https://www.sec.gov/Archives/edgar/data/907654/000121390024042529/ea020512201ex10-40_arcabio.htm" TargetMode="External"/><Relationship Id="rId143" Type="http://schemas.openxmlformats.org/officeDocument/2006/relationships/hyperlink" Target="https://www.sec.gov/Archives/edgar/data/907654/000121390024076184/ea021319301ex10-13_oruka.htm" TargetMode="External"/><Relationship Id="rId144" Type="http://schemas.openxmlformats.org/officeDocument/2006/relationships/hyperlink" Target="https://www.sec.gov/Archives/edgar/data/907654/000121390024076184/ea021319301ex10-16_oruka.htm" TargetMode="External"/><Relationship Id="rId145" Type="http://schemas.openxmlformats.org/officeDocument/2006/relationships/hyperlink" Target="https://www.sec.gov/Archives/edgar/data/907654/000121390024098574/ea022059801ex99-2_oruka.htm" TargetMode="External"/><Relationship Id="rId146" Type="http://schemas.openxmlformats.org/officeDocument/2006/relationships/hyperlink" Target="https://www.sec.gov/Archives/edgar/data/907654/000121390024098574/ea022059801ex99-3_oruka.htm" TargetMode="External"/><Relationship Id="rId147" Type="http://schemas.openxmlformats.org/officeDocument/2006/relationships/hyperlink" Target="https://www.sec.gov/Archives/edgar/data/907654/000121390024042529/ea020512201ex10-42_arcabio.htm" TargetMode="External"/><Relationship Id="rId148" Type="http://schemas.openxmlformats.org/officeDocument/2006/relationships/hyperlink" Target="https://www.sec.gov/Archives/edgar/data/907654/000121390024042529/ea020512201ex10-43_arcabio.htm" TargetMode="External"/><Relationship Id="rId149" Type="http://schemas.openxmlformats.org/officeDocument/2006/relationships/hyperlink" Target="https://www.sec.gov/Archives/edgar/data/907654/000121390024042529/ea020512201ex10-44_arcabio.htm" TargetMode="External"/><Relationship Id="rId150" Type="http://schemas.openxmlformats.org/officeDocument/2006/relationships/hyperlink" Target="https://www.sec.gov/Archives/edgar/data/907654/000121390025120676/ea026892501ex10-1_oruka.htm" TargetMode="External"/><Relationship Id="rId151" Type="http://schemas.openxmlformats.org/officeDocument/2006/relationships/hyperlink" Target="https://www.sec.gov/Archives/edgar/data/907654/000121390024085543/ea021674601ex10-1_oruka.htm" TargetMode="External"/><Relationship Id="rId152" Type="http://schemas.openxmlformats.org/officeDocument/2006/relationships/hyperlink" Target="https://www.sec.gov/Archives/edgar/data/907654/000121390024085543/ea021674601ex10-2_oruka.htm" TargetMode="External"/><Relationship Id="rId153" Type="http://schemas.openxmlformats.org/officeDocument/2006/relationships/hyperlink" Target="https://www.sec.gov/Archives/edgar/data/907654/000121390025021165/ea023044501ex10-17_orukathe.htm" TargetMode="External"/><Relationship Id="rId154" Type="http://schemas.openxmlformats.org/officeDocument/2006/relationships/hyperlink" Target="https://www.sec.gov/Archives/edgar/data/907654/000121390025021165/ea023044501ex10-18_orukathe.htm" TargetMode="External"/><Relationship Id="rId155" Type="http://schemas.openxmlformats.org/officeDocument/2006/relationships/hyperlink" Target="https://www.sec.gov/Archives/edgar/data/907654/000121390025060352/ea024767001ex10-1_oruka.htm" TargetMode="External"/><Relationship Id="rId156" Type="http://schemas.openxmlformats.org/officeDocument/2006/relationships/hyperlink" Target="https://www.sec.gov/Archives/edgar/data/907654/000121390025021165/ea023044501ex10-19_orukathe.htm" TargetMode="External"/><Relationship Id="rId157" Type="http://schemas.openxmlformats.org/officeDocument/2006/relationships/hyperlink" Target="https://www.sec.gov/Archives/edgar/data/907654/000121390025021165/ea023044501ex10-20_orukathe.htm" TargetMode="External"/><Relationship Id="rId158" Type="http://schemas.openxmlformats.org/officeDocument/2006/relationships/hyperlink" Target="http://www.sec.gov/Archives/edgar/data/907654/000121390024060156/ea020913401ex10-1_arcabio.htm" TargetMode="External"/><Relationship Id="rId159" Type="http://schemas.openxmlformats.org/officeDocument/2006/relationships/hyperlink" Target="http://www.sec.gov/Archives/edgar/data/907654/000121390024060156/ea020913401ex10-2_arcabio.htm" TargetMode="External"/><Relationship Id="rId160" Type="http://schemas.openxmlformats.org/officeDocument/2006/relationships/hyperlink" Target="https://www.sec.gov/Archives/edgar/data/907654/000121390024097443/ea021692901ex10-4_oruka.htm" TargetMode="External"/><Relationship Id="rId161" Type="http://schemas.openxmlformats.org/officeDocument/2006/relationships/hyperlink" Target="http://www.sec.gov/Archives/edgar/data/907654/000121390024078549/ea021443901ex10-1_oruka.htm" TargetMode="External"/><Relationship Id="rId162" Type="http://schemas.openxmlformats.org/officeDocument/2006/relationships/hyperlink" Target="http://www.sec.gov/Archives/edgar/data/907654/000121390024078549/ea021443901ex10-2_oruka.htm" TargetMode="External"/><Relationship Id="rId163" Type="http://schemas.openxmlformats.org/officeDocument/2006/relationships/hyperlink" Target="https://www.sec.gov/Archives/edgar/data/907654/000121390025090129/ea025786501ex10-1_oruka.htm" TargetMode="External"/><Relationship Id="rId164" Type="http://schemas.openxmlformats.org/officeDocument/2006/relationships/hyperlink" Target="https://www.sec.gov/Archives/edgar/data/907654/000121390025090129/ea025786501ex10-2_oruka.htm" TargetMode="External"/><Relationship Id="rId165" Type="http://schemas.openxmlformats.org/officeDocument/2006/relationships/hyperlink" Target="https://www.sec.gov/Archives/edgar/data/907654/000121390024053881/ea020512202ex10-50_arcabio.htm" TargetMode="External"/><Relationship Id="rId166" Type="http://schemas.openxmlformats.org/officeDocument/2006/relationships/hyperlink" Target="https://www.sec.gov/Archives/edgar/data/907654/000121390025021165/ea023044501ex10-29_orukathe.htm" TargetMode="External"/><Relationship Id="rId167" Type="http://schemas.openxmlformats.org/officeDocument/2006/relationships/hyperlink" Target="https://www.sec.gov/Archives/edgar/data/907654/000121390024053881/ea020512202ex10-51_arcabio.htm" TargetMode="External"/><Relationship Id="rId168" Type="http://schemas.openxmlformats.org/officeDocument/2006/relationships/hyperlink" Target="https://www.sec.gov/Archives/edgar/data/907654/000121390025021165/ea023044501ex10-31_orukathe.htm" TargetMode="External"/><Relationship Id="rId169" Type="http://schemas.openxmlformats.org/officeDocument/2006/relationships/hyperlink" Target="https://www.sec.gov/Archives/edgar/data/907654/000121390025021165/ea023044501ex10-32_orukathe.htm" TargetMode="External"/><Relationship Id="rId170" Type="http://schemas.openxmlformats.org/officeDocument/2006/relationships/hyperlink" Target="https://www.sec.gov/Archives/edgar/data/907654/000121390025021165/ea023044501ex10-33_orukathe.htm" TargetMode="External"/><Relationship Id="rId171" Type="http://schemas.openxmlformats.org/officeDocument/2006/relationships/hyperlink" Target="http://www.sec.gov/Archives/edgar/data/907654/000121390025096198/ea026007301ex1-2_oruka.htm" TargetMode="External"/><Relationship Id="rId172" Type="http://schemas.openxmlformats.org/officeDocument/2006/relationships/hyperlink" Target="https://www.sec.gov/Archives/edgar/data/907654/000121390024076184/ea021319301ex14-1_oruka.htm" TargetMode="External"/><Relationship Id="rId173" Type="http://schemas.openxmlformats.org/officeDocument/2006/relationships/hyperlink" Target="https://www.sec.gov/Archives/edgar/data/907654/000121390024076184/ea021319301ex16-1_oruka.htm" TargetMode="External"/><Relationship Id="rId174" Type="http://schemas.openxmlformats.org/officeDocument/2006/relationships/hyperlink" Target="https://www.sec.gov/Archives/edgar/data/907654/000121390025021165/ea023044501ex19-1_orukathe.htm" TargetMode="External"/><Relationship Id="rId175" Type="http://schemas.openxmlformats.org/officeDocument/2006/relationships/hyperlink" Target="https://www.sec.gov/Archives/edgar/data/907654/000121390025021165/ea023044501ex97-1_orukath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2026-03-12T15:19:27Z</dcterms:created>
  <dcterms:modified xsi:type="dcterms:W3CDTF">2026-03-12T15:19:27Z</dcterms:modified>
</cp:coreProperties>
</file>