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62412-10q_oruka.htm"/>
      <w:bookmarkStart w:id="1" w:name="ksea026241210q_oruka"/>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000-22873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sz w:val="20"/>
              </w:rPr>
            </w:pPr>
            <w:r>
              <w:rPr>
                <w:b/>
                <w:sz w:val="20"/>
              </w:rPr>
              <w:t>36-3855489</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b/>
                <w:sz w:val="20"/>
              </w:rPr>
            </w:pPr>
            <w:r>
              <w:rPr>
                <w:b/>
                <w:sz w:val="20"/>
              </w:rPr>
              <w:t>855 Oak Grove Avenue</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vAlign w:val="center"/>
          </w:tcPr>
          <w:p>
            <w:pPr>
              <w:pStyle w:val="TableContents"/>
              <w:bidi w:val="0"/>
              <w:spacing w:before="0" w:after="283"/>
              <w:jc w:val="center"/>
              <w:rPr>
                <w:b/>
                <w:sz w:val="20"/>
              </w:rPr>
            </w:pPr>
            <w:r>
              <w:rPr>
                <w:b/>
                <w:sz w:val="20"/>
              </w:rPr>
              <w:t>Suite 100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Menlo Park, California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94025</w:t>
            </w:r>
          </w:p>
        </w:tc>
      </w:tr>
      <w:tr>
        <w:trPr/>
        <w:tc>
          <w:tcPr>
            <w:tcW w:w="3245" w:type="dxa"/>
            <w:tcBorders/>
            <w:vAlign w:val="center"/>
          </w:tcPr>
          <w:p>
            <w:pPr>
              <w:pStyle w:val="TableContents"/>
              <w:bidi w:val="0"/>
              <w:spacing w:before="0" w:after="283"/>
              <w:jc w:val="center"/>
              <w:rPr>
                <w:sz w:val="20"/>
              </w:rPr>
            </w:pPr>
            <w:r>
              <w:rPr>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3515"/>
        <w:gridCol w:w="90"/>
        <w:gridCol w:w="1565"/>
        <w:gridCol w:w="90"/>
        <w:gridCol w:w="3650"/>
      </w:tblGrid>
      <w:tr>
        <w:trPr/>
        <w:tc>
          <w:tcPr>
            <w:tcW w:w="351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ORKA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sz w:val="20"/>
              </w:rPr>
            </w:pPr>
            <w:r>
              <w:rPr>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2025, there were 48,409,232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0" w:type="dxa"/>
          <w:right w:w="0" w:type="dxa"/>
        </w:tblCellMar>
      </w:tblPr>
      <w:tblGrid>
        <w:gridCol w:w="755"/>
        <w:gridCol w:w="8375"/>
        <w:gridCol w:w="515"/>
      </w:tblGrid>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01">
              <w:r>
                <w:rPr>
                  <w:rStyle w:val="InternetLink"/>
                  <w:sz w:val="20"/>
                </w:rPr>
                <w:t>PART I. Financial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sz w:val="20"/>
              </w:rPr>
            </w:pPr>
            <w:r>
              <w:rPr>
                <w:sz w:val="20"/>
              </w:rPr>
              <w:t>Item 1.</w:t>
            </w:r>
          </w:p>
        </w:tc>
        <w:tc>
          <w:tcPr>
            <w:tcW w:w="8375" w:type="dxa"/>
            <w:tcBorders/>
            <w:vAlign w:val="center"/>
          </w:tcPr>
          <w:p>
            <w:pPr>
              <w:pStyle w:val="TableContents"/>
              <w:bidi w:val="0"/>
              <w:spacing w:before="0" w:after="283"/>
              <w:jc w:val="left"/>
              <w:rPr/>
            </w:pPr>
            <w:hyperlink w:anchor="a_002">
              <w:r>
                <w:rPr>
                  <w:rStyle w:val="InternetLink"/>
                  <w:sz w:val="20"/>
                </w:rPr>
                <w:t>Financial Statements (Unaudited)</w:t>
              </w:r>
            </w:hyperlink>
          </w:p>
        </w:tc>
        <w:tc>
          <w:tcPr>
            <w:tcW w:w="515" w:type="dxa"/>
            <w:tcBorders/>
            <w:vAlign w:val="center"/>
          </w:tcPr>
          <w:p>
            <w:pPr>
              <w:pStyle w:val="TableContents"/>
              <w:bidi w:val="0"/>
              <w:spacing w:before="0" w:after="283"/>
              <w:jc w:val="center"/>
              <w:rPr>
                <w:sz w:val="20"/>
              </w:rPr>
            </w:pPr>
            <w:r>
              <w:rPr>
                <w:sz w:val="20"/>
              </w:rPr>
              <w:t>1</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3">
              <w:r>
                <w:rPr>
                  <w:rStyle w:val="InternetLink"/>
                  <w:sz w:val="20"/>
                </w:rPr>
                <w:t>Condensed Consolidated Balance Sheets</w:t>
              </w:r>
            </w:hyperlink>
          </w:p>
        </w:tc>
        <w:tc>
          <w:tcPr>
            <w:tcW w:w="515" w:type="dxa"/>
            <w:tcBorders/>
            <w:shd w:fill="CCEEFF" w:val="clear"/>
            <w:vAlign w:val="center"/>
          </w:tcPr>
          <w:p>
            <w:pPr>
              <w:pStyle w:val="TableContents"/>
              <w:bidi w:val="0"/>
              <w:spacing w:before="0" w:after="283"/>
              <w:jc w:val="center"/>
              <w:rPr>
                <w:sz w:val="20"/>
              </w:rPr>
            </w:pPr>
            <w:r>
              <w:rPr>
                <w:sz w:val="20"/>
              </w:rPr>
              <w:t>1</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4">
              <w:r>
                <w:rPr>
                  <w:rStyle w:val="InternetLink"/>
                  <w:sz w:val="20"/>
                </w:rPr>
                <w:t>Condensed Consolidated Statements of Operations and Comprehensive Loss</w:t>
              </w:r>
            </w:hyperlink>
          </w:p>
        </w:tc>
        <w:tc>
          <w:tcPr>
            <w:tcW w:w="515" w:type="dxa"/>
            <w:tcBorders/>
            <w:vAlign w:val="center"/>
          </w:tcPr>
          <w:p>
            <w:pPr>
              <w:pStyle w:val="TableContents"/>
              <w:bidi w:val="0"/>
              <w:spacing w:before="0" w:after="283"/>
              <w:jc w:val="center"/>
              <w:rPr>
                <w:sz w:val="20"/>
              </w:rPr>
            </w:pPr>
            <w:r>
              <w:rPr>
                <w:sz w:val="20"/>
              </w:rPr>
              <w:t>2</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5">
              <w:r>
                <w:rPr>
                  <w:rStyle w:val="InternetLink"/>
                  <w:sz w:val="20"/>
                </w:rPr>
                <w:t>Condensed Consolidated Statements of Convertible Preferred Stock and Stockholders’ Equity (Deficit)</w:t>
              </w:r>
            </w:hyperlink>
          </w:p>
        </w:tc>
        <w:tc>
          <w:tcPr>
            <w:tcW w:w="515" w:type="dxa"/>
            <w:tcBorders/>
            <w:shd w:fill="CCEEFF" w:val="clear"/>
            <w:vAlign w:val="center"/>
          </w:tcPr>
          <w:p>
            <w:pPr>
              <w:pStyle w:val="TableContents"/>
              <w:bidi w:val="0"/>
              <w:spacing w:before="0" w:after="283"/>
              <w:jc w:val="center"/>
              <w:rPr>
                <w:sz w:val="20"/>
              </w:rPr>
            </w:pPr>
            <w:r>
              <w:rPr>
                <w:sz w:val="20"/>
              </w:rPr>
              <w:t>3</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6">
              <w:r>
                <w:rPr>
                  <w:rStyle w:val="InternetLink"/>
                  <w:sz w:val="20"/>
                </w:rPr>
                <w:t>Condensed Consolidated Statements of Cash Flows</w:t>
              </w:r>
            </w:hyperlink>
          </w:p>
        </w:tc>
        <w:tc>
          <w:tcPr>
            <w:tcW w:w="515" w:type="dxa"/>
            <w:tcBorders/>
            <w:vAlign w:val="center"/>
          </w:tcPr>
          <w:p>
            <w:pPr>
              <w:pStyle w:val="TableContents"/>
              <w:bidi w:val="0"/>
              <w:spacing w:before="0" w:after="283"/>
              <w:jc w:val="center"/>
              <w:rPr>
                <w:sz w:val="20"/>
              </w:rPr>
            </w:pPr>
            <w:r>
              <w:rPr>
                <w:sz w:val="20"/>
              </w:rPr>
              <w:t>4</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7">
              <w:r>
                <w:rPr>
                  <w:rStyle w:val="InternetLink"/>
                  <w:sz w:val="20"/>
                </w:rPr>
                <w:t>Notes to Unaudited Condensed Consolidated Financial Statements</w:t>
              </w:r>
            </w:hyperlink>
          </w:p>
        </w:tc>
        <w:tc>
          <w:tcPr>
            <w:tcW w:w="515" w:type="dxa"/>
            <w:tcBorders/>
            <w:shd w:fill="CCEEFF" w:val="clear"/>
            <w:vAlign w:val="center"/>
          </w:tcPr>
          <w:p>
            <w:pPr>
              <w:pStyle w:val="TableContents"/>
              <w:bidi w:val="0"/>
              <w:spacing w:before="0" w:after="283"/>
              <w:jc w:val="center"/>
              <w:rPr>
                <w:sz w:val="20"/>
              </w:rPr>
            </w:pPr>
            <w:r>
              <w:rPr>
                <w:sz w:val="20"/>
              </w:rPr>
              <w:t>5</w:t>
            </w:r>
          </w:p>
        </w:tc>
      </w:tr>
      <w:tr>
        <w:trPr/>
        <w:tc>
          <w:tcPr>
            <w:tcW w:w="755" w:type="dxa"/>
            <w:tcBorders/>
            <w:vAlign w:val="center"/>
          </w:tcPr>
          <w:p>
            <w:pPr>
              <w:pStyle w:val="TableContents"/>
              <w:bidi w:val="0"/>
              <w:spacing w:before="0" w:after="283"/>
              <w:jc w:val="left"/>
              <w:rPr>
                <w:sz w:val="20"/>
              </w:rPr>
            </w:pPr>
            <w:r>
              <w:rPr>
                <w:sz w:val="20"/>
              </w:rPr>
              <w:t>Item 2.</w:t>
            </w:r>
          </w:p>
        </w:tc>
        <w:tc>
          <w:tcPr>
            <w:tcW w:w="8375" w:type="dxa"/>
            <w:tcBorders/>
            <w:vAlign w:val="center"/>
          </w:tcPr>
          <w:p>
            <w:pPr>
              <w:pStyle w:val="TableContents"/>
              <w:bidi w:val="0"/>
              <w:spacing w:before="0" w:after="283"/>
              <w:jc w:val="left"/>
              <w:rPr/>
            </w:pPr>
            <w:hyperlink w:anchor="a_008">
              <w:r>
                <w:rPr>
                  <w:rStyle w:val="InternetLink"/>
                  <w:sz w:val="20"/>
                </w:rPr>
                <w:t>Management’s Discussion and Analysis of Financial Condition and Results of Operations</w:t>
              </w:r>
            </w:hyperlink>
          </w:p>
        </w:tc>
        <w:tc>
          <w:tcPr>
            <w:tcW w:w="515" w:type="dxa"/>
            <w:tcBorders/>
            <w:vAlign w:val="center"/>
          </w:tcPr>
          <w:p>
            <w:pPr>
              <w:pStyle w:val="TableContents"/>
              <w:bidi w:val="0"/>
              <w:spacing w:before="0" w:after="283"/>
              <w:jc w:val="center"/>
              <w:rPr>
                <w:sz w:val="20"/>
              </w:rPr>
            </w:pPr>
            <w:r>
              <w:rPr>
                <w:sz w:val="20"/>
              </w:rPr>
              <w:t>22</w:t>
            </w:r>
          </w:p>
        </w:tc>
      </w:tr>
      <w:tr>
        <w:trPr/>
        <w:tc>
          <w:tcPr>
            <w:tcW w:w="755" w:type="dxa"/>
            <w:tcBorders/>
            <w:shd w:fill="CCEEFF" w:val="clear"/>
            <w:vAlign w:val="center"/>
          </w:tcPr>
          <w:p>
            <w:pPr>
              <w:pStyle w:val="TableContents"/>
              <w:bidi w:val="0"/>
              <w:spacing w:before="0" w:after="283"/>
              <w:jc w:val="left"/>
              <w:rPr>
                <w:sz w:val="20"/>
              </w:rPr>
            </w:pPr>
            <w:r>
              <w:rPr>
                <w:sz w:val="20"/>
              </w:rPr>
              <w:t>Item 3.</w:t>
            </w:r>
          </w:p>
        </w:tc>
        <w:tc>
          <w:tcPr>
            <w:tcW w:w="8375" w:type="dxa"/>
            <w:tcBorders/>
            <w:shd w:fill="CCEEFF" w:val="clear"/>
            <w:vAlign w:val="center"/>
          </w:tcPr>
          <w:p>
            <w:pPr>
              <w:pStyle w:val="TableContents"/>
              <w:bidi w:val="0"/>
              <w:spacing w:before="0" w:after="283"/>
              <w:jc w:val="left"/>
              <w:rPr/>
            </w:pPr>
            <w:hyperlink w:anchor="a_009">
              <w:r>
                <w:rPr>
                  <w:rStyle w:val="InternetLink"/>
                  <w:sz w:val="20"/>
                </w:rPr>
                <w:t>Quantitative and Qualitative Disclosures About Market Risk</w:t>
              </w:r>
            </w:hyperlink>
          </w:p>
        </w:tc>
        <w:tc>
          <w:tcPr>
            <w:tcW w:w="515" w:type="dxa"/>
            <w:tcBorders/>
            <w:shd w:fill="CCEEFF" w:val="clear"/>
            <w:vAlign w:val="center"/>
          </w:tcPr>
          <w:p>
            <w:pPr>
              <w:pStyle w:val="TableContents"/>
              <w:bidi w:val="0"/>
              <w:spacing w:before="0" w:after="283"/>
              <w:jc w:val="center"/>
              <w:rPr>
                <w:sz w:val="20"/>
              </w:rPr>
            </w:pPr>
            <w:r>
              <w:rPr>
                <w:sz w:val="20"/>
              </w:rPr>
              <w:t>32</w:t>
            </w:r>
          </w:p>
        </w:tc>
      </w:tr>
      <w:tr>
        <w:trPr/>
        <w:tc>
          <w:tcPr>
            <w:tcW w:w="755" w:type="dxa"/>
            <w:tcBorders/>
            <w:vAlign w:val="center"/>
          </w:tcPr>
          <w:p>
            <w:pPr>
              <w:pStyle w:val="TableContents"/>
              <w:bidi w:val="0"/>
              <w:spacing w:before="0" w:after="283"/>
              <w:jc w:val="left"/>
              <w:rPr>
                <w:sz w:val="20"/>
              </w:rPr>
            </w:pPr>
            <w:r>
              <w:rPr>
                <w:sz w:val="20"/>
              </w:rPr>
              <w:t>Item 4.</w:t>
            </w:r>
          </w:p>
        </w:tc>
        <w:tc>
          <w:tcPr>
            <w:tcW w:w="8375" w:type="dxa"/>
            <w:tcBorders/>
            <w:vAlign w:val="center"/>
          </w:tcPr>
          <w:p>
            <w:pPr>
              <w:pStyle w:val="TableContents"/>
              <w:bidi w:val="0"/>
              <w:spacing w:before="0" w:after="283"/>
              <w:jc w:val="left"/>
              <w:rPr/>
            </w:pPr>
            <w:hyperlink w:anchor="a_010">
              <w:r>
                <w:rPr>
                  <w:rStyle w:val="InternetLink"/>
                  <w:sz w:val="20"/>
                </w:rPr>
                <w:t>Controls and Procedures</w:t>
              </w:r>
            </w:hyperlink>
          </w:p>
        </w:tc>
        <w:tc>
          <w:tcPr>
            <w:tcW w:w="515" w:type="dxa"/>
            <w:tcBorders/>
            <w:vAlign w:val="center"/>
          </w:tcPr>
          <w:p>
            <w:pPr>
              <w:pStyle w:val="TableContents"/>
              <w:bidi w:val="0"/>
              <w:spacing w:before="0" w:after="283"/>
              <w:jc w:val="center"/>
              <w:rPr>
                <w:sz w:val="20"/>
              </w:rPr>
            </w:pPr>
            <w:r>
              <w:rPr>
                <w:sz w:val="20"/>
              </w:rPr>
              <w:t>32</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11">
              <w:r>
                <w:rPr>
                  <w:rStyle w:val="InternetLink"/>
                  <w:sz w:val="20"/>
                </w:rPr>
                <w:t>PART II. Other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sz w:val="20"/>
              </w:rPr>
            </w:pPr>
            <w:r>
              <w:rPr>
                <w:sz w:val="20"/>
              </w:rPr>
              <w:t>Item 1.</w:t>
            </w:r>
          </w:p>
        </w:tc>
        <w:tc>
          <w:tcPr>
            <w:tcW w:w="8375" w:type="dxa"/>
            <w:tcBorders/>
            <w:vAlign w:val="center"/>
          </w:tcPr>
          <w:p>
            <w:pPr>
              <w:pStyle w:val="TableContents"/>
              <w:bidi w:val="0"/>
              <w:spacing w:before="0" w:after="283"/>
              <w:jc w:val="left"/>
              <w:rPr/>
            </w:pPr>
            <w:hyperlink w:anchor="a_012">
              <w:r>
                <w:rPr>
                  <w:rStyle w:val="InternetLink"/>
                  <w:sz w:val="20"/>
                </w:rPr>
                <w:t>Legal Proceedings</w:t>
              </w:r>
            </w:hyperlink>
          </w:p>
        </w:tc>
        <w:tc>
          <w:tcPr>
            <w:tcW w:w="515" w:type="dxa"/>
            <w:tcBorders/>
            <w:vAlign w:val="center"/>
          </w:tcPr>
          <w:p>
            <w:pPr>
              <w:pStyle w:val="TableContents"/>
              <w:bidi w:val="0"/>
              <w:spacing w:before="0" w:after="283"/>
              <w:jc w:val="center"/>
              <w:rPr>
                <w:sz w:val="20"/>
              </w:rPr>
            </w:pPr>
            <w:r>
              <w:rPr>
                <w:sz w:val="20"/>
              </w:rPr>
              <w:t>33</w:t>
            </w:r>
          </w:p>
        </w:tc>
      </w:tr>
      <w:tr>
        <w:trPr/>
        <w:tc>
          <w:tcPr>
            <w:tcW w:w="755" w:type="dxa"/>
            <w:tcBorders/>
            <w:shd w:fill="CCEEFF" w:val="clear"/>
            <w:vAlign w:val="center"/>
          </w:tcPr>
          <w:p>
            <w:pPr>
              <w:pStyle w:val="TableContents"/>
              <w:bidi w:val="0"/>
              <w:spacing w:before="0" w:after="283"/>
              <w:jc w:val="left"/>
              <w:rPr>
                <w:sz w:val="20"/>
              </w:rPr>
            </w:pPr>
            <w:r>
              <w:rPr>
                <w:sz w:val="20"/>
              </w:rPr>
              <w:t>Item 1A.</w:t>
            </w:r>
          </w:p>
        </w:tc>
        <w:tc>
          <w:tcPr>
            <w:tcW w:w="8375" w:type="dxa"/>
            <w:tcBorders/>
            <w:shd w:fill="CCEEFF" w:val="clear"/>
            <w:vAlign w:val="center"/>
          </w:tcPr>
          <w:p>
            <w:pPr>
              <w:pStyle w:val="TableContents"/>
              <w:bidi w:val="0"/>
              <w:spacing w:before="0" w:after="283"/>
              <w:jc w:val="left"/>
              <w:rPr/>
            </w:pPr>
            <w:hyperlink w:anchor="a_013">
              <w:r>
                <w:rPr>
                  <w:rStyle w:val="InternetLink"/>
                  <w:sz w:val="20"/>
                </w:rPr>
                <w:t>Risk Factors</w:t>
              </w:r>
            </w:hyperlink>
          </w:p>
        </w:tc>
        <w:tc>
          <w:tcPr>
            <w:tcW w:w="515" w:type="dxa"/>
            <w:tcBorders/>
            <w:shd w:fill="CCEEFF" w:val="clear"/>
            <w:vAlign w:val="center"/>
          </w:tcPr>
          <w:p>
            <w:pPr>
              <w:pStyle w:val="TableContents"/>
              <w:bidi w:val="0"/>
              <w:spacing w:before="0" w:after="283"/>
              <w:jc w:val="center"/>
              <w:rPr>
                <w:sz w:val="20"/>
              </w:rPr>
            </w:pPr>
            <w:r>
              <w:rPr>
                <w:sz w:val="20"/>
              </w:rPr>
              <w:t>33</w:t>
            </w:r>
          </w:p>
        </w:tc>
      </w:tr>
      <w:tr>
        <w:trPr/>
        <w:tc>
          <w:tcPr>
            <w:tcW w:w="755" w:type="dxa"/>
            <w:tcBorders/>
            <w:vAlign w:val="center"/>
          </w:tcPr>
          <w:p>
            <w:pPr>
              <w:pStyle w:val="TableContents"/>
              <w:bidi w:val="0"/>
              <w:spacing w:before="0" w:after="283"/>
              <w:jc w:val="left"/>
              <w:rPr>
                <w:sz w:val="20"/>
              </w:rPr>
            </w:pPr>
            <w:r>
              <w:rPr>
                <w:sz w:val="20"/>
              </w:rPr>
              <w:t>Item 2.</w:t>
            </w:r>
          </w:p>
        </w:tc>
        <w:tc>
          <w:tcPr>
            <w:tcW w:w="8375" w:type="dxa"/>
            <w:tcBorders/>
            <w:vAlign w:val="center"/>
          </w:tcPr>
          <w:p>
            <w:pPr>
              <w:pStyle w:val="TableContents"/>
              <w:bidi w:val="0"/>
              <w:spacing w:before="0" w:after="283"/>
              <w:jc w:val="left"/>
              <w:rPr/>
            </w:pPr>
            <w:hyperlink w:anchor="a_014">
              <w:r>
                <w:rPr>
                  <w:rStyle w:val="InternetLink"/>
                  <w:sz w:val="20"/>
                </w:rPr>
                <w:t>Unregistered Sales of Equity Securities and Use of Proceeds</w:t>
              </w:r>
            </w:hyperlink>
          </w:p>
        </w:tc>
        <w:tc>
          <w:tcPr>
            <w:tcW w:w="515" w:type="dxa"/>
            <w:tcBorders/>
            <w:vAlign w:val="center"/>
          </w:tcPr>
          <w:p>
            <w:pPr>
              <w:pStyle w:val="TableContents"/>
              <w:bidi w:val="0"/>
              <w:spacing w:before="0" w:after="283"/>
              <w:jc w:val="center"/>
              <w:rPr>
                <w:sz w:val="20"/>
              </w:rPr>
            </w:pPr>
            <w:r>
              <w:rPr>
                <w:sz w:val="20"/>
              </w:rPr>
              <w:t>62</w:t>
            </w:r>
          </w:p>
        </w:tc>
      </w:tr>
      <w:tr>
        <w:trPr/>
        <w:tc>
          <w:tcPr>
            <w:tcW w:w="755" w:type="dxa"/>
            <w:tcBorders/>
            <w:shd w:fill="CCEEFF" w:val="clear"/>
            <w:vAlign w:val="center"/>
          </w:tcPr>
          <w:p>
            <w:pPr>
              <w:pStyle w:val="TableContents"/>
              <w:bidi w:val="0"/>
              <w:spacing w:before="0" w:after="283"/>
              <w:jc w:val="left"/>
              <w:rPr>
                <w:sz w:val="20"/>
              </w:rPr>
            </w:pPr>
            <w:r>
              <w:rPr>
                <w:sz w:val="20"/>
              </w:rPr>
              <w:t>Item 3.</w:t>
            </w:r>
          </w:p>
        </w:tc>
        <w:tc>
          <w:tcPr>
            <w:tcW w:w="8375" w:type="dxa"/>
            <w:tcBorders/>
            <w:shd w:fill="CCEEFF" w:val="clear"/>
            <w:vAlign w:val="center"/>
          </w:tcPr>
          <w:p>
            <w:pPr>
              <w:pStyle w:val="TableContents"/>
              <w:bidi w:val="0"/>
              <w:spacing w:before="0" w:after="283"/>
              <w:jc w:val="left"/>
              <w:rPr/>
            </w:pPr>
            <w:hyperlink w:anchor="a_015">
              <w:r>
                <w:rPr>
                  <w:rStyle w:val="InternetLink"/>
                  <w:sz w:val="20"/>
                </w:rPr>
                <w:t>Defaults Upon Senior Securities</w:t>
              </w:r>
            </w:hyperlink>
          </w:p>
        </w:tc>
        <w:tc>
          <w:tcPr>
            <w:tcW w:w="515" w:type="dxa"/>
            <w:tcBorders/>
            <w:shd w:fill="CCEEFF" w:val="clear"/>
            <w:vAlign w:val="center"/>
          </w:tcPr>
          <w:p>
            <w:pPr>
              <w:pStyle w:val="TableContents"/>
              <w:bidi w:val="0"/>
              <w:spacing w:before="0" w:after="283"/>
              <w:jc w:val="center"/>
              <w:rPr>
                <w:sz w:val="20"/>
              </w:rPr>
            </w:pPr>
            <w:r>
              <w:rPr>
                <w:sz w:val="20"/>
              </w:rPr>
              <w:t>62</w:t>
            </w:r>
          </w:p>
        </w:tc>
      </w:tr>
      <w:tr>
        <w:trPr/>
        <w:tc>
          <w:tcPr>
            <w:tcW w:w="755" w:type="dxa"/>
            <w:tcBorders/>
            <w:vAlign w:val="center"/>
          </w:tcPr>
          <w:p>
            <w:pPr>
              <w:pStyle w:val="TableContents"/>
              <w:bidi w:val="0"/>
              <w:spacing w:before="0" w:after="283"/>
              <w:jc w:val="left"/>
              <w:rPr>
                <w:sz w:val="20"/>
              </w:rPr>
            </w:pPr>
            <w:r>
              <w:rPr>
                <w:sz w:val="20"/>
              </w:rPr>
              <w:t>Item 4.</w:t>
            </w:r>
          </w:p>
        </w:tc>
        <w:tc>
          <w:tcPr>
            <w:tcW w:w="8375" w:type="dxa"/>
            <w:tcBorders/>
            <w:vAlign w:val="center"/>
          </w:tcPr>
          <w:p>
            <w:pPr>
              <w:pStyle w:val="TableContents"/>
              <w:bidi w:val="0"/>
              <w:spacing w:before="0" w:after="283"/>
              <w:jc w:val="left"/>
              <w:rPr/>
            </w:pPr>
            <w:hyperlink w:anchor="a_016">
              <w:r>
                <w:rPr>
                  <w:rStyle w:val="InternetLink"/>
                  <w:sz w:val="20"/>
                </w:rPr>
                <w:t>Mine Safety Disclosures</w:t>
              </w:r>
            </w:hyperlink>
          </w:p>
        </w:tc>
        <w:tc>
          <w:tcPr>
            <w:tcW w:w="515" w:type="dxa"/>
            <w:tcBorders/>
            <w:vAlign w:val="center"/>
          </w:tcPr>
          <w:p>
            <w:pPr>
              <w:pStyle w:val="TableContents"/>
              <w:bidi w:val="0"/>
              <w:spacing w:before="0" w:after="283"/>
              <w:jc w:val="center"/>
              <w:rPr>
                <w:sz w:val="20"/>
              </w:rPr>
            </w:pPr>
            <w:r>
              <w:rPr>
                <w:sz w:val="20"/>
              </w:rPr>
              <w:t>62</w:t>
            </w:r>
          </w:p>
        </w:tc>
      </w:tr>
      <w:tr>
        <w:trPr/>
        <w:tc>
          <w:tcPr>
            <w:tcW w:w="755" w:type="dxa"/>
            <w:tcBorders/>
            <w:shd w:fill="CCEEFF" w:val="clear"/>
            <w:vAlign w:val="center"/>
          </w:tcPr>
          <w:p>
            <w:pPr>
              <w:pStyle w:val="TableContents"/>
              <w:bidi w:val="0"/>
              <w:spacing w:before="0" w:after="283"/>
              <w:jc w:val="left"/>
              <w:rPr>
                <w:sz w:val="20"/>
              </w:rPr>
            </w:pPr>
            <w:r>
              <w:rPr>
                <w:sz w:val="20"/>
              </w:rPr>
              <w:t>Item 5.</w:t>
            </w:r>
          </w:p>
        </w:tc>
        <w:tc>
          <w:tcPr>
            <w:tcW w:w="8375" w:type="dxa"/>
            <w:tcBorders/>
            <w:shd w:fill="CCEEFF" w:val="clear"/>
            <w:vAlign w:val="center"/>
          </w:tcPr>
          <w:p>
            <w:pPr>
              <w:pStyle w:val="TableContents"/>
              <w:bidi w:val="0"/>
              <w:spacing w:before="0" w:after="283"/>
              <w:jc w:val="left"/>
              <w:rPr/>
            </w:pPr>
            <w:hyperlink w:anchor="a_017">
              <w:r>
                <w:rPr>
                  <w:rStyle w:val="InternetLink"/>
                  <w:sz w:val="20"/>
                </w:rPr>
                <w:t>Other Information</w:t>
              </w:r>
            </w:hyperlink>
          </w:p>
        </w:tc>
        <w:tc>
          <w:tcPr>
            <w:tcW w:w="515" w:type="dxa"/>
            <w:tcBorders/>
            <w:shd w:fill="CCEEFF" w:val="clear"/>
            <w:vAlign w:val="center"/>
          </w:tcPr>
          <w:p>
            <w:pPr>
              <w:pStyle w:val="TableContents"/>
              <w:bidi w:val="0"/>
              <w:spacing w:before="0" w:after="283"/>
              <w:jc w:val="center"/>
              <w:rPr>
                <w:sz w:val="20"/>
              </w:rPr>
            </w:pPr>
            <w:r>
              <w:rPr>
                <w:sz w:val="20"/>
              </w:rPr>
              <w:t>62</w:t>
            </w:r>
          </w:p>
        </w:tc>
      </w:tr>
      <w:tr>
        <w:trPr/>
        <w:tc>
          <w:tcPr>
            <w:tcW w:w="755" w:type="dxa"/>
            <w:tcBorders/>
            <w:vAlign w:val="center"/>
          </w:tcPr>
          <w:p>
            <w:pPr>
              <w:pStyle w:val="TableContents"/>
              <w:bidi w:val="0"/>
              <w:spacing w:before="0" w:after="283"/>
              <w:jc w:val="left"/>
              <w:rPr>
                <w:sz w:val="20"/>
              </w:rPr>
            </w:pPr>
            <w:r>
              <w:rPr>
                <w:sz w:val="20"/>
              </w:rPr>
              <w:t>Item 6.</w:t>
            </w:r>
          </w:p>
        </w:tc>
        <w:tc>
          <w:tcPr>
            <w:tcW w:w="8375" w:type="dxa"/>
            <w:tcBorders/>
            <w:vAlign w:val="center"/>
          </w:tcPr>
          <w:p>
            <w:pPr>
              <w:pStyle w:val="TableContents"/>
              <w:bidi w:val="0"/>
              <w:spacing w:before="0" w:after="283"/>
              <w:jc w:val="left"/>
              <w:rPr/>
            </w:pPr>
            <w:hyperlink w:anchor="a_018">
              <w:r>
                <w:rPr>
                  <w:rStyle w:val="InternetLink"/>
                  <w:sz w:val="20"/>
                </w:rPr>
                <w:t>Exhibits</w:t>
              </w:r>
            </w:hyperlink>
          </w:p>
        </w:tc>
        <w:tc>
          <w:tcPr>
            <w:tcW w:w="515" w:type="dxa"/>
            <w:tcBorders/>
            <w:vAlign w:val="center"/>
          </w:tcPr>
          <w:p>
            <w:pPr>
              <w:pStyle w:val="TableContents"/>
              <w:bidi w:val="0"/>
              <w:spacing w:before="0" w:after="283"/>
              <w:jc w:val="center"/>
              <w:rPr>
                <w:sz w:val="20"/>
              </w:rPr>
            </w:pPr>
            <w:r>
              <w:rPr>
                <w:sz w:val="20"/>
              </w:rPr>
              <w:t>63</w:t>
            </w:r>
          </w:p>
        </w:tc>
      </w:tr>
      <w:tr>
        <w:trPr/>
        <w:tc>
          <w:tcPr>
            <w:tcW w:w="9130" w:type="dxa"/>
            <w:gridSpan w:val="2"/>
            <w:tcBorders/>
            <w:shd w:fill="CCEEFF" w:val="clear"/>
            <w:vAlign w:val="center"/>
          </w:tcPr>
          <w:p>
            <w:pPr>
              <w:pStyle w:val="TableContents"/>
              <w:bidi w:val="0"/>
              <w:spacing w:before="0" w:after="283"/>
              <w:jc w:val="left"/>
              <w:rPr/>
            </w:pPr>
            <w:hyperlink w:anchor="a_019">
              <w:r>
                <w:rPr>
                  <w:rStyle w:val="InternetLink"/>
                  <w:sz w:val="20"/>
                </w:rPr>
                <w:t>Signatures</w:t>
              </w:r>
            </w:hyperlink>
          </w:p>
        </w:tc>
        <w:tc>
          <w:tcPr>
            <w:tcW w:w="515" w:type="dxa"/>
            <w:tcBorders/>
            <w:shd w:fill="CCEEFF" w:val="clear"/>
            <w:vAlign w:val="center"/>
          </w:tcPr>
          <w:p>
            <w:pPr>
              <w:pStyle w:val="TableContents"/>
              <w:bidi w:val="0"/>
              <w:spacing w:before="0" w:after="283"/>
              <w:jc w:val="center"/>
              <w:rPr>
                <w:sz w:val="20"/>
              </w:rPr>
            </w:pPr>
            <w:r>
              <w:rPr>
                <w:sz w:val="20"/>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ORUKA THERAPEUTICS, INC.</w:t>
        <w:br/>
        <w:t>CONDENSED CONSOLIDATED BALANCE SHEETS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4"/>
        <w:gridCol w:w="90"/>
        <w:gridCol w:w="195"/>
        <w:gridCol w:w="1044"/>
        <w:gridCol w:w="125"/>
        <w:gridCol w:w="90"/>
        <w:gridCol w:w="237"/>
        <w:gridCol w:w="1162"/>
        <w:gridCol w:w="148"/>
      </w:tblGrid>
      <w:tr>
        <w:trPr/>
        <w:tc>
          <w:tcPr>
            <w:tcW w:w="71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center"/>
              <w:rPr>
                <w:b/>
              </w:rPr>
            </w:pPr>
            <w:r>
              <w:rPr>
                <w:b/>
              </w:rP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31,</w:t>
            </w:r>
          </w:p>
        </w:tc>
        <w:tc>
          <w:tcPr>
            <w:tcW w:w="148"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8"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91,253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61,575</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257,902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314,073</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6,008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355,163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376,869</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151,763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18,069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253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162</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1,969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876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43</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4" w:type="dxa"/>
            <w:tcBorders>
              <w:bottom w:val="double" w:sz="10" w:space="0" w:color="000000"/>
            </w:tcBorders>
            <w:shd w:fill="CCEEFF" w:val="clear"/>
            <w:tcMar>
              <w:bottom w:w="28" w:type="dxa"/>
            </w:tcMar>
            <w:vAlign w:val="center"/>
          </w:tcPr>
          <w:p>
            <w:pPr>
              <w:pStyle w:val="TableContents"/>
              <w:bidi w:val="0"/>
              <w:spacing w:before="0" w:after="283"/>
              <w:jc w:val="right"/>
              <w:rPr/>
            </w:pPr>
            <w:r>
              <w:rPr/>
              <w:t>509,251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double" w:sz="10" w:space="0" w:color="000000"/>
            </w:tcBorders>
            <w:shd w:fill="CCEEFF" w:val="clear"/>
            <w:tcMar>
              <w:bottom w:w="28" w:type="dxa"/>
            </w:tcMar>
            <w:vAlign w:val="center"/>
          </w:tcPr>
          <w:p>
            <w:pPr>
              <w:pStyle w:val="TableContents"/>
              <w:bidi w:val="0"/>
              <w:spacing w:before="0" w:after="283"/>
              <w:jc w:val="right"/>
              <w:rPr/>
            </w:pPr>
            <w:r>
              <w:rPr/>
              <w:t>396,019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b/>
              </w:rPr>
            </w:pPr>
            <w:r>
              <w:rPr>
                <w:b/>
              </w:rPr>
              <w:t>Liabilities and Stockholders’ Equity</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2,208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3,462</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8,648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3,346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Operating lease liability, current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419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213</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Related party common stock warrant liability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9,684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Related party accounts payable and other current liabilities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6,022</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20,967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13,043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Operating lease liability, non-current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pPr>
            <w:r>
              <w:rPr/>
              <w:t>1,493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755</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22,460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13,798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Commitments and contingencies (Note 11)</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0"/>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Series B non-voting convertible preferred stock, $0.001 par value; 251,504 shares authorized as of September 30, 2025 and December 31, 2024; 137,138 shares issued and outstanding as of September 30, 2025 and December 31, 2024</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2,931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2,931</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Common stock, $0.001 par value; 545,000,000 shares authorized as of September 30, 2025 and December 31, 2024; 48,384,150 and 37,440,510 shares issued and outstanding as of September 30,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37</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643,201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463,018</w:t>
            </w:r>
          </w:p>
        </w:tc>
        <w:tc>
          <w:tcPr>
            <w:tcW w:w="148"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Accumulated other comprehensive income (loss)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(41</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7114"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pPr>
            <w:r>
              <w:rPr/>
              <w:t>(159,574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(83,724</w:t>
            </w:r>
          </w:p>
        </w:tc>
        <w:tc>
          <w:tcPr>
            <w:tcW w:w="148" w:type="dxa"/>
            <w:tcBorders/>
            <w:vAlign w:val="center"/>
          </w:tcPr>
          <w:p>
            <w:pPr>
              <w:pStyle w:val="TableContents"/>
              <w:bidi w:val="0"/>
              <w:spacing w:before="0" w:after="283"/>
              <w:ind w:left="0" w:right="0" w:hanging="180"/>
              <w:jc w:val="left"/>
              <w:rPr/>
            </w:pPr>
            <w:r>
              <w:rPr/>
              <w:t>)</w:t>
            </w:r>
          </w:p>
        </w:tc>
      </w:tr>
      <w:tr>
        <w:trPr/>
        <w:tc>
          <w:tcPr>
            <w:tcW w:w="7114"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486,791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382,221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liabilities and stockholders’ equity</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pPr>
            <w:r>
              <w:rPr/>
              <w:t>$</w:t>
            </w:r>
          </w:p>
        </w:tc>
        <w:tc>
          <w:tcPr>
            <w:tcW w:w="1044" w:type="dxa"/>
            <w:tcBorders>
              <w:bottom w:val="double" w:sz="10" w:space="0" w:color="000000"/>
            </w:tcBorders>
            <w:tcMar>
              <w:bottom w:w="28" w:type="dxa"/>
            </w:tcMar>
            <w:vAlign w:val="center"/>
          </w:tcPr>
          <w:p>
            <w:pPr>
              <w:pStyle w:val="TableContents"/>
              <w:bidi w:val="0"/>
              <w:spacing w:before="0" w:after="283"/>
              <w:jc w:val="right"/>
              <w:rPr/>
            </w:pPr>
            <w:r>
              <w:rPr/>
              <w:t>509,251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1162" w:type="dxa"/>
            <w:tcBorders>
              <w:bottom w:val="double" w:sz="10" w:space="0" w:color="000000"/>
            </w:tcBorders>
            <w:tcMar>
              <w:bottom w:w="28" w:type="dxa"/>
            </w:tcMar>
            <w:vAlign w:val="center"/>
          </w:tcPr>
          <w:p>
            <w:pPr>
              <w:pStyle w:val="TableContents"/>
              <w:bidi w:val="0"/>
              <w:spacing w:before="0" w:after="283"/>
              <w:jc w:val="right"/>
              <w:rPr/>
            </w:pPr>
            <w:r>
              <w:rPr/>
              <w:t>396,019</w:t>
            </w:r>
          </w:p>
        </w:tc>
        <w:tc>
          <w:tcPr>
            <w:tcW w:w="14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ORUKA THERAPEUTICS, INC.</w:t>
        <w:br/>
        <w:t>CONDENSED CONSOLIDATED STATEMENTS OF OPERATIONS AND COMPREHENSIVE LOSS</w:t>
        <w:br/>
        <w:t>(UNAUDITED)</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2"/>
        <w:gridCol w:w="90"/>
        <w:gridCol w:w="190"/>
        <w:gridCol w:w="1265"/>
        <w:gridCol w:w="125"/>
        <w:gridCol w:w="90"/>
        <w:gridCol w:w="175"/>
        <w:gridCol w:w="1168"/>
        <w:gridCol w:w="125"/>
        <w:gridCol w:w="90"/>
        <w:gridCol w:w="187"/>
        <w:gridCol w:w="1246"/>
        <w:gridCol w:w="125"/>
        <w:gridCol w:w="90"/>
        <w:gridCol w:w="179"/>
        <w:gridCol w:w="1064"/>
        <w:gridCol w:w="144"/>
      </w:tblGrid>
      <w:tr>
        <w:trPr/>
        <w:tc>
          <w:tcPr>
            <w:tcW w:w="38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September 30,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 xml:space="preserve">September 30, </w:t>
              <w:br/>
              <w:t>2024</w:t>
            </w:r>
          </w:p>
        </w:tc>
        <w:tc>
          <w:tcPr>
            <w:tcW w:w="144" w:type="dxa"/>
            <w:tcBorders/>
            <w:vAlign w:val="center"/>
          </w:tcPr>
          <w:p>
            <w:pPr>
              <w:pStyle w:val="TableContents"/>
              <w:bidi w:val="0"/>
              <w:spacing w:before="0" w:after="283"/>
              <w:jc w:val="left"/>
              <w:rPr/>
            </w:pPr>
            <w:r>
              <w:rPr/>
              <w:t> </w:t>
            </w:r>
          </w:p>
        </w:tc>
      </w:tr>
      <w:tr>
        <w:trPr/>
        <w:tc>
          <w:tcPr>
            <w:tcW w:w="3852"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3852" w:type="dxa"/>
            <w:tcBorders/>
            <w:shd w:fill="CCEEFF" w:val="clear"/>
            <w:vAlign w:val="center"/>
          </w:tcPr>
          <w:p>
            <w:pPr>
              <w:pStyle w:val="TableContents"/>
              <w:bidi w:val="0"/>
              <w:spacing w:before="0" w:after="283"/>
              <w:jc w:val="left"/>
              <w:rPr>
                <w:sz w:val="20"/>
              </w:rPr>
            </w:pPr>
            <w:r>
              <w:rPr>
                <w:sz w:val="20"/>
              </w:rPr>
              <w:t>Research and development</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28,988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25,691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73,000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49,557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sz w:val="20"/>
              </w:rPr>
            </w:pPr>
            <w:r>
              <w:rPr>
                <w:sz w:val="20"/>
              </w:rPr>
              <w:t>General and administrative</w:t>
            </w:r>
            <w:r>
              <w:rPr>
                <w:position w:val="7"/>
                <w:sz w:val="16"/>
                <w:sz w:val="20"/>
              </w:rPr>
              <w:t>(2)</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5,117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3,758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283"/>
              <w:jc w:val="right"/>
              <w:rPr/>
            </w:pPr>
            <w:r>
              <w:rPr/>
              <w:t>14,620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8,248</w:t>
            </w:r>
          </w:p>
        </w:tc>
        <w:tc>
          <w:tcPr>
            <w:tcW w:w="144" w:type="dxa"/>
            <w:tcBorders/>
            <w:vAlign w:val="center"/>
          </w:tcPr>
          <w:p>
            <w:pPr>
              <w:pStyle w:val="TableContents"/>
              <w:bidi w:val="0"/>
              <w:spacing w:before="0" w:after="283"/>
              <w:ind w:left="0" w:right="0" w:hanging="180"/>
              <w:jc w:val="left"/>
              <w:rPr/>
            </w:pPr>
            <w:r>
              <w:rPr/>
              <w:t> </w:t>
            </w:r>
          </w:p>
        </w:tc>
      </w:tr>
      <w:tr>
        <w:trPr/>
        <w:tc>
          <w:tcPr>
            <w:tcW w:w="3852"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34,105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29,449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87,620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57,805</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(34,105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(29,449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(87,620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(57,805</w:t>
            </w:r>
          </w:p>
        </w:tc>
        <w:tc>
          <w:tcPr>
            <w:tcW w:w="144" w:type="dxa"/>
            <w:tcBorders/>
            <w:vAlign w:val="center"/>
          </w:tcPr>
          <w:p>
            <w:pPr>
              <w:pStyle w:val="TableContents"/>
              <w:bidi w:val="0"/>
              <w:spacing w:before="0" w:after="283"/>
              <w:ind w:left="0" w:right="0" w:hanging="180"/>
              <w:jc w:val="left"/>
              <w:rPr/>
            </w:pPr>
            <w:r>
              <w:rPr/>
              <w:t>)</w:t>
            </w:r>
          </w:p>
        </w:tc>
      </w:tr>
      <w:tr>
        <w:trPr/>
        <w:tc>
          <w:tcPr>
            <w:tcW w:w="3852"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11,781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1,330</w:t>
            </w:r>
          </w:p>
        </w:tc>
        <w:tc>
          <w:tcPr>
            <w:tcW w:w="144" w:type="dxa"/>
            <w:tcBorders/>
            <w:vAlign w:val="center"/>
          </w:tcPr>
          <w:p>
            <w:pPr>
              <w:pStyle w:val="TableContents"/>
              <w:bidi w:val="0"/>
              <w:spacing w:before="0" w:after="283"/>
              <w:ind w:left="0" w:right="0" w:hanging="180"/>
              <w:jc w:val="left"/>
              <w:rPr/>
            </w:pPr>
            <w:r>
              <w:rPr/>
              <w:t> </w:t>
            </w:r>
          </w:p>
        </w:tc>
      </w:tr>
      <w:tr>
        <w:trPr/>
        <w:tc>
          <w:tcPr>
            <w:tcW w:w="3852" w:type="dxa"/>
            <w:tcBorders/>
            <w:shd w:fill="CCEEFF" w:val="clear"/>
            <w:vAlign w:val="center"/>
          </w:tcPr>
          <w:p>
            <w:pPr>
              <w:pStyle w:val="TableContents"/>
              <w:bidi w:val="0"/>
              <w:spacing w:before="0" w:after="283"/>
              <w:jc w:val="left"/>
              <w:rPr>
                <w:sz w:val="20"/>
              </w:rPr>
            </w:pPr>
            <w:r>
              <w:rPr>
                <w:sz w:val="20"/>
              </w:rPr>
              <w:t>Interest expense</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(1,468</w:t>
            </w:r>
          </w:p>
        </w:tc>
        <w:tc>
          <w:tcPr>
            <w:tcW w:w="144" w:type="dxa"/>
            <w:tcBorders/>
            <w:shd w:fill="CCEEFF" w:val="clear"/>
            <w:vAlign w:val="center"/>
          </w:tcPr>
          <w:p>
            <w:pPr>
              <w:pStyle w:val="TableContents"/>
              <w:bidi w:val="0"/>
              <w:spacing w:before="0" w:after="283"/>
              <w:ind w:left="0" w:right="0" w:hanging="180"/>
              <w:jc w:val="left"/>
              <w:rPr/>
            </w:pPr>
            <w:r>
              <w:rPr/>
              <w:t>)</w:t>
            </w:r>
          </w:p>
        </w:tc>
      </w:tr>
      <w:tr>
        <w:trPr/>
        <w:tc>
          <w:tcPr>
            <w:tcW w:w="3852"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0"/>
              <w:jc w:val="right"/>
              <w:rPr/>
            </w:pPr>
            <w:r>
              <w:rPr/>
              <w:t>—</w:t>
            </w:r>
          </w:p>
        </w:tc>
        <w:tc>
          <w:tcPr>
            <w:tcW w:w="144" w:type="dxa"/>
            <w:tcBorders/>
            <w:vAlign w:val="center"/>
          </w:tcPr>
          <w:p>
            <w:pPr>
              <w:pStyle w:val="TableContents"/>
              <w:bidi w:val="0"/>
              <w:spacing w:before="0" w:after="283"/>
              <w:ind w:left="0" w:right="0" w:hanging="180"/>
              <w:jc w:val="left"/>
              <w:rPr/>
            </w:pPr>
            <w:r>
              <w:rPr/>
              <w:t> </w:t>
            </w:r>
          </w:p>
        </w:tc>
      </w:tr>
      <w:tr>
        <w:trPr/>
        <w:tc>
          <w:tcPr>
            <w:tcW w:w="3852"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3,828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826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11,770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144" w:type="dxa"/>
            <w:tcBorders/>
            <w:shd w:fill="CCEEFF" w:val="clear"/>
            <w:vAlign w:val="center"/>
          </w:tcPr>
          <w:p>
            <w:pPr>
              <w:pStyle w:val="TableContents"/>
              <w:bidi w:val="0"/>
              <w:spacing w:before="0" w:after="283"/>
              <w:ind w:left="0" w:right="0" w:hanging="180"/>
              <w:jc w:val="left"/>
              <w:rPr/>
            </w:pPr>
            <w:r>
              <w:rPr/>
              <w:t>)</w:t>
            </w:r>
          </w:p>
        </w:tc>
      </w:tr>
      <w:tr>
        <w:trPr/>
        <w:tc>
          <w:tcPr>
            <w:tcW w:w="3852"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(30,277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(28,623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(75,850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(57,943</w:t>
            </w:r>
          </w:p>
        </w:tc>
        <w:tc>
          <w:tcPr>
            <w:tcW w:w="144" w:type="dxa"/>
            <w:tcBorders/>
            <w:vAlign w:val="center"/>
          </w:tcPr>
          <w:p>
            <w:pPr>
              <w:pStyle w:val="TableContents"/>
              <w:bidi w:val="0"/>
              <w:spacing w:before="0" w:after="283"/>
              <w:ind w:left="0" w:right="0" w:hanging="180"/>
              <w:jc w:val="left"/>
              <w:rPr/>
            </w:pPr>
            <w:r>
              <w:rPr/>
              <w:t>)</w:t>
            </w:r>
          </w:p>
        </w:tc>
      </w:tr>
      <w:tr>
        <w:trPr/>
        <w:tc>
          <w:tcPr>
            <w:tcW w:w="3852" w:type="dxa"/>
            <w:tcBorders/>
            <w:shd w:fill="CCEEFF" w:val="clear"/>
            <w:vAlign w:val="center"/>
          </w:tcPr>
          <w:p>
            <w:pPr>
              <w:pStyle w:val="TableContents"/>
              <w:bidi w:val="0"/>
              <w:spacing w:before="0" w:after="283"/>
              <w:jc w:val="left"/>
              <w:rPr/>
            </w:pPr>
            <w:r>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tcMar>
              <w:bottom w:w="28" w:type="dxa"/>
            </w:tcMar>
            <w:vAlign w:val="center"/>
          </w:tcPr>
          <w:p>
            <w:pPr>
              <w:pStyle w:val="TableContents"/>
              <w:bidi w:val="0"/>
              <w:spacing w:before="0" w:after="283"/>
              <w:jc w:val="right"/>
              <w:rPr/>
            </w:pPr>
            <w:r>
              <w:rPr/>
              <w:t>(30,065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(28,623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(75,624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(57,943</w:t>
            </w:r>
          </w:p>
        </w:tc>
        <w:tc>
          <w:tcPr>
            <w:tcW w:w="144" w:type="dxa"/>
            <w:tcBorders/>
            <w:vAlign w:val="center"/>
          </w:tcPr>
          <w:p>
            <w:pPr>
              <w:pStyle w:val="TableContents"/>
              <w:bidi w:val="0"/>
              <w:spacing w:before="0" w:after="283"/>
              <w:ind w:left="0" w:right="0" w:hanging="180"/>
              <w:jc w:val="left"/>
              <w:rPr/>
            </w:pPr>
            <w:r>
              <w:rPr/>
              <w:t>)</w:t>
            </w:r>
          </w:p>
        </w:tc>
      </w:tr>
      <w:tr>
        <w:trPr/>
        <w:tc>
          <w:tcPr>
            <w:tcW w:w="38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tcMar>
              <w:bottom w:w="28" w:type="dxa"/>
            </w:tcMar>
            <w:vAlign w:val="center"/>
          </w:tcPr>
          <w:p>
            <w:pPr>
              <w:pStyle w:val="TableContents"/>
              <w:bidi w:val="0"/>
              <w:spacing w:before="0" w:after="283"/>
              <w:jc w:val="right"/>
              <w:rPr/>
            </w:pPr>
            <w:r>
              <w:rPr/>
              <w:t>(0.55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(1.46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(1.40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(6.08</w:t>
            </w:r>
          </w:p>
        </w:tc>
        <w:tc>
          <w:tcPr>
            <w:tcW w:w="144" w:type="dxa"/>
            <w:tcBorders/>
            <w:vAlign w:val="center"/>
          </w:tcPr>
          <w:p>
            <w:pPr>
              <w:pStyle w:val="TableContents"/>
              <w:bidi w:val="0"/>
              <w:spacing w:before="0" w:after="283"/>
              <w:ind w:left="0" w:right="0" w:hanging="180"/>
              <w:jc w:val="left"/>
              <w:rPr/>
            </w:pPr>
            <w:r>
              <w:rPr/>
              <w:t>)</w:t>
            </w:r>
          </w:p>
        </w:tc>
      </w:tr>
      <w:tr>
        <w:trPr/>
        <w:tc>
          <w:tcPr>
            <w:tcW w:w="3852" w:type="dxa"/>
            <w:tcBorders/>
            <w:shd w:fill="CCEEFF" w:val="clear"/>
            <w:vAlign w:val="center"/>
          </w:tcPr>
          <w:p>
            <w:pPr>
              <w:pStyle w:val="TableContents"/>
              <w:bidi w:val="0"/>
              <w:spacing w:before="0" w:after="283"/>
              <w:jc w:val="left"/>
              <w:rPr/>
            </w:pPr>
            <w:r>
              <w:rPr/>
              <w:t>Net loss per share attributable to Series A non-voting convertible preferred stockholders, basic and diluted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(1,461.10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(6,077.25</w:t>
            </w:r>
          </w:p>
        </w:tc>
        <w:tc>
          <w:tcPr>
            <w:tcW w:w="144" w:type="dxa"/>
            <w:tcBorders/>
            <w:shd w:fill="CCEEFF" w:val="clear"/>
            <w:vAlign w:val="center"/>
          </w:tcPr>
          <w:p>
            <w:pPr>
              <w:pStyle w:val="TableContents"/>
              <w:bidi w:val="0"/>
              <w:spacing w:before="0" w:after="283"/>
              <w:ind w:left="0" w:right="0" w:hanging="180"/>
              <w:jc w:val="left"/>
              <w:rPr/>
            </w:pPr>
            <w:r>
              <w:rPr/>
              <w:t>)</w:t>
            </w:r>
          </w:p>
        </w:tc>
      </w:tr>
      <w:tr>
        <w:trPr/>
        <w:tc>
          <w:tcPr>
            <w:tcW w:w="3852" w:type="dxa"/>
            <w:tcBorders/>
            <w:vAlign w:val="center"/>
          </w:tcPr>
          <w:p>
            <w:pPr>
              <w:pStyle w:val="TableContents"/>
              <w:bidi w:val="0"/>
              <w:spacing w:before="0" w:after="283"/>
              <w:jc w:val="left"/>
              <w:rPr/>
            </w:pPr>
            <w:r>
              <w:rPr/>
              <w:t>Net loss per share attributable to Series B non-voting convertible preferred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tcMar>
              <w:bottom w:w="28" w:type="dxa"/>
            </w:tcMar>
            <w:vAlign w:val="center"/>
          </w:tcPr>
          <w:p>
            <w:pPr>
              <w:pStyle w:val="TableContents"/>
              <w:bidi w:val="0"/>
              <w:spacing w:before="0" w:after="283"/>
              <w:jc w:val="right"/>
              <w:rPr/>
            </w:pPr>
            <w:r>
              <w:rPr/>
              <w:t>(45.46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(121.76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(116.94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(506.44</w:t>
            </w:r>
          </w:p>
        </w:tc>
        <w:tc>
          <w:tcPr>
            <w:tcW w:w="144" w:type="dxa"/>
            <w:tcBorders/>
            <w:vAlign w:val="center"/>
          </w:tcPr>
          <w:p>
            <w:pPr>
              <w:pStyle w:val="TableContents"/>
              <w:bidi w:val="0"/>
              <w:spacing w:before="0" w:after="283"/>
              <w:ind w:left="0" w:right="0" w:hanging="180"/>
              <w:jc w:val="left"/>
              <w:rPr/>
            </w:pPr>
            <w:r>
              <w:rPr/>
              <w:t>)</w:t>
            </w:r>
          </w:p>
        </w:tc>
      </w:tr>
      <w:tr>
        <w:trPr/>
        <w:tc>
          <w:tcPr>
            <w:tcW w:w="38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Weighted-average shares used in computing 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5" w:type="dxa"/>
            <w:tcBorders>
              <w:bottom w:val="double" w:sz="10" w:space="0" w:color="000000"/>
            </w:tcBorders>
            <w:tcMar>
              <w:bottom w:w="28" w:type="dxa"/>
            </w:tcMar>
            <w:vAlign w:val="center"/>
          </w:tcPr>
          <w:p>
            <w:pPr>
              <w:pStyle w:val="TableContents"/>
              <w:bidi w:val="0"/>
              <w:spacing w:before="0" w:after="283"/>
              <w:jc w:val="right"/>
              <w:rPr/>
            </w:pPr>
            <w:r>
              <w:rPr/>
              <w:t>44,067,059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15,013,655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42,622,935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7,765,381</w:t>
            </w:r>
          </w:p>
        </w:tc>
        <w:tc>
          <w:tcPr>
            <w:tcW w:w="144" w:type="dxa"/>
            <w:tcBorders/>
            <w:vAlign w:val="center"/>
          </w:tcPr>
          <w:p>
            <w:pPr>
              <w:pStyle w:val="TableContents"/>
              <w:bidi w:val="0"/>
              <w:spacing w:before="0" w:after="283"/>
              <w:ind w:left="0" w:right="0" w:hanging="180"/>
              <w:jc w:val="left"/>
              <w:rPr/>
            </w:pPr>
            <w:r>
              <w:rPr/>
              <w:t> </w:t>
            </w:r>
          </w:p>
        </w:tc>
      </w:tr>
      <w:tr>
        <w:trPr/>
        <w:tc>
          <w:tcPr>
            <w:tcW w:w="3852" w:type="dxa"/>
            <w:tcBorders/>
            <w:shd w:fill="CCEEFF" w:val="clear"/>
            <w:vAlign w:val="center"/>
          </w:tcPr>
          <w:p>
            <w:pPr>
              <w:pStyle w:val="TableContents"/>
              <w:bidi w:val="0"/>
              <w:spacing w:before="0" w:after="283"/>
              <w:jc w:val="left"/>
              <w:rPr/>
            </w:pPr>
            <w:r>
              <w:rPr/>
              <w:t>Weighted-average shares used in computing net loss per share attributable to Series A non-voting convertible preferred stockholders, basic and diluted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477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184</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852" w:type="dxa"/>
            <w:tcBorders/>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5"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49,191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19,015</w:t>
            </w:r>
          </w:p>
        </w:tc>
        <w:tc>
          <w:tcPr>
            <w:tcW w:w="14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sz w:val="20"/>
              </w:rPr>
            </w:pPr>
            <w:r>
              <w:rPr>
                <w:sz w:val="20"/>
              </w:rPr>
              <w:t>(1)</w:t>
            </w:r>
          </w:p>
        </w:tc>
        <w:tc>
          <w:tcPr>
            <w:tcW w:w="9953" w:type="dxa"/>
            <w:tcBorders/>
            <w:vAlign w:val="center"/>
          </w:tcPr>
          <w:p>
            <w:pPr>
              <w:pStyle w:val="TableContents"/>
              <w:bidi w:val="0"/>
              <w:spacing w:before="0" w:after="283"/>
              <w:jc w:val="both"/>
              <w:rPr>
                <w:sz w:val="20"/>
              </w:rPr>
            </w:pPr>
            <w:r>
              <w:rPr>
                <w:sz w:val="20"/>
              </w:rPr>
              <w:t>Includes related party amounts of $9,595 and $13,537 for the three months ended September 30, 2025 and September 30, 2024, respectively, and $15,998 and $33,967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sz w:val="20"/>
              </w:rPr>
            </w:pPr>
            <w:r>
              <w:rPr>
                <w:sz w:val="20"/>
              </w:rPr>
              <w:t>(2)</w:t>
            </w:r>
          </w:p>
        </w:tc>
        <w:tc>
          <w:tcPr>
            <w:tcW w:w="9951" w:type="dxa"/>
            <w:tcBorders/>
            <w:vAlign w:val="center"/>
          </w:tcPr>
          <w:p>
            <w:pPr>
              <w:pStyle w:val="TableContents"/>
              <w:bidi w:val="0"/>
              <w:spacing w:before="0" w:after="283"/>
              <w:jc w:val="both"/>
              <w:rPr>
                <w:sz w:val="20"/>
              </w:rPr>
            </w:pPr>
            <w:r>
              <w:rPr>
                <w:sz w:val="20"/>
              </w:rPr>
              <w:t>Includes related party amounts of $8 and $71 for the three months ended September 30, 2025 and September 30, 2024, respectively, and $130 and $1,339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sz w:val="20"/>
              </w:rPr>
            </w:pPr>
            <w:r>
              <w:rPr>
                <w:sz w:val="20"/>
              </w:rPr>
              <w:t>(3)</w:t>
            </w:r>
          </w:p>
        </w:tc>
        <w:tc>
          <w:tcPr>
            <w:tcW w:w="9951" w:type="dxa"/>
            <w:tcBorders/>
            <w:vAlign w:val="center"/>
          </w:tcPr>
          <w:p>
            <w:pPr>
              <w:pStyle w:val="TableContents"/>
              <w:bidi w:val="0"/>
              <w:spacing w:before="0" w:after="283"/>
              <w:jc w:val="both"/>
              <w:rPr>
                <w:sz w:val="20"/>
              </w:rPr>
            </w:pPr>
            <w:r>
              <w:rPr>
                <w:sz w:val="20"/>
              </w:rPr>
              <w:t>Includes related party amounts of nil and $504 for the three months ended September 30, 2025 and September 30, 2024, respectively, and nil and $1,468 for the nine months ended September 30, 2025 and the period from February 6, 2024 (inception) to September 30, 2024,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ORUKA THERAPEUTICS, INC.</w:t>
        <w:br/>
        <w:t>CONDENSED CONSOLIDATED STATEMENTS OF CONVERTIBLE PREFERRED STOCK AND STOCKHOLDERS’ EQUITY (DEFICIT)</w:t>
        <w:br/>
        <w:t>(UNAUDITED)</w:t>
        <w:b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2500"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99"/>
        <w:gridCol w:w="691"/>
        <w:gridCol w:w="90"/>
        <w:gridCol w:w="90"/>
        <w:gridCol w:w="90"/>
        <w:gridCol w:w="1130"/>
        <w:gridCol w:w="90"/>
        <w:gridCol w:w="90"/>
        <w:gridCol w:w="328"/>
        <w:gridCol w:w="562"/>
        <w:gridCol w:w="90"/>
        <w:gridCol w:w="90"/>
        <w:gridCol w:w="192"/>
        <w:gridCol w:w="938"/>
        <w:gridCol w:w="125"/>
        <w:gridCol w:w="170"/>
        <w:gridCol w:w="480"/>
        <w:gridCol w:w="1160"/>
        <w:gridCol w:w="125"/>
        <w:gridCol w:w="90"/>
        <w:gridCol w:w="221"/>
        <w:gridCol w:w="1179"/>
        <w:gridCol w:w="125"/>
        <w:gridCol w:w="90"/>
        <w:gridCol w:w="232"/>
        <w:gridCol w:w="1138"/>
        <w:gridCol w:w="135"/>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 (Loss)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Balances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463,018</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(83,724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382,221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3,468</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3,468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Balances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466,486</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(104,723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364,725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 under employee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109</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3,403</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3,403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change in unrealized gains (losses) on marketable 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(24,574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(24,574</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Balances as of 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137,138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right"/>
              <w:rPr/>
            </w:pPr>
            <w:r>
              <w:rPr/>
              <w:t>2,931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37,450,745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469,998</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(129,297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343,642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and pre-funded warrants in connection with the 2025 PIPE Financing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10,933,405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179,989</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180,000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cost of the 2025 PIPE Financing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(10,356</w:t>
            </w:r>
          </w:p>
        </w:tc>
        <w:tc>
          <w:tcPr>
            <w:tcW w:w="125"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(10,356</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3,570</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3,570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change in unrealized gains (losses) on marketable 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212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(30,277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(30,277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Balances as of September 30,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2,931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48,384,150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283"/>
              <w:jc w:val="right"/>
              <w:rPr/>
            </w:pPr>
            <w:r>
              <w:rPr/>
              <w:t>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643,201</w:t>
            </w:r>
          </w:p>
        </w:tc>
        <w:tc>
          <w:tcPr>
            <w:tcW w:w="1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tcMar>
              <w:bottom w:w="28" w:type="dxa"/>
            </w:tcMar>
            <w:vAlign w:val="center"/>
          </w:tcPr>
          <w:p>
            <w:pPr>
              <w:pStyle w:val="TableContents"/>
              <w:bidi w:val="0"/>
              <w:spacing w:before="0" w:after="283"/>
              <w:jc w:val="right"/>
              <w:rPr/>
            </w:pPr>
            <w:r>
              <w:rPr/>
              <w:t>185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tcMar>
              <w:bottom w:w="28" w:type="dxa"/>
            </w:tcMar>
            <w:vAlign w:val="center"/>
          </w:tcPr>
          <w:p>
            <w:pPr>
              <w:pStyle w:val="TableContents"/>
              <w:bidi w:val="0"/>
              <w:spacing w:before="0" w:after="283"/>
              <w:jc w:val="right"/>
              <w:rPr/>
            </w:pPr>
            <w:r>
              <w:rPr/>
              <w:t>(159,574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tcMar>
              <w:bottom w:w="28" w:type="dxa"/>
            </w:tcMar>
            <w:vAlign w:val="center"/>
          </w:tcPr>
          <w:p>
            <w:pPr>
              <w:pStyle w:val="TableContents"/>
              <w:bidi w:val="0"/>
              <w:spacing w:before="0" w:after="283"/>
              <w:jc w:val="right"/>
              <w:rPr/>
            </w:pPr>
            <w:r>
              <w:rPr/>
              <w:t>486,791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435" w:type="dxa"/>
        <w:jc w:val="left"/>
        <w:tblInd w:w="0" w:type="dxa"/>
        <w:tblLayout w:type="fixed"/>
        <w:tblCellMar>
          <w:top w:w="0" w:type="dxa"/>
          <w:left w:w="0" w:type="dxa"/>
          <w:bottom w:w="0" w:type="dxa"/>
          <w:right w:w="0" w:type="dxa"/>
        </w:tblCellMar>
      </w:tblPr>
      <w:tblGrid>
        <w:gridCol w:w="1340"/>
        <w:gridCol w:w="90"/>
        <w:gridCol w:w="90"/>
        <w:gridCol w:w="1040"/>
        <w:gridCol w:w="110"/>
        <w:gridCol w:w="90"/>
        <w:gridCol w:w="155"/>
        <w:gridCol w:w="575"/>
        <w:gridCol w:w="110"/>
        <w:gridCol w:w="90"/>
        <w:gridCol w:w="92"/>
        <w:gridCol w:w="528"/>
        <w:gridCol w:w="90"/>
        <w:gridCol w:w="90"/>
        <w:gridCol w:w="215"/>
        <w:gridCol w:w="620"/>
        <w:gridCol w:w="110"/>
        <w:gridCol w:w="90"/>
        <w:gridCol w:w="90"/>
        <w:gridCol w:w="725"/>
        <w:gridCol w:w="90"/>
        <w:gridCol w:w="90"/>
        <w:gridCol w:w="215"/>
        <w:gridCol w:w="515"/>
        <w:gridCol w:w="90"/>
        <w:gridCol w:w="90"/>
        <w:gridCol w:w="90"/>
        <w:gridCol w:w="980"/>
        <w:gridCol w:w="90"/>
        <w:gridCol w:w="90"/>
        <w:gridCol w:w="252"/>
        <w:gridCol w:w="473"/>
        <w:gridCol w:w="90"/>
        <w:gridCol w:w="90"/>
        <w:gridCol w:w="167"/>
        <w:gridCol w:w="783"/>
        <w:gridCol w:w="110"/>
        <w:gridCol w:w="90"/>
        <w:gridCol w:w="215"/>
        <w:gridCol w:w="945"/>
        <w:gridCol w:w="110"/>
        <w:gridCol w:w="90"/>
        <w:gridCol w:w="212"/>
        <w:gridCol w:w="993"/>
        <w:gridCol w:w="135"/>
      </w:tblGrid>
      <w:tr>
        <w:trPr/>
        <w:tc>
          <w:tcPr>
            <w:tcW w:w="13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A</w:t>
              <w:br/>
              <w:t>Convertible</w:t>
              <w:br/>
              <w:t>Preferred Stock</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A</w:t>
              <w:br/>
              <w:t>Non-Voting</w:t>
              <w:br/>
              <w:t>Convertible</w:t>
              <w:br/>
              <w:t>Preferred Stock</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 xml:space="preserve">Additional </w:t>
              <w:br/>
              <w:t>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20"/>
              </w:rPr>
            </w:pPr>
            <w:r>
              <w:rPr>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sz w:val="20"/>
              </w:rPr>
            </w:pPr>
            <w:r>
              <w:rPr>
                <w:b/>
                <w:sz w:val="20"/>
              </w:rPr>
              <w:t xml:space="preserve">Total </w:t>
              <w:br/>
              <w:t>Stockholders’</w:t>
              <w:br/>
              <w:t>Equity</w:t>
            </w:r>
          </w:p>
        </w:tc>
        <w:tc>
          <w:tcPr>
            <w:tcW w:w="13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sz w:val="20"/>
              </w:rPr>
            </w:pPr>
            <w:r>
              <w:rPr>
                <w:b/>
                <w:sz w:val="20"/>
              </w:rPr>
              <w:t>Balances as of February 6, 2024 (inception)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3,197,975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20"/>
              </w:rPr>
            </w:pPr>
            <w:r>
              <w:rPr>
                <w:sz w:val="20"/>
              </w:rPr>
              <w:t>$</w:t>
            </w:r>
          </w:p>
        </w:tc>
        <w:tc>
          <w:tcPr>
            <w:tcW w:w="473" w:type="dxa"/>
            <w:tcBorders/>
            <w:shd w:fill="CCEEFF" w:val="clear"/>
            <w:vAlign w:val="center"/>
          </w:tcPr>
          <w:p>
            <w:pPr>
              <w:pStyle w:val="TableContents"/>
              <w:bidi w:val="0"/>
              <w:spacing w:before="0" w:after="283"/>
              <w:jc w:val="right"/>
              <w:rPr>
                <w:sz w:val="20"/>
              </w:rPr>
            </w:pPr>
            <w:r>
              <w:rPr>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r>
              <w:rPr>
                <w:sz w:val="20"/>
              </w:rPr>
              <w:t>(2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2,207,553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sz w:val="20"/>
              </w:rPr>
            </w:pPr>
            <w:r>
              <w:rPr>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sz w:val="20"/>
              </w:rPr>
            </w:pPr>
            <w:r>
              <w:rPr>
                <w:sz w:val="20"/>
              </w:rPr>
              <w:t>Issuance of Series A convertible preferred stock, net of issuance costs of $69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sz w:val="20"/>
              </w:rPr>
            </w:pPr>
            <w:r>
              <w:rPr>
                <w:sz w:val="20"/>
              </w:rPr>
              <w:t>20,000,000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2,931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17</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(7,077</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(7,077</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340" w:type="dxa"/>
            <w:tcBorders/>
            <w:vAlign w:val="center"/>
          </w:tcPr>
          <w:p>
            <w:pPr>
              <w:pStyle w:val="TableContents"/>
              <w:bidi w:val="0"/>
              <w:spacing w:before="0" w:after="283"/>
              <w:jc w:val="left"/>
              <w:rPr>
                <w:b/>
                <w:sz w:val="20"/>
              </w:rPr>
            </w:pPr>
            <w:r>
              <w:rPr>
                <w:b/>
                <w:sz w:val="20"/>
              </w:rPr>
              <w:t>Balances as of March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sz w:val="20"/>
              </w:rPr>
            </w:pPr>
            <w:r>
              <w:rPr>
                <w:sz w:val="20"/>
              </w:rPr>
              <w:t>20,000,000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575" w:type="dxa"/>
            <w:tcBorders/>
            <w:vAlign w:val="center"/>
          </w:tcPr>
          <w:p>
            <w:pPr>
              <w:pStyle w:val="TableContents"/>
              <w:bidi w:val="0"/>
              <w:spacing w:before="0" w:after="283"/>
              <w:jc w:val="right"/>
              <w:rPr>
                <w:sz w:val="20"/>
              </w:rPr>
            </w:pPr>
            <w:r>
              <w:rPr>
                <w:sz w:val="20"/>
              </w:rPr>
              <w:t>2,931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r>
              <w:rPr>
                <w:sz w:val="20"/>
              </w:rPr>
              <w:t>$</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r>
              <w:rPr>
                <w:sz w:val="20"/>
              </w:rPr>
              <w:t>$</w:t>
            </w:r>
          </w:p>
        </w:tc>
        <w:tc>
          <w:tcPr>
            <w:tcW w:w="5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5,405,528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sz w:val="20"/>
              </w:rPr>
            </w:pPr>
            <w:r>
              <w:rPr>
                <w:sz w:val="20"/>
              </w:rPr>
              <w:t>$</w:t>
            </w:r>
          </w:p>
        </w:tc>
        <w:tc>
          <w:tcPr>
            <w:tcW w:w="473" w:type="dxa"/>
            <w:tcBorders/>
            <w:vAlign w:val="center"/>
          </w:tcPr>
          <w:p>
            <w:pPr>
              <w:pStyle w:val="TableContents"/>
              <w:bidi w:val="0"/>
              <w:spacing w:before="0" w:after="283"/>
              <w:jc w:val="right"/>
              <w:rPr>
                <w:sz w:val="20"/>
              </w:rPr>
            </w:pPr>
            <w:r>
              <w:rPr>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w:t>
            </w:r>
          </w:p>
        </w:tc>
        <w:tc>
          <w:tcPr>
            <w:tcW w:w="783" w:type="dxa"/>
            <w:tcBorders/>
            <w:vAlign w:val="center"/>
          </w:tcPr>
          <w:p>
            <w:pPr>
              <w:pStyle w:val="TableContents"/>
              <w:bidi w:val="0"/>
              <w:spacing w:before="0" w:after="283"/>
              <w:jc w:val="right"/>
              <w:rPr>
                <w:sz w:val="20"/>
              </w:rPr>
            </w:pPr>
            <w:r>
              <w:rPr>
                <w:sz w:val="20"/>
              </w:rPr>
              <w:t>13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20"/>
              </w:rPr>
            </w:pPr>
            <w:r>
              <w:rPr>
                <w:sz w:val="20"/>
              </w:rPr>
              <w:t>$</w:t>
            </w:r>
          </w:p>
        </w:tc>
        <w:tc>
          <w:tcPr>
            <w:tcW w:w="945" w:type="dxa"/>
            <w:tcBorders/>
            <w:vAlign w:val="center"/>
          </w:tcPr>
          <w:p>
            <w:pPr>
              <w:pStyle w:val="TableContents"/>
              <w:bidi w:val="0"/>
              <w:spacing w:before="0" w:after="283"/>
              <w:jc w:val="right"/>
              <w:rPr>
                <w:sz w:val="20"/>
              </w:rPr>
            </w:pPr>
            <w:r>
              <w:rPr>
                <w:sz w:val="20"/>
              </w:rPr>
              <w:t>(7,077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w:t>
            </w:r>
          </w:p>
        </w:tc>
        <w:tc>
          <w:tcPr>
            <w:tcW w:w="993" w:type="dxa"/>
            <w:tcBorders/>
            <w:vAlign w:val="center"/>
          </w:tcPr>
          <w:p>
            <w:pPr>
              <w:pStyle w:val="TableContents"/>
              <w:bidi w:val="0"/>
              <w:spacing w:before="0" w:after="283"/>
              <w:jc w:val="right"/>
              <w:rPr>
                <w:sz w:val="20"/>
              </w:rPr>
            </w:pPr>
            <w:r>
              <w:rPr>
                <w:sz w:val="20"/>
              </w:rPr>
              <w:t>(7,059</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340" w:type="dxa"/>
            <w:tcBorders/>
            <w:shd w:fill="CCEEFF" w:val="clear"/>
            <w:vAlign w:val="center"/>
          </w:tcPr>
          <w:p>
            <w:pPr>
              <w:pStyle w:val="TableContents"/>
              <w:bidi w:val="0"/>
              <w:spacing w:before="0" w:after="283"/>
              <w:jc w:val="left"/>
              <w:rPr>
                <w:sz w:val="20"/>
              </w:rPr>
            </w:pPr>
            <w:r>
              <w:rPr>
                <w:sz w:val="20"/>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321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321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(22,243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(22,243</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340" w:type="dxa"/>
            <w:tcBorders/>
            <w:shd w:fill="CCEEFF" w:val="clear"/>
            <w:vAlign w:val="center"/>
          </w:tcPr>
          <w:p>
            <w:pPr>
              <w:pStyle w:val="TableContents"/>
              <w:bidi w:val="0"/>
              <w:spacing w:before="0" w:after="283"/>
              <w:jc w:val="left"/>
              <w:rPr>
                <w:b/>
                <w:sz w:val="20"/>
              </w:rPr>
            </w:pPr>
            <w:r>
              <w:rPr>
                <w:b/>
                <w:sz w:val="20"/>
              </w:rPr>
              <w:t>Balances as of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sz w:val="20"/>
              </w:rPr>
            </w:pPr>
            <w:r>
              <w:rPr>
                <w:sz w:val="20"/>
              </w:rPr>
              <w:t>20,000,000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75" w:type="dxa"/>
            <w:tcBorders/>
            <w:shd w:fill="CCEEFF" w:val="clear"/>
            <w:vAlign w:val="center"/>
          </w:tcPr>
          <w:p>
            <w:pPr>
              <w:pStyle w:val="TableContents"/>
              <w:bidi w:val="0"/>
              <w:spacing w:before="0" w:after="283"/>
              <w:jc w:val="right"/>
              <w:rPr>
                <w:sz w:val="20"/>
              </w:rPr>
            </w:pPr>
            <w:r>
              <w:rPr>
                <w:sz w:val="20"/>
              </w:rPr>
              <w:t>2,931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5,405,528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20"/>
              </w:rPr>
            </w:pPr>
            <w:r>
              <w:rPr>
                <w:sz w:val="20"/>
              </w:rPr>
              <w:t>$</w:t>
            </w:r>
          </w:p>
        </w:tc>
        <w:tc>
          <w:tcPr>
            <w:tcW w:w="473" w:type="dxa"/>
            <w:tcBorders/>
            <w:shd w:fill="CCEEFF" w:val="cle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r>
              <w:rPr>
                <w:sz w:val="20"/>
              </w:rPr>
              <w:t>334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945" w:type="dxa"/>
            <w:tcBorders/>
            <w:shd w:fill="CCEEFF" w:val="clear"/>
            <w:vAlign w:val="center"/>
          </w:tcPr>
          <w:p>
            <w:pPr>
              <w:pStyle w:val="TableContents"/>
              <w:bidi w:val="0"/>
              <w:spacing w:before="0" w:after="283"/>
              <w:jc w:val="right"/>
              <w:rPr>
                <w:sz w:val="20"/>
              </w:rPr>
            </w:pPr>
            <w:r>
              <w:rPr>
                <w:sz w:val="20"/>
              </w:rPr>
              <w:t>(29,320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(28,981</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340" w:type="dxa"/>
            <w:tcBorders/>
            <w:vAlign w:val="center"/>
          </w:tcPr>
          <w:p>
            <w:pPr>
              <w:pStyle w:val="TableContents"/>
              <w:bidi w:val="0"/>
              <w:spacing w:before="0" w:after="283"/>
              <w:jc w:val="left"/>
              <w:rPr>
                <w:sz w:val="20"/>
              </w:rPr>
            </w:pPr>
            <w:r>
              <w:rPr>
                <w:sz w:val="20"/>
              </w:rPr>
              <w:t>Exchange of Series A convertible preferred stock for Series B non-voting convertible preferred stock upon the closing of the reverse recapitalization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sz w:val="20"/>
              </w:rPr>
            </w:pPr>
            <w:r>
              <w:rPr>
                <w:sz w:val="20"/>
              </w:rPr>
              <w:t>(20,000,000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sz w:val="20"/>
              </w:rPr>
            </w:pPr>
            <w:r>
              <w:rPr>
                <w:sz w:val="20"/>
              </w:rPr>
              <w:t>(2,931</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137,138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2,931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2,931</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sz w:val="20"/>
              </w:rPr>
            </w:pPr>
            <w:r>
              <w:rPr>
                <w:sz w:val="20"/>
              </w:rPr>
              <w:t>Conversion of convertible notes (including accrued interest) into common stock upon the closing of the reverse recapitalization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2,722,207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sz w:val="20"/>
              </w:rPr>
            </w:pPr>
            <w:r>
              <w:rPr>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26,445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26,448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Issuance of common stock and pre-funded warrants in the Pre-Closing Financing,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20,061,932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sz w:val="20"/>
              </w:rPr>
            </w:pPr>
            <w:r>
              <w:rPr>
                <w:sz w:val="20"/>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248,437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248,457</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sz w:val="20"/>
              </w:rPr>
            </w:pPr>
            <w:r>
              <w:rPr>
                <w:sz w:val="20"/>
              </w:rPr>
              <w:t>Issuance costs of Pre-Closing Financing and reverse recapitalization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(20,480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(20,480</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340" w:type="dxa"/>
            <w:tcBorders/>
            <w:vAlign w:val="center"/>
          </w:tcPr>
          <w:p>
            <w:pPr>
              <w:pStyle w:val="TableContents"/>
              <w:bidi w:val="0"/>
              <w:spacing w:before="0" w:after="283"/>
              <w:jc w:val="left"/>
              <w:rPr>
                <w:sz w:val="20"/>
              </w:rPr>
            </w:pPr>
            <w:r>
              <w:rPr>
                <w:sz w:val="20"/>
              </w:rPr>
              <w:t>Issuance of common stock to former stockholders of ARCA biopharma, Inc. in connection with the closing of the reverse recapitalization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1,208,883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sz w:val="20"/>
              </w:rPr>
            </w:pPr>
            <w:r>
              <w:rPr>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4,999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5,000</w:t>
            </w:r>
          </w:p>
        </w:tc>
        <w:tc>
          <w:tcPr>
            <w:tcW w:w="13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sz w:val="20"/>
              </w:rPr>
            </w:pPr>
            <w:r>
              <w:rPr>
                <w:sz w:val="20"/>
              </w:rPr>
              <w:t>Issuance of common stock, Series A non-voting convertible preferred stock, and pre-funded warrants in connection with the 2024 PIPE Financing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sz w:val="20"/>
              </w:rPr>
            </w:pPr>
            <w:r>
              <w:rPr>
                <w:sz w:val="20"/>
              </w:rPr>
              <w:t>2,439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56,097</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5,600,000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sz w:val="20"/>
              </w:rPr>
            </w:pPr>
            <w:r>
              <w:rPr>
                <w:sz w:val="20"/>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144,433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144,439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Issuance cost of the 2024 PIPE Financing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(3,256</w:t>
            </w:r>
          </w:p>
        </w:tc>
        <w:tc>
          <w:tcPr>
            <w:tcW w:w="110" w:type="dxa"/>
            <w:tcBorders/>
            <w:vAlign w:val="center"/>
          </w:tcPr>
          <w:p>
            <w:pPr>
              <w:pStyle w:val="TableContents"/>
              <w:bidi w:val="0"/>
              <w:spacing w:before="0" w:after="283"/>
              <w:jc w:val="left"/>
              <w:rPr>
                <w:sz w:val="20"/>
              </w:rPr>
            </w:pPr>
            <w:r>
              <w:rPr>
                <w:sz w:val="20"/>
              </w:rPr>
              <w:t>)</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(8,573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(8,573</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340" w:type="dxa"/>
            <w:tcBorders/>
            <w:shd w:fill="CCEEFF" w:val="clear"/>
            <w:vAlign w:val="center"/>
          </w:tcPr>
          <w:p>
            <w:pPr>
              <w:pStyle w:val="TableContents"/>
              <w:bidi w:val="0"/>
              <w:spacing w:before="0" w:after="283"/>
              <w:jc w:val="left"/>
              <w:rPr>
                <w:sz w:val="20"/>
              </w:rPr>
            </w:pPr>
            <w:r>
              <w:rPr>
                <w:sz w:val="20"/>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1,750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1,750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sz w:val="20"/>
              </w:rPr>
            </w:pPr>
            <w:r>
              <w:rPr>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(28,623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(28,623</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340" w:type="dxa"/>
            <w:tcBorders/>
            <w:shd w:fill="CCEEFF" w:val="clear"/>
            <w:vAlign w:val="center"/>
          </w:tcPr>
          <w:p>
            <w:pPr>
              <w:pStyle w:val="TableContents"/>
              <w:bidi w:val="0"/>
              <w:spacing w:before="0" w:after="283"/>
              <w:jc w:val="left"/>
              <w:rPr>
                <w:b/>
                <w:sz w:val="20"/>
              </w:rPr>
            </w:pPr>
            <w:r>
              <w:rPr>
                <w:b/>
                <w:sz w:val="20"/>
              </w:rPr>
              <w:t>Balances as of September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52,841</w:t>
            </w:r>
          </w:p>
        </w:tc>
        <w:tc>
          <w:tcPr>
            <w:tcW w:w="11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34,998,550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397,345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(57,943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342,368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ORUKA THERAPEUTICS, INC.</w:t>
        <w:br/>
        <w:t>CONDENSED CONSOLIDATED STATEMENTS OF CASH FLOWS</w:t>
        <w:br/>
        <w:t>(UNAUDITED)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33"/>
        <w:gridCol w:w="90"/>
        <w:gridCol w:w="261"/>
        <w:gridCol w:w="1397"/>
        <w:gridCol w:w="125"/>
        <w:gridCol w:w="90"/>
        <w:gridCol w:w="226"/>
        <w:gridCol w:w="1111"/>
        <w:gridCol w:w="172"/>
      </w:tblGrid>
      <w:tr>
        <w:trPr/>
        <w:tc>
          <w:tcPr>
            <w:tcW w:w="673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September 30,</w:t>
              <w:br/>
              <w:t>2024</w:t>
            </w:r>
          </w:p>
        </w:tc>
        <w:tc>
          <w:tcPr>
            <w:tcW w:w="172" w:type="dxa"/>
            <w:tcBorders/>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658"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(75,850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(57,943</w:t>
            </w:r>
          </w:p>
        </w:tc>
        <w:tc>
          <w:tcPr>
            <w:tcW w:w="172" w:type="dxa"/>
            <w:tcBorders/>
            <w:shd w:fill="CCEEFF" w:val="clear"/>
            <w:vAlign w:val="center"/>
          </w:tcPr>
          <w:p>
            <w:pPr>
              <w:pStyle w:val="TableContents"/>
              <w:bidi w:val="0"/>
              <w:spacing w:before="0" w:after="283"/>
              <w:jc w:val="left"/>
              <w:rPr/>
            </w:pPr>
            <w:r>
              <w:rPr/>
              <w:t>)</w:t>
            </w:r>
          </w:p>
        </w:tc>
      </w:tr>
      <w:tr>
        <w:trPr/>
        <w:tc>
          <w:tcPr>
            <w:tcW w:w="6733"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20,125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9,769</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Net accretion of premiums and discounts on marketable securities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(4,340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1,468</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65</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11</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(3,167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(1,980</w:t>
            </w:r>
          </w:p>
        </w:tc>
        <w:tc>
          <w:tcPr>
            <w:tcW w:w="172" w:type="dxa"/>
            <w:tcBorders/>
            <w:shd w:fill="CCEEFF" w:val="clear"/>
            <w:vAlign w:val="center"/>
          </w:tcPr>
          <w:p>
            <w:pPr>
              <w:pStyle w:val="TableContents"/>
              <w:bidi w:val="0"/>
              <w:spacing w:before="0" w:after="283"/>
              <w:jc w:val="left"/>
              <w:rPr/>
            </w:pPr>
            <w:r>
              <w:rPr/>
              <w:t>)</w:t>
            </w:r>
          </w:p>
        </w:tc>
      </w:tr>
      <w:tr>
        <w:trPr/>
        <w:tc>
          <w:tcPr>
            <w:tcW w:w="6733"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(43</w:t>
            </w:r>
          </w:p>
        </w:tc>
        <w:tc>
          <w:tcPr>
            <w:tcW w:w="172" w:type="dxa"/>
            <w:tcBorders/>
            <w:vAlign w:val="center"/>
          </w:tcPr>
          <w:p>
            <w:pPr>
              <w:pStyle w:val="TableContents"/>
              <w:bidi w:val="0"/>
              <w:spacing w:before="0" w:after="283"/>
              <w:jc w:val="left"/>
              <w:rPr/>
            </w:pPr>
            <w:r>
              <w:rPr/>
              <w:t>)</w:t>
            </w:r>
          </w:p>
        </w:tc>
      </w:tr>
      <w:tr>
        <w:trPr/>
        <w:tc>
          <w:tcPr>
            <w:tcW w:w="6733"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1,621</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5,038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1,650</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Operating lease liability</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(468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6</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Related party accounts payable and other current liabilities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tcMar>
              <w:bottom w:w="28" w:type="dxa"/>
            </w:tcMar>
            <w:vAlign w:val="center"/>
          </w:tcPr>
          <w:p>
            <w:pPr>
              <w:pStyle w:val="TableContents"/>
              <w:bidi w:val="0"/>
              <w:spacing w:before="0" w:after="283"/>
              <w:jc w:val="right"/>
              <w:rPr/>
            </w:pPr>
            <w:r>
              <w:rPr/>
              <w:t>(6,014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tcMar>
              <w:bottom w:w="28" w:type="dxa"/>
            </w:tcMar>
            <w:vAlign w:val="center"/>
          </w:tcPr>
          <w:p>
            <w:pPr>
              <w:pStyle w:val="TableContents"/>
              <w:bidi w:val="0"/>
              <w:spacing w:before="0" w:after="283"/>
              <w:jc w:val="right"/>
              <w:rPr/>
            </w:pPr>
            <w:r>
              <w:rPr/>
              <w:t>6,357</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(65,616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(39,019</w:t>
            </w:r>
          </w:p>
        </w:tc>
        <w:tc>
          <w:tcPr>
            <w:tcW w:w="172" w:type="dxa"/>
            <w:tcBorders/>
            <w:shd w:fill="CCEEFF" w:val="clear"/>
            <w:vAlign w:val="center"/>
          </w:tcPr>
          <w:p>
            <w:pPr>
              <w:pStyle w:val="TableContents"/>
              <w:bidi w:val="0"/>
              <w:spacing w:before="0" w:after="283"/>
              <w:jc w:val="left"/>
              <w:rPr/>
            </w:pPr>
            <w:r>
              <w:rPr/>
              <w:t>)</w:t>
            </w:r>
          </w:p>
        </w:tc>
      </w:tr>
      <w:tr>
        <w:trPr/>
        <w:tc>
          <w:tcPr>
            <w:tcW w:w="6733"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(171</w:t>
            </w:r>
          </w:p>
        </w:tc>
        <w:tc>
          <w:tcPr>
            <w:tcW w:w="172" w:type="dxa"/>
            <w:tcBorders/>
            <w:shd w:fill="CCEEFF" w:val="clear"/>
            <w:vAlign w:val="center"/>
          </w:tcPr>
          <w:p>
            <w:pPr>
              <w:pStyle w:val="TableContents"/>
              <w:bidi w:val="0"/>
              <w:spacing w:before="0" w:after="283"/>
              <w:jc w:val="left"/>
              <w:rPr/>
            </w:pPr>
            <w:r>
              <w:rPr/>
              <w:t>)</w:t>
            </w:r>
          </w:p>
        </w:tc>
      </w:tr>
      <w:tr>
        <w:trPr/>
        <w:tc>
          <w:tcPr>
            <w:tcW w:w="6733" w:type="dxa"/>
            <w:tcBorders/>
            <w:vAlign w:val="center"/>
          </w:tcPr>
          <w:p>
            <w:pPr>
              <w:pStyle w:val="TableContents"/>
              <w:bidi w:val="0"/>
              <w:spacing w:before="0" w:after="283"/>
              <w:jc w:val="left"/>
              <w:rPr/>
            </w:pPr>
            <w:r>
              <w:rPr/>
              <w:t>Purchases of marketable securities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(419,972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Proceeds from maturities of marketable securities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345,395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tcMar>
              <w:bottom w:w="28" w:type="dxa"/>
            </w:tcMar>
            <w:vAlign w:val="center"/>
          </w:tcPr>
          <w:p>
            <w:pPr>
              <w:pStyle w:val="TableContents"/>
              <w:bidi w:val="0"/>
              <w:spacing w:before="0" w:after="283"/>
              <w:jc w:val="right"/>
              <w:rPr/>
            </w:pPr>
            <w:r>
              <w:rPr/>
              <w:t>(74,723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tcMar>
              <w:bottom w:w="28" w:type="dxa"/>
            </w:tcMar>
            <w:vAlign w:val="center"/>
          </w:tcPr>
          <w:p>
            <w:pPr>
              <w:pStyle w:val="TableContents"/>
              <w:bidi w:val="0"/>
              <w:spacing w:before="0" w:after="283"/>
              <w:jc w:val="right"/>
              <w:rPr/>
            </w:pPr>
            <w:r>
              <w:rPr/>
              <w:t>(171</w:t>
            </w:r>
          </w:p>
        </w:tc>
        <w:tc>
          <w:tcPr>
            <w:tcW w:w="172" w:type="dxa"/>
            <w:tcBorders/>
            <w:vAlign w:val="center"/>
          </w:tcPr>
          <w:p>
            <w:pPr>
              <w:pStyle w:val="TableContents"/>
              <w:bidi w:val="0"/>
              <w:spacing w:before="0" w:after="283"/>
              <w:jc w:val="left"/>
              <w:rPr/>
            </w:pPr>
            <w:r>
              <w:rPr/>
              <w:t>)</w:t>
            </w:r>
          </w:p>
        </w:tc>
      </w:tr>
      <w:tr>
        <w:trPr/>
        <w:tc>
          <w:tcPr>
            <w:tcW w:w="6733"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33" w:type="dxa"/>
            <w:tcBorders/>
            <w:vAlign w:val="center"/>
          </w:tcPr>
          <w:p>
            <w:pPr>
              <w:pStyle w:val="TableContents"/>
              <w:bidi w:val="0"/>
              <w:spacing w:before="0" w:after="283"/>
              <w:jc w:val="left"/>
              <w:rPr/>
            </w:pPr>
            <w:r>
              <w:rPr/>
              <w:t>Proceeds from issuance of Pre-Merger Oruka Series A Preferred Stock, net of issuance costs paid</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2,931</w:t>
            </w:r>
          </w:p>
        </w:tc>
        <w:tc>
          <w:tcPr>
            <w:tcW w:w="172" w:type="dxa"/>
            <w:tcBorders/>
            <w:vAlign w:val="center"/>
          </w:tcPr>
          <w:p>
            <w:pPr>
              <w:pStyle w:val="TableContents"/>
              <w:bidi w:val="0"/>
              <w:spacing w:before="0" w:after="283"/>
              <w:ind w:left="0" w:right="0" w:hanging="180"/>
              <w:jc w:val="left"/>
              <w:rPr/>
            </w:pPr>
            <w:r>
              <w:rPr/>
              <w:t> </w:t>
            </w:r>
          </w:p>
        </w:tc>
      </w:tr>
      <w:tr>
        <w:trPr/>
        <w:tc>
          <w:tcPr>
            <w:tcW w:w="6733" w:type="dxa"/>
            <w:tcBorders/>
            <w:shd w:fill="CCEEFF" w:val="clear"/>
            <w:vAlign w:val="center"/>
          </w:tcPr>
          <w:p>
            <w:pPr>
              <w:pStyle w:val="TableContents"/>
              <w:bidi w:val="0"/>
              <w:spacing w:before="0" w:after="283"/>
              <w:jc w:val="left"/>
              <w:rPr/>
            </w:pPr>
            <w:r>
              <w:rPr/>
              <w:t>Proceeds from issuance of notes payable to related party, net of issuance costs paid</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24,980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33" w:type="dxa"/>
            <w:tcBorders/>
            <w:vAlign w:val="center"/>
          </w:tcPr>
          <w:p>
            <w:pPr>
              <w:pStyle w:val="TableContents"/>
              <w:bidi w:val="0"/>
              <w:spacing w:before="0" w:after="283"/>
              <w:jc w:val="left"/>
              <w:rPr/>
            </w:pPr>
            <w:r>
              <w:rPr/>
              <w:t>Proceeds from the Pre-Closing Financing, net</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228,127</w:t>
            </w:r>
          </w:p>
        </w:tc>
        <w:tc>
          <w:tcPr>
            <w:tcW w:w="172" w:type="dxa"/>
            <w:tcBorders/>
            <w:vAlign w:val="center"/>
          </w:tcPr>
          <w:p>
            <w:pPr>
              <w:pStyle w:val="TableContents"/>
              <w:bidi w:val="0"/>
              <w:spacing w:before="0" w:after="283"/>
              <w:ind w:left="0" w:right="0" w:hanging="180"/>
              <w:jc w:val="left"/>
              <w:rPr/>
            </w:pPr>
            <w:r>
              <w:rPr/>
              <w:t> </w:t>
            </w:r>
          </w:p>
        </w:tc>
      </w:tr>
      <w:tr>
        <w:trPr/>
        <w:tc>
          <w:tcPr>
            <w:tcW w:w="6733" w:type="dxa"/>
            <w:tcBorders/>
            <w:shd w:fill="CCEEFF" w:val="clear"/>
            <w:vAlign w:val="center"/>
          </w:tcPr>
          <w:p>
            <w:pPr>
              <w:pStyle w:val="TableContents"/>
              <w:bidi w:val="0"/>
              <w:spacing w:before="0" w:after="283"/>
              <w:jc w:val="left"/>
              <w:rPr/>
            </w:pPr>
            <w:r>
              <w:rPr/>
              <w:t>Proceeds from the PIPE Financings, net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169,908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189,087</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33" w:type="dxa"/>
            <w:tcBorders/>
            <w:vAlign w:val="center"/>
          </w:tcPr>
          <w:p>
            <w:pPr>
              <w:pStyle w:val="TableContents"/>
              <w:bidi w:val="0"/>
              <w:spacing w:before="0" w:after="283"/>
              <w:jc w:val="left"/>
              <w:rPr/>
            </w:pPr>
            <w:r>
              <w:rPr/>
              <w:t>Cash acquired in connection with the reverse recapitalization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4,940</w:t>
            </w:r>
          </w:p>
        </w:tc>
        <w:tc>
          <w:tcPr>
            <w:tcW w:w="172" w:type="dxa"/>
            <w:tcBorders/>
            <w:vAlign w:val="center"/>
          </w:tcPr>
          <w:p>
            <w:pPr>
              <w:pStyle w:val="TableContents"/>
              <w:bidi w:val="0"/>
              <w:spacing w:before="0" w:after="283"/>
              <w:ind w:left="0" w:right="0" w:hanging="180"/>
              <w:jc w:val="left"/>
              <w:rPr/>
            </w:pPr>
            <w:r>
              <w:rPr/>
              <w:t> </w:t>
            </w:r>
          </w:p>
        </w:tc>
      </w:tr>
      <w:tr>
        <w:trPr/>
        <w:tc>
          <w:tcPr>
            <w:tcW w:w="6733"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tcMar>
              <w:bottom w:w="28" w:type="dxa"/>
            </w:tcMar>
            <w:vAlign w:val="center"/>
          </w:tcPr>
          <w:p>
            <w:pPr>
              <w:pStyle w:val="TableContents"/>
              <w:bidi w:val="0"/>
              <w:spacing w:before="0" w:after="283"/>
              <w:jc w:val="right"/>
              <w:rPr/>
            </w:pPr>
            <w:r>
              <w:rPr/>
              <w:t>170,017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tcMar>
              <w:bottom w:w="28" w:type="dxa"/>
            </w:tcMar>
            <w:vAlign w:val="center"/>
          </w:tcPr>
          <w:p>
            <w:pPr>
              <w:pStyle w:val="TableContents"/>
              <w:bidi w:val="0"/>
              <w:spacing w:before="0" w:after="283"/>
              <w:jc w:val="right"/>
              <w:rPr/>
            </w:pPr>
            <w:r>
              <w:rPr/>
              <w:t>450,065</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b/>
              </w:rPr>
            </w:pPr>
            <w:r>
              <w:rPr>
                <w:b/>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29,678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410,875</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tcMar>
              <w:bottom w:w="28" w:type="dxa"/>
            </w:tcMar>
            <w:vAlign w:val="center"/>
          </w:tcPr>
          <w:p>
            <w:pPr>
              <w:pStyle w:val="TableContents"/>
              <w:bidi w:val="0"/>
              <w:spacing w:before="0" w:after="283"/>
              <w:jc w:val="right"/>
              <w:rPr/>
            </w:pPr>
            <w:r>
              <w:rPr/>
              <w:t>61,575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91,253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10" w:space="0" w:color="000000"/>
            </w:tcBorders>
            <w:shd w:fill="CCEEFF" w:val="clear"/>
            <w:tcMar>
              <w:bottom w:w="28" w:type="dxa"/>
            </w:tcMar>
            <w:vAlign w:val="center"/>
          </w:tcPr>
          <w:p>
            <w:pPr>
              <w:pStyle w:val="TableContents"/>
              <w:bidi w:val="0"/>
              <w:spacing w:before="0" w:after="283"/>
              <w:jc w:val="right"/>
              <w:rPr/>
            </w:pPr>
            <w:r>
              <w:rPr/>
              <w:t>410,875</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b/>
              </w:rPr>
            </w:pPr>
            <w:r>
              <w:rPr>
                <w:b/>
              </w:rPr>
              <w:t>Supplemental disclosures of non-cash operating and financing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Operating lease liability arising from obtaining operating right-of-use asset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1,412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982</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Assets acquired in connection with the reverse recapitalization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114</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Other liabilities assumed in connection with the reverse recapitalization</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(54</w:t>
            </w:r>
          </w:p>
        </w:tc>
        <w:tc>
          <w:tcPr>
            <w:tcW w:w="172" w:type="dxa"/>
            <w:tcBorders/>
            <w:shd w:fill="CCEEFF" w:val="clear"/>
            <w:vAlign w:val="center"/>
          </w:tcPr>
          <w:p>
            <w:pPr>
              <w:pStyle w:val="TableContents"/>
              <w:bidi w:val="0"/>
              <w:spacing w:before="0" w:after="283"/>
              <w:ind w:left="0" w:right="0" w:hanging="180"/>
              <w:jc w:val="left"/>
              <w:rPr/>
            </w:pPr>
            <w:r>
              <w:rPr/>
              <w:t>)</w:t>
            </w:r>
          </w:p>
        </w:tc>
      </w:tr>
      <w:tr>
        <w:trPr/>
        <w:tc>
          <w:tcPr>
            <w:tcW w:w="6733" w:type="dxa"/>
            <w:tcBorders/>
            <w:vAlign w:val="center"/>
          </w:tcPr>
          <w:p>
            <w:pPr>
              <w:pStyle w:val="TableContents"/>
              <w:bidi w:val="0"/>
              <w:spacing w:before="0" w:after="283"/>
              <w:jc w:val="left"/>
              <w:rPr/>
            </w:pPr>
            <w:r>
              <w:rPr/>
              <w:t>Pre-Closing Financing and reverse recapitalization issuance costs included in accounts payable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150</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PIPE Financing issuance costs included in accounts payable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374</w:t>
            </w:r>
          </w:p>
        </w:tc>
        <w:tc>
          <w:tcPr>
            <w:tcW w:w="172" w:type="dxa"/>
            <w:tcBorders/>
            <w:shd w:fill="CCEEFF" w:val="clear"/>
            <w:vAlign w:val="center"/>
          </w:tcPr>
          <w:p>
            <w:pPr>
              <w:pStyle w:val="TableContents"/>
              <w:bidi w:val="0"/>
              <w:spacing w:before="0" w:after="283"/>
              <w:jc w:val="left"/>
              <w:rPr/>
            </w:pPr>
            <w:r>
              <w:rPr/>
              <w:t> </w:t>
            </w:r>
          </w:p>
        </w:tc>
      </w:tr>
      <w:tr>
        <w:trPr/>
        <w:tc>
          <w:tcPr>
            <w:tcW w:w="6733" w:type="dxa"/>
            <w:tcBorders/>
            <w:vAlign w:val="center"/>
          </w:tcPr>
          <w:p>
            <w:pPr>
              <w:pStyle w:val="TableContents"/>
              <w:bidi w:val="0"/>
              <w:spacing w:before="0" w:after="283"/>
              <w:jc w:val="left"/>
              <w:rPr/>
            </w:pPr>
            <w:r>
              <w:rPr/>
              <w:t>PIPE Financing issuance costs included in accrued expenses and other current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283"/>
              <w:jc w:val="right"/>
              <w:rPr/>
            </w:pPr>
            <w:r>
              <w:rPr/>
              <w:t>264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6</w:t>
            </w:r>
          </w:p>
        </w:tc>
        <w:tc>
          <w:tcPr>
            <w:tcW w:w="172" w:type="dxa"/>
            <w:tcBorders/>
            <w:vAlign w:val="center"/>
          </w:tcPr>
          <w:p>
            <w:pPr>
              <w:pStyle w:val="TableContents"/>
              <w:bidi w:val="0"/>
              <w:spacing w:before="0" w:after="283"/>
              <w:jc w:val="left"/>
              <w:rPr/>
            </w:pPr>
            <w:r>
              <w:rPr/>
              <w:t> </w:t>
            </w:r>
          </w:p>
        </w:tc>
      </w:tr>
      <w:tr>
        <w:trPr/>
        <w:tc>
          <w:tcPr>
            <w:tcW w:w="6733" w:type="dxa"/>
            <w:tcBorders/>
            <w:shd w:fill="CCEEFF" w:val="clear"/>
            <w:vAlign w:val="center"/>
          </w:tcPr>
          <w:p>
            <w:pPr>
              <w:pStyle w:val="TableContents"/>
              <w:bidi w:val="0"/>
              <w:spacing w:before="0" w:after="283"/>
              <w:jc w:val="left"/>
              <w:rPr/>
            </w:pPr>
            <w:r>
              <w:rPr/>
              <w:t>Non-cash accrued interest on convertible note converted to common stock</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1,468</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33" w:type="dxa"/>
            <w:tcBorders/>
            <w:vAlign w:val="center"/>
          </w:tcPr>
          <w:p>
            <w:pPr>
              <w:pStyle w:val="TableContents"/>
              <w:bidi w:val="0"/>
              <w:spacing w:before="0" w:after="283"/>
              <w:jc w:val="left"/>
              <w:rPr/>
            </w:pPr>
            <w:r>
              <w:rPr/>
              <w:t>Non-cash exchange of Pre-Merger Oruka Series A Preferred Stock for Company Series B Convertible Preferred Stock</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2,931</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ORUKA THERAPEUTICS, INC.</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together with its subsidiaries (collectively, the “Company”), formerly known as ARCA biopharma, Inc. (“ARCA”), is a clinical-stage biopharmaceutical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led by the Pre-Merger Oruka management team and is focused on developing biologics for psoriasis and other inflammatory and immunology indications.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consolidated financial statements. The accompanying condensed consolidated financial statements reflect the operations of the Company and its wholly-owned subsidiaries.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for the period ended December 31, 2024 included in the Company’s Annual Report on Form 10-K for the year ended December 31, 2024 filed with the SEC on March 6, 2025 (the “Annual Report”). The information as of December 31, 2024,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the Company’s management, reflect all adjustments, which include only normal recurring adjustments necessary for a fair statement of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and nine months ended September 30, 2025 are not necessarily indicative of results that may be expected for the year ending December 31, 2025 or for any other interim period or for any other future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 Pre-Closing Financing, and Reverse Stock Split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the Company completed the acquisition (the “Merger”) of Pre-Merger Oruka pursuant to an Agreement and Plan of Merger and Reorganization, dated as of April 3, 2024 (the “Merger Agreement”). Following the transactions contemplated by the Merger Agreement, on August 29, 2024, the Company changed its name from “ARCA biopharma, Inc.” to “Oruka Therapeutics, Inc.” and the Company effected a 1-for-12 reverse stock split (the “Reverse Stock Split”) of its common stock, par value $0.001 per share (“Company Common Stock”), which became effective on September 3, 2024. All references to common stock, options to purchase common stock, outstanding common stock warrants, common stock share data, per share data, Company Common Stock,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and delivery of the Merger Agreement, certain new and existing investors of Pre-Merger Oruka entered into a subscription agreement with Pre-Merger Oruka (that was subsequently amended and restated in July 2024,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6) and accrued interest on such note which converted to shares of Pre-Merger Oruka Common Stock) (the “Pre-Closing Financing”). The Company incurred transaction costs of $20.5 million which were recorded as a reduction to additional paid-in capital in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shares of Pre-Merger Oruka Common Stock were converted into shares of Company Common Stock and pre-funded warrants of Company Common Stock in accordance with the Exchange Ratio (as defined below and determined by the terms of the Merger Agreement). Moreover, as part of the Closing, (i) then-issued and outstanding shares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was converted into the right to receive a number of shares of ARCA Series B non-voting convertible preferred stock, par value $0.001 per share (“Company Series B Preferred Stock”), which are convertible into shares of Company Common Stock at a conversion ratio of approximately 83.3332:1 after the Reverse Stock Split, (iii) each outstanding option to purchase Pre-Merger Oruka Common Stock was converted into an option to purchase shares of Company Common Stock, and (iv) each outstanding warrant to purchase shares of Pre-Merger Oruka Common Stock was converted into a warrant to purchase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owned a substantial majority of the voting rights in the combined company; (ii) Pre-Merger Oruka’s largest stockholders retained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(a) the Merger was treated as the equivalent of Pre-Merger Oruka issuing stock to acquire the net assets of ARCA, and (b) the reported historical operating results of the combined company prior to the Merger are those of Pre-Merger Oruka. As part of the reverse recapitalization, the Company acquired a cash balance of $4.94 million from ARCA.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 Securities Purchase Agreement (the “2024 Securities Purchase Agreement”) for a private placement (the “2024 PIPE Financing”) with certain institutional and accredited investors. The closing of the 2024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2024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share of Company Series A Preferred Stock was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 In November 2024, the 2,439 shares of the Company Series A Preferred Stock were converted to 2,439,000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the Company entered into a Securities Purchase Agreement (the “2025 Securities Purchase Agreement”) for a private placement (the “2025 PIPE Financing”) with certain institutional and accredited investors. The closing of the 2025 PIPE Financing occurred on September 19,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2025 Securities Purchase Agreement, the investors purchased an aggregate of 10,933,405 shares of Company Common Stock at a purchase price of $15.00 per share, and pre-funded warrants to purchase an aggregate of 1,066,666 shares of Company Common Stock at a purchase price of $14.999 per pre-funded warrant, for aggregate net proceeds of approximately $169.6 million (net of issuance costs of $10.4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 Sales Agreement with TD Securities (USA) LLC (the “Sales Agreement”), as its sales agent, pursuant to which the Company may issue and sell, from time to time, shares of the Company Common Stock for aggregate gross proceeds of up to $200.0 million under an at-the-market (“ATM”) offering program. The Company is not obligated to make any sales of shares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it will need additional financing to fund its 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revenue from product sales or other sources and has incurred significant operating losses and negative cash flows from operations since inception. For the three and nine months ended September 30, 2025, the Company incurred net losses of $30.3 million and $75.9 million, respectively, and used net cash of $65.6 million for its operating activities during the first nine months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cash, cash equivalents, and marketable securities of $500.9 million. The Company’s management expects that the existing cash, cash equivalents, and marketable securities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the Notes titled “1. Nature of the Business and Basis of Presentation” and “2. Summary of Significant Accounting Policies” of the Company’s Annual Report. The Company uses the same accounting policies in preparing its quarterly and annual financial statements. There have been no material changes to significant accounting policies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Use of Estimates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assumptions, and judgments that affect the reported amounts of assets and liabilities and the disclosure of contingent liabilities at the date of the condensed consolidated financial statements and the reported amounts of income and expenses during the reporting periods. Significant estimates and assumptions reflected within these condensed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the adoption of this ASU on its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financial assets measured as of September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4595"/>
        <w:gridCol w:w="90"/>
        <w:gridCol w:w="170"/>
        <w:gridCol w:w="710"/>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22,106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22,106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9,985</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5,994</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50,912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50,912</w:t>
            </w:r>
          </w:p>
        </w:tc>
        <w:tc>
          <w:tcPr>
            <w:tcW w:w="311" w:type="dxa"/>
            <w:tcBorders/>
            <w:vAlign w:val="center"/>
          </w:tcPr>
          <w:p>
            <w:pPr>
              <w:pStyle w:val="TableContents"/>
              <w:bidi w:val="0"/>
              <w:spacing w:before="0" w:after="283"/>
              <w:ind w:left="0" w:right="0" w:firstLine="176"/>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22,106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66,891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88,997</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199,626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199,626</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20,600</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16,988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16,988</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20,688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20,688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257,902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257,902</w:t>
            </w:r>
          </w:p>
        </w:tc>
        <w:tc>
          <w:tcPr>
            <w:tcW w:w="311" w:type="dxa"/>
            <w:tcBorders/>
            <w:vAlign w:val="center"/>
          </w:tcPr>
          <w:p>
            <w:pPr>
              <w:pStyle w:val="TableContents"/>
              <w:bidi w:val="0"/>
              <w:spacing w:before="0" w:after="283"/>
              <w:ind w:left="0" w:right="0" w:firstLine="164"/>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80,412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80,412</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47,922</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23,429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23,429</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151,763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151,763</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22,106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476,556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498,662</w:t>
            </w:r>
          </w:p>
        </w:tc>
        <w:tc>
          <w:tcPr>
            <w:tcW w:w="3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3 during the three and nine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0" w:type="dxa"/>
          <w:bottom w:w="0" w:type="dxa"/>
          <w:right w:w="0" w:type="dxa"/>
        </w:tblCellMar>
      </w:tblPr>
      <w:tblGrid>
        <w:gridCol w:w="4595"/>
        <w:gridCol w:w="90"/>
        <w:gridCol w:w="175"/>
        <w:gridCol w:w="609"/>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6,350</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311" w:type="dxa"/>
            <w:tcBorders/>
            <w:vAlign w:val="center"/>
          </w:tcPr>
          <w:p>
            <w:pPr>
              <w:pStyle w:val="TableContents"/>
              <w:bidi w:val="0"/>
              <w:spacing w:before="0" w:after="283"/>
              <w:ind w:left="0" w:right="0" w:firstLine="176"/>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377,967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3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Cash Equivalents and Marketable Securities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cash equivalents and marketable securities, which are classified as available-for-sale as of September 30, 2025 and December 31, 2024 (in thousands):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3"/>
        <w:gridCol w:w="90"/>
        <w:gridCol w:w="239"/>
        <w:gridCol w:w="1169"/>
        <w:gridCol w:w="90"/>
        <w:gridCol w:w="90"/>
        <w:gridCol w:w="540"/>
        <w:gridCol w:w="1304"/>
        <w:gridCol w:w="90"/>
        <w:gridCol w:w="90"/>
        <w:gridCol w:w="598"/>
        <w:gridCol w:w="1286"/>
        <w:gridCol w:w="125"/>
        <w:gridCol w:w="90"/>
        <w:gridCol w:w="182"/>
        <w:gridCol w:w="893"/>
        <w:gridCol w:w="316"/>
      </w:tblGrid>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8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0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22,106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22,106</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9,985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9,985</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5,994</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50,919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50,912</w:t>
            </w:r>
          </w:p>
        </w:tc>
        <w:tc>
          <w:tcPr>
            <w:tcW w:w="316" w:type="dxa"/>
            <w:tcBorders/>
            <w:vAlign w:val="center"/>
          </w:tcPr>
          <w:p>
            <w:pPr>
              <w:pStyle w:val="TableContents"/>
              <w:bidi w:val="0"/>
              <w:spacing w:before="0" w:after="283"/>
              <w:ind w:left="0" w:right="0" w:firstLine="176"/>
              <w:jc w:val="left"/>
              <w:rPr/>
            </w:pPr>
            <w:r>
              <w:rPr/>
              <w:t> </w:t>
            </w:r>
          </w:p>
        </w:tc>
      </w:tr>
      <w:tr>
        <w:trPr/>
        <w:tc>
          <w:tcPr>
            <w:tcW w:w="3013"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89,004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88,997</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199,445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199,626</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20,588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20,600</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16,987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16,988</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20,668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20,688</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257,688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tcMar>
              <w:bottom w:w="28" w:type="dxa"/>
            </w:tcMar>
            <w:vAlign w:val="center"/>
          </w:tcPr>
          <w:p>
            <w:pPr>
              <w:pStyle w:val="TableContents"/>
              <w:bidi w:val="0"/>
              <w:spacing w:before="0" w:after="283"/>
              <w:jc w:val="right"/>
              <w:rPr/>
            </w:pPr>
            <w:r>
              <w:rPr/>
              <w:t>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257,902</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80,409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80,412</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47,952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47,922</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23,424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tcMar>
              <w:bottom w:w="28" w:type="dxa"/>
            </w:tcMar>
            <w:vAlign w:val="center"/>
          </w:tcPr>
          <w:p>
            <w:pPr>
              <w:pStyle w:val="TableContents"/>
              <w:bidi w:val="0"/>
              <w:spacing w:before="0" w:after="283"/>
              <w:jc w:val="right"/>
              <w:rPr/>
            </w:pPr>
            <w:r>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23,429</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151,785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151,763</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498,477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0" w:type="dxa"/>
            <w:tcBorders>
              <w:bottom w:val="double" w:sz="10" w:space="0" w:color="000000"/>
            </w:tcBorders>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tcMar>
              <w:bottom w:w="28" w:type="dxa"/>
            </w:tcMar>
            <w:vAlign w:val="center"/>
          </w:tcPr>
          <w:p>
            <w:pPr>
              <w:pStyle w:val="TableContents"/>
              <w:bidi w:val="0"/>
              <w:spacing w:before="0" w:after="283"/>
              <w:jc w:val="right"/>
              <w:rPr/>
            </w:pPr>
            <w:r>
              <w:rPr/>
              <w:t>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tcMar>
              <w:bottom w:w="28" w:type="dxa"/>
            </w:tcMar>
            <w:vAlign w:val="center"/>
          </w:tcPr>
          <w:p>
            <w:pPr>
              <w:pStyle w:val="TableContents"/>
              <w:bidi w:val="0"/>
              <w:spacing w:before="0" w:after="283"/>
              <w:jc w:val="right"/>
              <w:rPr/>
            </w:pPr>
            <w:r>
              <w:rPr/>
              <w:t>498,662</w:t>
            </w:r>
          </w:p>
        </w:tc>
        <w:tc>
          <w:tcPr>
            <w:tcW w:w="316"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3"/>
        <w:gridCol w:w="90"/>
        <w:gridCol w:w="239"/>
        <w:gridCol w:w="1169"/>
        <w:gridCol w:w="90"/>
        <w:gridCol w:w="90"/>
        <w:gridCol w:w="680"/>
        <w:gridCol w:w="1164"/>
        <w:gridCol w:w="90"/>
        <w:gridCol w:w="90"/>
        <w:gridCol w:w="489"/>
        <w:gridCol w:w="1395"/>
        <w:gridCol w:w="125"/>
        <w:gridCol w:w="90"/>
        <w:gridCol w:w="182"/>
        <w:gridCol w:w="893"/>
        <w:gridCol w:w="316"/>
      </w:tblGrid>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8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0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6,350</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19,656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19,660</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3,988</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22,180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316" w:type="dxa"/>
            <w:tcBorders/>
            <w:vAlign w:val="center"/>
          </w:tcPr>
          <w:p>
            <w:pPr>
              <w:pStyle w:val="TableContents"/>
              <w:bidi w:val="0"/>
              <w:spacing w:before="0" w:after="283"/>
              <w:ind w:left="0" w:right="0" w:firstLine="176"/>
              <w:jc w:val="left"/>
              <w:rPr/>
            </w:pPr>
            <w:r>
              <w:rPr/>
              <w:t> </w:t>
            </w:r>
          </w:p>
        </w:tc>
      </w:tr>
      <w:tr>
        <w:trPr/>
        <w:tc>
          <w:tcPr>
            <w:tcW w:w="3013"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52,174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190,748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190,792</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12,967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12,966</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34,808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34,811</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75,537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314,060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13,639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13,607</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4,485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18,124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384,358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(111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3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available-for-sale securities in an unrealized loss position, aggregated by major security type and length of time in a continuous unrealized loss position, for which an allowance for credit losses was not recorded as of September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7"/>
        <w:gridCol w:w="90"/>
        <w:gridCol w:w="182"/>
        <w:gridCol w:w="892"/>
        <w:gridCol w:w="96"/>
        <w:gridCol w:w="96"/>
        <w:gridCol w:w="438"/>
        <w:gridCol w:w="943"/>
        <w:gridCol w:w="125"/>
        <w:gridCol w:w="90"/>
        <w:gridCol w:w="353"/>
        <w:gridCol w:w="448"/>
        <w:gridCol w:w="115"/>
        <w:gridCol w:w="115"/>
        <w:gridCol w:w="509"/>
        <w:gridCol w:w="872"/>
        <w:gridCol w:w="90"/>
        <w:gridCol w:w="90"/>
        <w:gridCol w:w="177"/>
        <w:gridCol w:w="867"/>
        <w:gridCol w:w="90"/>
        <w:gridCol w:w="90"/>
        <w:gridCol w:w="438"/>
        <w:gridCol w:w="943"/>
        <w:gridCol w:w="179"/>
      </w:tblGrid>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47,435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47,435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(7</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40,679</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40,679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(5</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44,290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44,290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(26</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39,462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39,462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(32</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tcMar>
              <w:bottom w:w="28" w:type="dxa"/>
            </w:tcMar>
            <w:vAlign w:val="center"/>
          </w:tcPr>
          <w:p>
            <w:pPr>
              <w:pStyle w:val="TableContents"/>
              <w:bidi w:val="0"/>
              <w:spacing w:before="0" w:after="283"/>
              <w:jc w:val="right"/>
              <w:rPr/>
            </w:pPr>
            <w:r>
              <w:rPr/>
              <w:t>11,415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bottom w:val="single" w:sz="12" w:space="0" w:color="000000"/>
            </w:tcBorders>
            <w:tcMar>
              <w:bottom w:w="28" w:type="dxa"/>
            </w:tcMar>
            <w:vAlign w:val="center"/>
          </w:tcPr>
          <w:p>
            <w:pPr>
              <w:pStyle w:val="TableContents"/>
              <w:bidi w:val="0"/>
              <w:spacing w:before="0" w:after="283"/>
              <w:jc w:val="left"/>
              <w:rPr/>
            </w:pPr>
            <w:r>
              <w:rPr/>
              <w:t> </w:t>
            </w:r>
          </w:p>
        </w:tc>
        <w:tc>
          <w:tcPr>
            <w:tcW w:w="448" w:type="dxa"/>
            <w:tcBorders>
              <w:bottom w:val="single" w:sz="12" w:space="0" w:color="000000"/>
            </w:tcBorders>
            <w:tcMar>
              <w:bottom w:w="28" w:type="dxa"/>
            </w:tcMar>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tcMar>
              <w:bottom w:w="28" w:type="dxa"/>
            </w:tcMar>
            <w:vAlign w:val="center"/>
          </w:tcPr>
          <w:p>
            <w:pPr>
              <w:pStyle w:val="TableContents"/>
              <w:bidi w:val="0"/>
              <w:spacing w:before="0" w:after="283"/>
              <w:jc w:val="right"/>
              <w:rPr/>
            </w:pPr>
            <w:r>
              <w:rPr/>
              <w:t>11,415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pPr>
            <w:r>
              <w:rPr/>
              <w:t>183,281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pPr>
            <w:r>
              <w:rPr/>
              <w:t>(80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7" w:type="dxa"/>
            <w:tcBorders>
              <w:bottom w:val="double" w:sz="10" w:space="0" w:color="000000"/>
            </w:tcBorders>
            <w:shd w:fill="CCEEFF" w:val="clear"/>
            <w:tcMar>
              <w:bottom w:w="28" w:type="dxa"/>
            </w:tcMar>
            <w:vAlign w:val="center"/>
          </w:tcPr>
          <w:p>
            <w:pPr>
              <w:pStyle w:val="TableContents"/>
              <w:bidi w:val="0"/>
              <w:spacing w:before="0" w:after="283"/>
              <w:jc w:val="right"/>
              <w:rPr/>
            </w:pPr>
            <w:r>
              <w:rPr/>
              <w:t>183,281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pPr>
            <w:r>
              <w:rPr/>
              <w:t>(80</w:t>
            </w:r>
          </w:p>
        </w:tc>
        <w:tc>
          <w:tcPr>
            <w:tcW w:w="17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4"/>
        <w:gridCol w:w="90"/>
        <w:gridCol w:w="183"/>
        <w:gridCol w:w="896"/>
        <w:gridCol w:w="96"/>
        <w:gridCol w:w="96"/>
        <w:gridCol w:w="301"/>
        <w:gridCol w:w="859"/>
        <w:gridCol w:w="125"/>
        <w:gridCol w:w="90"/>
        <w:gridCol w:w="176"/>
        <w:gridCol w:w="924"/>
        <w:gridCol w:w="90"/>
        <w:gridCol w:w="90"/>
        <w:gridCol w:w="186"/>
        <w:gridCol w:w="974"/>
        <w:gridCol w:w="90"/>
        <w:gridCol w:w="90"/>
        <w:gridCol w:w="181"/>
        <w:gridCol w:w="888"/>
        <w:gridCol w:w="90"/>
        <w:gridCol w:w="90"/>
        <w:gridCol w:w="301"/>
        <w:gridCol w:w="859"/>
        <w:gridCol w:w="176"/>
      </w:tblGrid>
      <w:tr>
        <w:trPr/>
        <w:tc>
          <w:tcPr>
            <w:tcW w:w="2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7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76" w:type="dxa"/>
            <w:tcBorders/>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6" w:type="dxa"/>
            <w:tcBorders/>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76" w:type="dxa"/>
            <w:tcBorders/>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18,199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18,199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(3</w:t>
            </w:r>
          </w:p>
        </w:tc>
        <w:tc>
          <w:tcPr>
            <w:tcW w:w="176" w:type="dxa"/>
            <w:tcBorders/>
            <w:shd w:fill="CCEEFF" w:val="clear"/>
            <w:vAlign w:val="center"/>
          </w:tcPr>
          <w:p>
            <w:pPr>
              <w:pStyle w:val="TableContents"/>
              <w:bidi w:val="0"/>
              <w:spacing w:before="0" w:after="283"/>
              <w:jc w:val="left"/>
              <w:rPr/>
            </w:pPr>
            <w:r>
              <w:rPr/>
              <w:t>)</w:t>
            </w:r>
          </w:p>
        </w:tc>
      </w:tr>
      <w:tr>
        <w:trPr/>
        <w:tc>
          <w:tcPr>
            <w:tcW w:w="2264"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49,904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49,904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(11</w:t>
            </w:r>
          </w:p>
        </w:tc>
        <w:tc>
          <w:tcPr>
            <w:tcW w:w="176" w:type="dxa"/>
            <w:tcBorders/>
            <w:vAlign w:val="center"/>
          </w:tcPr>
          <w:p>
            <w:pPr>
              <w:pStyle w:val="TableContents"/>
              <w:bidi w:val="0"/>
              <w:spacing w:before="0" w:after="283"/>
              <w:jc w:val="left"/>
              <w:rPr/>
            </w:pPr>
            <w:r>
              <w:rPr/>
              <w:t>)</w:t>
            </w:r>
          </w:p>
        </w:tc>
      </w:tr>
      <w:tr>
        <w:trPr/>
        <w:tc>
          <w:tcPr>
            <w:tcW w:w="2264"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4,713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4,713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w:t>
            </w:r>
          </w:p>
        </w:tc>
        <w:tc>
          <w:tcPr>
            <w:tcW w:w="176" w:type="dxa"/>
            <w:tcBorders/>
            <w:shd w:fill="CCEEFF" w:val="clear"/>
            <w:vAlign w:val="center"/>
          </w:tcPr>
          <w:p>
            <w:pPr>
              <w:pStyle w:val="TableContents"/>
              <w:bidi w:val="0"/>
              <w:spacing w:before="0" w:after="283"/>
              <w:jc w:val="left"/>
              <w:rPr/>
            </w:pPr>
            <w:r>
              <w:rPr/>
              <w:t>)</w:t>
            </w:r>
          </w:p>
        </w:tc>
      </w:tr>
      <w:tr>
        <w:trPr/>
        <w:tc>
          <w:tcPr>
            <w:tcW w:w="2264"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39,468</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39,468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(40</w:t>
            </w:r>
          </w:p>
        </w:tc>
        <w:tc>
          <w:tcPr>
            <w:tcW w:w="176" w:type="dxa"/>
            <w:tcBorders/>
            <w:vAlign w:val="center"/>
          </w:tcPr>
          <w:p>
            <w:pPr>
              <w:pStyle w:val="TableContents"/>
              <w:bidi w:val="0"/>
              <w:spacing w:before="0" w:after="283"/>
              <w:jc w:val="left"/>
              <w:rPr/>
            </w:pPr>
            <w:r>
              <w:rPr/>
              <w:t>)</w:t>
            </w:r>
          </w:p>
        </w:tc>
      </w:tr>
      <w:tr>
        <w:trPr/>
        <w:tc>
          <w:tcPr>
            <w:tcW w:w="2264"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13,607</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(32</w:t>
            </w:r>
          </w:p>
        </w:tc>
        <w:tc>
          <w:tcPr>
            <w:tcW w:w="176" w:type="dxa"/>
            <w:tcBorders/>
            <w:vAlign w:val="center"/>
          </w:tcPr>
          <w:p>
            <w:pPr>
              <w:pStyle w:val="TableContents"/>
              <w:bidi w:val="0"/>
              <w:spacing w:before="0" w:after="283"/>
              <w:jc w:val="left"/>
              <w:rPr/>
            </w:pPr>
            <w:r>
              <w:rPr/>
              <w:t>)</w:t>
            </w:r>
          </w:p>
        </w:tc>
      </w:tr>
      <w:tr>
        <w:trPr/>
        <w:tc>
          <w:tcPr>
            <w:tcW w:w="2264"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76" w:type="dxa"/>
            <w:tcBorders/>
            <w:shd w:fill="CCEEFF" w:val="clear"/>
            <w:vAlign w:val="center"/>
          </w:tcPr>
          <w:p>
            <w:pPr>
              <w:pStyle w:val="TableContents"/>
              <w:bidi w:val="0"/>
              <w:spacing w:before="0" w:after="283"/>
              <w:jc w:val="left"/>
              <w:rPr/>
            </w:pPr>
            <w:r>
              <w:rPr/>
              <w:t>)</w:t>
            </w:r>
          </w:p>
        </w:tc>
      </w:tr>
      <w:tr>
        <w:trPr/>
        <w:tc>
          <w:tcPr>
            <w:tcW w:w="2264"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896"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92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7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double" w:sz="10" w:space="0" w:color="000000"/>
            </w:tcBorders>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76"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periods presented. Given the Company’s intent and ability to hold such securities until recovery, and the lack of significant change in credit risk of these investments, the Company does not consider these marketable securities to be impaired as of September 30, 2025 and December 31, 2024. As of September 30, 2025 and December 31, 2024, the Company did not record an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contractual maturities of the Company’s marketable securities at estimated fair value (in thousands):</w:t>
      </w:r>
    </w:p>
    <w:p>
      <w:pPr>
        <w:pStyle w:val="TextBody"/>
        <w:bidi w:val="0"/>
        <w:spacing w:before="0" w:after="0"/>
        <w:ind w:left="0" w:right="0" w:hanging="0"/>
        <w:jc w:val="both"/>
        <w:rPr>
          <w:caps w:val="false"/>
          <w:smallCaps w:val="false"/>
        </w:rPr>
      </w:pPr>
      <w:r>
        <w:rPr>
          <w:caps w:val="false"/>
          <w:smallCaps w:val="false"/>
        </w:rPr>
        <w:t> </w:t>
      </w:r>
    </w:p>
    <w:tbl>
      <w:tblPr>
        <w:tblW w:w="5713" w:type="dxa"/>
        <w:jc w:val="left"/>
        <w:tblInd w:w="0" w:type="dxa"/>
        <w:tblLayout w:type="fixed"/>
        <w:tblCellMar>
          <w:top w:w="0" w:type="dxa"/>
          <w:left w:w="0" w:type="dxa"/>
          <w:bottom w:w="0" w:type="dxa"/>
          <w:right w:w="0" w:type="dxa"/>
        </w:tblCellMar>
      </w:tblPr>
      <w:tblGrid>
        <w:gridCol w:w="2240"/>
        <w:gridCol w:w="90"/>
        <w:gridCol w:w="265"/>
        <w:gridCol w:w="1299"/>
        <w:gridCol w:w="90"/>
        <w:gridCol w:w="90"/>
        <w:gridCol w:w="255"/>
        <w:gridCol w:w="1249"/>
        <w:gridCol w:w="135"/>
      </w:tblGrid>
      <w:tr>
        <w:trPr/>
        <w:tc>
          <w:tcPr>
            <w:tcW w:w="2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Due in one year or less</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257,902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314,073</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Due in 1-2 years</w:t>
            </w:r>
          </w:p>
        </w:tc>
        <w:tc>
          <w:tcPr>
            <w:tcW w:w="90" w:type="dxa"/>
            <w:tcBorders/>
            <w:vAlign w:val="center"/>
          </w:tcPr>
          <w:p>
            <w:pPr>
              <w:pStyle w:val="TableContents"/>
              <w:bidi w:val="0"/>
              <w:spacing w:before="0" w:after="283"/>
              <w:jc w:val="lef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tcMar>
              <w:bottom w:w="28" w:type="dxa"/>
            </w:tcMar>
            <w:vAlign w:val="center"/>
          </w:tcPr>
          <w:p>
            <w:pPr>
              <w:pStyle w:val="TableContents"/>
              <w:bidi w:val="0"/>
              <w:spacing w:before="0" w:after="283"/>
              <w:jc w:val="right"/>
              <w:rPr/>
            </w:pPr>
            <w:r>
              <w:rPr/>
              <w:t>151,763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pPr>
            <w:r>
              <w:rPr/>
              <w:t>409,665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332,142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accrued expenses and other current liabilities (in thousands):</w:t>
      </w:r>
    </w:p>
    <w:p>
      <w:pPr>
        <w:pStyle w:val="TextBody"/>
        <w:bidi w:val="0"/>
        <w:spacing w:before="0" w:after="0"/>
        <w:ind w:left="0" w:right="0" w:hanging="0"/>
        <w:jc w:val="left"/>
        <w:rPr>
          <w:caps w:val="false"/>
          <w:smallCaps w:val="false"/>
        </w:rPr>
      </w:pPr>
      <w:r>
        <w:rPr>
          <w:caps w:val="false"/>
          <w:smallCaps w:val="false"/>
        </w:rPr>
        <w:t> </w:t>
      </w:r>
    </w:p>
    <w:tbl>
      <w:tblPr>
        <w:tblW w:w="7829" w:type="dxa"/>
        <w:jc w:val="left"/>
        <w:tblInd w:w="0" w:type="dxa"/>
        <w:tblLayout w:type="fixed"/>
        <w:tblCellMar>
          <w:top w:w="0" w:type="dxa"/>
          <w:left w:w="0" w:type="dxa"/>
          <w:bottom w:w="0" w:type="dxa"/>
          <w:right w:w="0" w:type="dxa"/>
        </w:tblCellMar>
      </w:tblPr>
      <w:tblGrid>
        <w:gridCol w:w="4415"/>
        <w:gridCol w:w="90"/>
        <w:gridCol w:w="336"/>
        <w:gridCol w:w="1169"/>
        <w:gridCol w:w="90"/>
        <w:gridCol w:w="90"/>
        <w:gridCol w:w="336"/>
        <w:gridCol w:w="1168"/>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research and development</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1,084</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Accrued employee compensation and benefits</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2,041</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professional and consulting</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221</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8,648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3,346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 Payable with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entered into a Series A Preferred Stock and Convertible Note Purchase Agreement (the “Purchase Agreement”) with Fairmount Healthcare Fund II, L.P. (“Fairmount”), whereby Pre-Merger Oruka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Derivatives and Hedging, and as a result, did not require separate accounting as a derivative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debt issuance costs of less than $0.1 million in relation to the Convertible Note. The debt issuance costs were reflected as a reduction of the carrying value of Convertible Note on the consolidated balance sheet and were being amortized as interest expense over the term of the Convertible Note using the effective interest method. For the three months ended September 30, 2024 and the period from February 6, 2024 (inception) to September 30, 2024, the Company recognized interest expenses related to the Convertible Note of $0.5 million and $1.5 million, respectively, which included non-cash interest expense related to the amortization of debt issuance. As of December 31, 2024 and September 30, 2025, the Convertible Note was not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Convertible Preferred Stock and Stockholders’ Equity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and after the Closing, are now exercisable for 5,522,207 shares of the Company Common Stock at an exercise price of $0.01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2024 PIPE Financing, the Company issued and sold 680,000 pre-funded warrants, at a purchase price of $22.999 per warrant, exercisable for 680,000 shares of Company Common Stock at an exercise price of $0.001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in connection with the 2025 PIPE Financing, the Company issued and sold 1,066,666 pre-funded warrants, at a purchase price of $14.999 per warrant, exercisable for 1,066,666 shares of Company Common Stock at an exercise price of $0.001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recorded as a component of stockholders’ equity within additional paid-in-capital and have no expiration date. Collectively, 7,268,873 and 6,202,207 pre-funded warrants were outstanding as of September 30, 2025 and December 31, 2024, respectively.</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 provided for, among other things, the issuance of warrants to certain of Pre-Merger Oruka’s employees and directors immediately prior to the Closing. During the period from February 6, 2024 (inception) to December 31, 2024, 3,054,358 employee warrants were issued at an exercise price of $7.80 per warrant. These warrants vest over a period of four years. The Company recognizes compensation cost related to warrants on a straight-line basis over the requisite service period, which is the period in which the related services are received. 3,054,358 warrants were outstanding as of September 30, 2025 and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issued and sold an aggregate of 20,000,000 shares of Pre-Merger Oruka Series A Preferred Stock to Fairmount,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upon Closing, the Pre-Merger Oruka Series A Preferred Stock converted to 137,138 shares of Company Series B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2024 PIPE Financing, the Company issued and sold an aggregate of 2,439 shares of the Company Series A Preferred Stock at a purchase price of $23,000.00 per share. In November 2024, the 2,439 shares of the Company Series A Preferred Stock were converted to 2,439,000 shares of Company Common Stock. As of September 30, 2025 and December 31, 2024, there were no outstanding shares of Company Series A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Company Series B Preferred Stock consisted of the following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3380"/>
        <w:gridCol w:w="90"/>
        <w:gridCol w:w="117"/>
        <w:gridCol w:w="1088"/>
        <w:gridCol w:w="90"/>
        <w:gridCol w:w="90"/>
        <w:gridCol w:w="135"/>
        <w:gridCol w:w="1249"/>
        <w:gridCol w:w="90"/>
        <w:gridCol w:w="90"/>
        <w:gridCol w:w="222"/>
        <w:gridCol w:w="773"/>
        <w:gridCol w:w="90"/>
        <w:gridCol w:w="90"/>
        <w:gridCol w:w="111"/>
        <w:gridCol w:w="1393"/>
        <w:gridCol w:w="135"/>
      </w:tblGrid>
      <w:tr>
        <w:trPr/>
        <w:tc>
          <w:tcPr>
            <w:tcW w:w="33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 xml:space="preserve">Stock Issued </w:t>
              <w:br/>
              <w:t>and</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Stock Issuable</w:t>
              <w:br/>
              <w:t>Upon</w:t>
              <w:br/>
              <w:t>Conversion</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Company Series B Preferred Stock</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251,504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11,428,149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September 30, 2025, each outstanding share of Company Series B Preferred Stock was convertible into common stock at a ratio of approximately 83.3332:1.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Paruka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settled its 2024 obligations under the Paruka Warrant Obligation (defined below) by issuing Paruka Holding LLC (“Paruka”) a warrant to purchase 596,930 shares of Company Common Stock at an exercise price of $19.39 per share. The warrant has a term of 10 years, is fully vested, and is exercisable in part or full at any time during the term of the warrant. As of September 30, 2025, the warrant issued to settle the 2024 Paruka Warrant Obligation was outstanding and unexercised. See Note 8 for additional information on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Certificate of Incorporation provided for 545,000,000 authorized shares of Company Common Stock. As of September 30, 2025, 48,384,150 shares of Company Common Stock were issued and outstanding, including 2,207,553 shares of restricted common stock awards (“RSAs”) issued and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 Company had common stock reserved for future issuance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5"/>
        <w:gridCol w:w="90"/>
        <w:gridCol w:w="114"/>
        <w:gridCol w:w="1442"/>
        <w:gridCol w:w="90"/>
        <w:gridCol w:w="90"/>
        <w:gridCol w:w="109"/>
        <w:gridCol w:w="1387"/>
        <w:gridCol w:w="138"/>
      </w:tblGrid>
      <w:tr>
        <w:trPr/>
        <w:tc>
          <w:tcPr>
            <w:tcW w:w="6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8" w:type="dxa"/>
            <w:tcBorders/>
            <w:vAlign w:val="center"/>
          </w:tcPr>
          <w:p>
            <w:pPr>
              <w:pStyle w:val="TableContents"/>
              <w:bidi w:val="0"/>
              <w:spacing w:before="0" w:after="283"/>
              <w:jc w:val="left"/>
              <w:rPr/>
            </w:pPr>
            <w:r>
              <w:rPr/>
              <w:t> </w:t>
            </w:r>
          </w:p>
        </w:tc>
      </w:tr>
      <w:tr>
        <w:trPr/>
        <w:tc>
          <w:tcPr>
            <w:tcW w:w="6745" w:type="dxa"/>
            <w:tcBorders/>
            <w:shd w:fill="CCEEFF" w:val="clear"/>
            <w:vAlign w:val="center"/>
          </w:tcPr>
          <w:p>
            <w:pPr>
              <w:pStyle w:val="TableContents"/>
              <w:bidi w:val="0"/>
              <w:spacing w:before="0" w:after="283"/>
              <w:jc w:val="left"/>
              <w:rPr/>
            </w:pPr>
            <w:r>
              <w:rPr/>
              <w:t>Shares issuable on conversion of Company Series B Preferred Stock</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11,428,149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11,428,149</w:t>
            </w:r>
          </w:p>
        </w:tc>
        <w:tc>
          <w:tcPr>
            <w:tcW w:w="138" w:type="dxa"/>
            <w:tcBorders/>
            <w:shd w:fill="CCEEFF" w:val="clear"/>
            <w:vAlign w:val="center"/>
          </w:tcPr>
          <w:p>
            <w:pPr>
              <w:pStyle w:val="TableContents"/>
              <w:bidi w:val="0"/>
              <w:spacing w:before="0" w:after="283"/>
              <w:jc w:val="left"/>
              <w:rPr/>
            </w:pPr>
            <w:r>
              <w:rPr/>
              <w:t> </w:t>
            </w:r>
          </w:p>
        </w:tc>
      </w:tr>
      <w:tr>
        <w:trPr/>
        <w:tc>
          <w:tcPr>
            <w:tcW w:w="6745" w:type="dxa"/>
            <w:tcBorders/>
            <w:vAlign w:val="center"/>
          </w:tcPr>
          <w:p>
            <w:pPr>
              <w:pStyle w:val="TableContents"/>
              <w:bidi w:val="0"/>
              <w:spacing w:before="0" w:after="283"/>
              <w:jc w:val="left"/>
              <w:rPr/>
            </w:pPr>
            <w:r>
              <w:rPr/>
              <w:t>Shares issuable upon exercise of pre-funded warrants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7,268,873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6,202,207</w:t>
            </w:r>
          </w:p>
        </w:tc>
        <w:tc>
          <w:tcPr>
            <w:tcW w:w="138" w:type="dxa"/>
            <w:tcBorders/>
            <w:vAlign w:val="center"/>
          </w:tcPr>
          <w:p>
            <w:pPr>
              <w:pStyle w:val="TableContents"/>
              <w:bidi w:val="0"/>
              <w:spacing w:before="0" w:after="283"/>
              <w:jc w:val="left"/>
              <w:rPr/>
            </w:pPr>
            <w:r>
              <w:rPr/>
              <w:t> </w:t>
            </w:r>
          </w:p>
        </w:tc>
      </w:tr>
      <w:tr>
        <w:trPr/>
        <w:tc>
          <w:tcPr>
            <w:tcW w:w="6745" w:type="dxa"/>
            <w:tcBorders/>
            <w:shd w:fill="CCEEFF" w:val="clear"/>
            <w:vAlign w:val="center"/>
          </w:tcPr>
          <w:p>
            <w:pPr>
              <w:pStyle w:val="TableContents"/>
              <w:bidi w:val="0"/>
              <w:spacing w:before="0" w:after="283"/>
              <w:jc w:val="left"/>
              <w:rPr/>
            </w:pPr>
            <w:r>
              <w:rPr/>
              <w:t>Shares issuable upon exercise of warrant under the Paruka Warrant Obligation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596,930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596,930</w:t>
            </w:r>
          </w:p>
        </w:tc>
        <w:tc>
          <w:tcPr>
            <w:tcW w:w="138" w:type="dxa"/>
            <w:tcBorders/>
            <w:shd w:fill="CCEEFF" w:val="clear"/>
            <w:vAlign w:val="center"/>
          </w:tcPr>
          <w:p>
            <w:pPr>
              <w:pStyle w:val="TableContents"/>
              <w:bidi w:val="0"/>
              <w:spacing w:before="0" w:after="283"/>
              <w:jc w:val="left"/>
              <w:rPr/>
            </w:pPr>
            <w:r>
              <w:rPr/>
              <w:t> </w:t>
            </w:r>
          </w:p>
        </w:tc>
      </w:tr>
      <w:tr>
        <w:trPr/>
        <w:tc>
          <w:tcPr>
            <w:tcW w:w="6745" w:type="dxa"/>
            <w:tcBorders/>
            <w:vAlign w:val="center"/>
          </w:tcPr>
          <w:p>
            <w:pPr>
              <w:pStyle w:val="TableContents"/>
              <w:bidi w:val="0"/>
              <w:spacing w:before="0" w:after="283"/>
              <w:jc w:val="left"/>
              <w:rPr/>
            </w:pPr>
            <w:r>
              <w:rPr/>
              <w:t>Outstanding and issued stock options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3,814,560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1,567,760</w:t>
            </w:r>
          </w:p>
        </w:tc>
        <w:tc>
          <w:tcPr>
            <w:tcW w:w="138" w:type="dxa"/>
            <w:tcBorders/>
            <w:vAlign w:val="center"/>
          </w:tcPr>
          <w:p>
            <w:pPr>
              <w:pStyle w:val="TableContents"/>
              <w:bidi w:val="0"/>
              <w:spacing w:before="0" w:after="283"/>
              <w:jc w:val="left"/>
              <w:rPr/>
            </w:pPr>
            <w:r>
              <w:rPr/>
              <w:t> </w:t>
            </w:r>
          </w:p>
        </w:tc>
      </w:tr>
      <w:tr>
        <w:trPr/>
        <w:tc>
          <w:tcPr>
            <w:tcW w:w="6745" w:type="dxa"/>
            <w:tcBorders/>
            <w:shd w:fill="CCEEFF" w:val="clear"/>
            <w:vAlign w:val="center"/>
          </w:tcPr>
          <w:p>
            <w:pPr>
              <w:pStyle w:val="TableContents"/>
              <w:bidi w:val="0"/>
              <w:spacing w:before="0" w:after="283"/>
              <w:jc w:val="left"/>
              <w:rPr/>
            </w:pPr>
            <w:r>
              <w:rPr/>
              <w:t>Outstanding and issued employee warrants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3,054,358</w:t>
            </w:r>
          </w:p>
        </w:tc>
        <w:tc>
          <w:tcPr>
            <w:tcW w:w="138" w:type="dxa"/>
            <w:tcBorders/>
            <w:shd w:fill="CCEEFF" w:val="clear"/>
            <w:vAlign w:val="center"/>
          </w:tcPr>
          <w:p>
            <w:pPr>
              <w:pStyle w:val="TableContents"/>
              <w:bidi w:val="0"/>
              <w:spacing w:before="0" w:after="283"/>
              <w:jc w:val="left"/>
              <w:rPr/>
            </w:pPr>
            <w:r>
              <w:rPr/>
              <w:t> </w:t>
            </w:r>
          </w:p>
        </w:tc>
      </w:tr>
      <w:tr>
        <w:trPr/>
        <w:tc>
          <w:tcPr>
            <w:tcW w:w="6745" w:type="dxa"/>
            <w:tcBorders/>
            <w:vAlign w:val="center"/>
          </w:tcPr>
          <w:p>
            <w:pPr>
              <w:pStyle w:val="TableContents"/>
              <w:bidi w:val="0"/>
              <w:spacing w:before="0" w:after="283"/>
              <w:jc w:val="left"/>
              <w:rPr/>
            </w:pPr>
            <w:r>
              <w:rPr/>
              <w:t>Shares available for grant under 2024 Stock Incentive Plan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4,753,067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4,246,324</w:t>
            </w:r>
          </w:p>
        </w:tc>
        <w:tc>
          <w:tcPr>
            <w:tcW w:w="138" w:type="dxa"/>
            <w:tcBorders/>
            <w:vAlign w:val="center"/>
          </w:tcPr>
          <w:p>
            <w:pPr>
              <w:pStyle w:val="TableContents"/>
              <w:bidi w:val="0"/>
              <w:spacing w:before="0" w:after="283"/>
              <w:jc w:val="left"/>
              <w:rPr/>
            </w:pPr>
            <w:r>
              <w:rPr/>
              <w:t> </w:t>
            </w:r>
          </w:p>
        </w:tc>
      </w:tr>
      <w:tr>
        <w:trPr/>
        <w:tc>
          <w:tcPr>
            <w:tcW w:w="6745" w:type="dxa"/>
            <w:tcBorders/>
            <w:shd w:fill="CCEEFF" w:val="clear"/>
            <w:vAlign w:val="center"/>
          </w:tcPr>
          <w:p>
            <w:pPr>
              <w:pStyle w:val="TableContents"/>
              <w:bidi w:val="0"/>
              <w:spacing w:before="0" w:after="283"/>
              <w:jc w:val="left"/>
              <w:rPr/>
            </w:pPr>
            <w:r>
              <w:rPr/>
              <w:t>Shares available for grant under 2024 Employee Stock Purchase Plan</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2" w:type="dxa"/>
            <w:tcBorders>
              <w:bottom w:val="single" w:sz="12" w:space="0" w:color="000000"/>
            </w:tcBorders>
            <w:shd w:fill="CCEEFF" w:val="clear"/>
            <w:tcMar>
              <w:bottom w:w="28" w:type="dxa"/>
            </w:tcMar>
            <w:vAlign w:val="center"/>
          </w:tcPr>
          <w:p>
            <w:pPr>
              <w:pStyle w:val="TableContents"/>
              <w:bidi w:val="0"/>
              <w:spacing w:before="0" w:after="283"/>
              <w:jc w:val="right"/>
              <w:rPr/>
            </w:pPr>
            <w:r>
              <w:rPr/>
              <w:t>1,001,003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pPr>
            <w:r>
              <w:rPr/>
              <w:t>460,529</w:t>
            </w:r>
          </w:p>
        </w:tc>
        <w:tc>
          <w:tcPr>
            <w:tcW w:w="138" w:type="dxa"/>
            <w:tcBorders/>
            <w:shd w:fill="CCEEFF" w:val="clear"/>
            <w:vAlign w:val="center"/>
          </w:tcPr>
          <w:p>
            <w:pPr>
              <w:pStyle w:val="TableContents"/>
              <w:bidi w:val="0"/>
              <w:spacing w:before="0" w:after="283"/>
              <w:jc w:val="left"/>
              <w:rPr/>
            </w:pPr>
            <w:r>
              <w:rPr/>
              <w:t> </w:t>
            </w:r>
          </w:p>
        </w:tc>
      </w:tr>
      <w:tr>
        <w:trPr/>
        <w:tc>
          <w:tcPr>
            <w:tcW w:w="6745" w:type="dxa"/>
            <w:tcBorders/>
            <w:vAlign w:val="center"/>
          </w:tcPr>
          <w:p>
            <w:pPr>
              <w:pStyle w:val="TableContents"/>
              <w:bidi w:val="0"/>
              <w:spacing w:before="0" w:after="283"/>
              <w:jc w:val="left"/>
              <w:rPr/>
            </w:pPr>
            <w:r>
              <w:rPr/>
              <w:t>Total shares of common stock reserved</w:t>
            </w:r>
          </w:p>
        </w:tc>
        <w:tc>
          <w:tcPr>
            <w:tcW w:w="90" w:type="dxa"/>
            <w:tcBorders/>
            <w:vAlign w:val="center"/>
          </w:tcPr>
          <w:p>
            <w:pPr>
              <w:pStyle w:val="TableContents"/>
              <w:bidi w:val="0"/>
              <w:spacing w:before="0" w:after="283"/>
              <w:jc w:val="left"/>
              <w:rPr/>
            </w:pPr>
            <w:r>
              <w:rPr/>
              <w:t> </w:t>
            </w:r>
          </w:p>
        </w:tc>
        <w:tc>
          <w:tcPr>
            <w:tcW w:w="114" w:type="dxa"/>
            <w:tcBorders>
              <w:bottom w:val="double" w:sz="10" w:space="0" w:color="000000"/>
            </w:tcBorders>
            <w:tcMar>
              <w:bottom w:w="28" w:type="dxa"/>
            </w:tcMar>
            <w:vAlign w:val="center"/>
          </w:tcPr>
          <w:p>
            <w:pPr>
              <w:pStyle w:val="TableContents"/>
              <w:bidi w:val="0"/>
              <w:spacing w:before="0" w:after="283"/>
              <w:jc w:val="left"/>
              <w:rPr/>
            </w:pPr>
            <w:r>
              <w:rPr/>
              <w:t> </w:t>
            </w:r>
          </w:p>
        </w:tc>
        <w:tc>
          <w:tcPr>
            <w:tcW w:w="1442" w:type="dxa"/>
            <w:tcBorders>
              <w:bottom w:val="double" w:sz="10" w:space="0" w:color="000000"/>
            </w:tcBorders>
            <w:tcMar>
              <w:bottom w:w="28" w:type="dxa"/>
            </w:tcMar>
            <w:vAlign w:val="center"/>
          </w:tcPr>
          <w:p>
            <w:pPr>
              <w:pStyle w:val="TableContents"/>
              <w:bidi w:val="0"/>
              <w:spacing w:before="0" w:after="283"/>
              <w:jc w:val="right"/>
              <w:rPr/>
            </w:pPr>
            <w:r>
              <w:rPr/>
              <w:t>31,916,940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7" w:type="dxa"/>
            <w:tcBorders>
              <w:bottom w:val="double" w:sz="10" w:space="0" w:color="000000"/>
            </w:tcBorders>
            <w:tcMar>
              <w:bottom w:w="28" w:type="dxa"/>
            </w:tcMar>
            <w:vAlign w:val="center"/>
          </w:tcPr>
          <w:p>
            <w:pPr>
              <w:pStyle w:val="TableContents"/>
              <w:bidi w:val="0"/>
              <w:spacing w:before="0" w:after="283"/>
              <w:jc w:val="right"/>
              <w:rPr/>
            </w:pPr>
            <w:r>
              <w:rPr/>
              <w:t>27,556,257</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two non-employee stock options were granted with vesting terms less than four years. As of September 30, 2025, 1,179,193 shares were subject to options outstanding under the 2024 Plan and will become available under the 2024 Stock Incentive Plan (defined below) to the extent the options are forfeited or lapse unexercised.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Stock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 An additional 2,753,543 shares became available for issuance under the 2024 Stock Plan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7,388,434 shares were reserved for issuance under the 2024 Stock Plan, of which 4,753,067 shares were available for future grant and 2,635,367 shares were subject to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Employee Stock Purchase Plan (the “ESPP”) became effective in August 2024. Eligible employees may purchase shares of Company Common Stock under the ESPP at 85% of the lower of the fair market value of the Company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 An additional 550,709 shares became available for issuance under the ESPP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nil and 10,235 shares during the three and nine months ended September 30, 2025, respectively, out of the ESPP, and as of September 30, 2025, there were 1,001,003 shares of Company Common Stock available in the pool for future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three and nine months ended September 30, 2025, the three months ended September 30, 2024, and the period from February 6, 2024 (inception) to September 30, 2024, stock-based compensation expense related to the ESPP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Valuation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awards for the three and nine months ended September 30, 2025 and for the three months ended September 30, 2024 and the period from February 6, 2024 (inception) to September 30, 2024:</w:t>
      </w:r>
    </w:p>
    <w:p>
      <w:pPr>
        <w:pStyle w:val="TextBody"/>
        <w:bidi w:val="0"/>
        <w:spacing w:before="0" w:after="0"/>
        <w:ind w:left="0" w:right="0" w:hanging="0"/>
        <w:jc w:val="left"/>
        <w:rPr>
          <w:caps w:val="false"/>
          <w:smallCaps w:val="false"/>
        </w:rPr>
      </w:pPr>
      <w:r>
        <w:rPr>
          <w:caps w:val="false"/>
          <w:smallCaps w:val="false"/>
        </w:rPr>
        <w:t> </w:t>
      </w:r>
    </w:p>
    <w:tbl>
      <w:tblPr>
        <w:tblW w:w="9839" w:type="dxa"/>
        <w:jc w:val="left"/>
        <w:tblInd w:w="0" w:type="dxa"/>
        <w:tblLayout w:type="fixed"/>
        <w:tblCellMar>
          <w:top w:w="0" w:type="dxa"/>
          <w:left w:w="0" w:type="dxa"/>
          <w:bottom w:w="0" w:type="dxa"/>
          <w:right w:w="0" w:type="dxa"/>
        </w:tblCellMar>
      </w:tblPr>
      <w:tblGrid>
        <w:gridCol w:w="2375"/>
        <w:gridCol w:w="90"/>
        <w:gridCol w:w="241"/>
        <w:gridCol w:w="1264"/>
        <w:gridCol w:w="245"/>
        <w:gridCol w:w="90"/>
        <w:gridCol w:w="250"/>
        <w:gridCol w:w="1314"/>
        <w:gridCol w:w="245"/>
        <w:gridCol w:w="90"/>
        <w:gridCol w:w="241"/>
        <w:gridCol w:w="1264"/>
        <w:gridCol w:w="245"/>
        <w:gridCol w:w="90"/>
        <w:gridCol w:w="199"/>
        <w:gridCol w:w="1306"/>
        <w:gridCol w:w="290"/>
      </w:tblGrid>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September 30,</w:t>
              <w:b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 xml:space="preserve">September 30, </w:t>
              <w:br/>
              <w:t>2024</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 to</w:t>
              <w:br/>
              <w:t>September 30,</w:t>
              <w:br/>
              <w:t>2024</w:t>
            </w:r>
          </w:p>
        </w:tc>
        <w:tc>
          <w:tcPr>
            <w:tcW w:w="29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6.1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6.1</w:t>
            </w:r>
          </w:p>
        </w:tc>
        <w:tc>
          <w:tcPr>
            <w:tcW w:w="29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Expected volatility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93.7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97.3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101.0</w:t>
            </w:r>
          </w:p>
        </w:tc>
        <w:tc>
          <w:tcPr>
            <w:tcW w:w="290" w:type="dxa"/>
            <w:tcBorders/>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vAlign w:val="center"/>
          </w:tcPr>
          <w:p>
            <w:pPr>
              <w:pStyle w:val="TableContents"/>
              <w:bidi w:val="0"/>
              <w:spacing w:before="0" w:after="283"/>
              <w:jc w:val="left"/>
              <w:rPr/>
            </w:pPr>
            <w:r>
              <w:rPr/>
              <w:t>Expected dividend yield</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0"/>
              <w:jc w:val="right"/>
              <w:rPr/>
            </w:pPr>
            <w:r>
              <w:rPr/>
              <w:t>—</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under the 2024 Plan and the 2024 Stock Plan for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7"/>
        <w:gridCol w:w="90"/>
        <w:gridCol w:w="107"/>
        <w:gridCol w:w="1203"/>
        <w:gridCol w:w="125"/>
        <w:gridCol w:w="90"/>
        <w:gridCol w:w="237"/>
        <w:gridCol w:w="824"/>
        <w:gridCol w:w="90"/>
        <w:gridCol w:w="90"/>
        <w:gridCol w:w="270"/>
        <w:gridCol w:w="1058"/>
        <w:gridCol w:w="90"/>
        <w:gridCol w:w="90"/>
        <w:gridCol w:w="301"/>
        <w:gridCol w:w="1264"/>
        <w:gridCol w:w="139"/>
      </w:tblGrid>
      <w:tr>
        <w:trPr/>
        <w:tc>
          <w:tcPr>
            <w:tcW w:w="41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Stock</w:t>
              <w:br/>
              <w:t xml:space="preserve">Options </w:t>
              <w:b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39" w:type="dxa"/>
            <w:tcBorders/>
            <w:vAlign w:val="center"/>
          </w:tcPr>
          <w:p>
            <w:pPr>
              <w:pStyle w:val="TableContents"/>
              <w:bidi w:val="0"/>
              <w:spacing w:before="0" w:after="283"/>
              <w:jc w:val="left"/>
              <w:rPr/>
            </w:pPr>
            <w:r>
              <w:rPr/>
              <w:t> </w:t>
            </w:r>
          </w:p>
        </w:tc>
      </w:tr>
      <w:tr>
        <w:trPr/>
        <w:tc>
          <w:tcPr>
            <w:tcW w:w="4137"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1,567,760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11.39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15,470</w:t>
            </w:r>
          </w:p>
        </w:tc>
        <w:tc>
          <w:tcPr>
            <w:tcW w:w="139" w:type="dxa"/>
            <w:tcBorders/>
            <w:shd w:fill="CCEEFF" w:val="clear"/>
            <w:vAlign w:val="center"/>
          </w:tcPr>
          <w:p>
            <w:pPr>
              <w:pStyle w:val="TableContents"/>
              <w:bidi w:val="0"/>
              <w:spacing w:before="0" w:after="283"/>
              <w:jc w:val="left"/>
              <w:rPr/>
            </w:pPr>
            <w:r>
              <w:rPr/>
              <w:t> </w:t>
            </w:r>
          </w:p>
        </w:tc>
      </w:tr>
      <w:tr>
        <w:trPr/>
        <w:tc>
          <w:tcPr>
            <w:tcW w:w="4137"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2,278,800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4" w:type="dxa"/>
            <w:tcBorders/>
            <w:vAlign w:val="center"/>
          </w:tcPr>
          <w:p>
            <w:pPr>
              <w:pStyle w:val="TableContents"/>
              <w:bidi w:val="0"/>
              <w:spacing w:before="0" w:after="283"/>
              <w:jc w:val="right"/>
              <w:rPr/>
            </w:pPr>
            <w:r>
              <w:rPr/>
              <w:t>12.24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4137"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137"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(32,000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4" w:type="dxa"/>
            <w:tcBorders/>
            <w:vAlign w:val="center"/>
          </w:tcPr>
          <w:p>
            <w:pPr>
              <w:pStyle w:val="TableContents"/>
              <w:bidi w:val="0"/>
              <w:spacing w:before="0" w:after="283"/>
              <w:jc w:val="right"/>
              <w:rPr/>
            </w:pPr>
            <w:r>
              <w:rPr/>
              <w:t>10.91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4137" w:type="dxa"/>
            <w:tcBorders/>
            <w:shd w:fill="CCEEFF" w:val="clear"/>
            <w:vAlign w:val="center"/>
          </w:tcPr>
          <w:p>
            <w:pPr>
              <w:pStyle w:val="TableContents"/>
              <w:bidi w:val="0"/>
              <w:spacing w:before="0" w:after="283"/>
              <w:jc w:val="left"/>
              <w:rPr/>
            </w:pPr>
            <w:r>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3,814,560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11.90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30,938</w:t>
            </w:r>
          </w:p>
        </w:tc>
        <w:tc>
          <w:tcPr>
            <w:tcW w:w="139" w:type="dxa"/>
            <w:tcBorders/>
            <w:shd w:fill="CCEEFF" w:val="clear"/>
            <w:vAlign w:val="center"/>
          </w:tcPr>
          <w:p>
            <w:pPr>
              <w:pStyle w:val="TableContents"/>
              <w:bidi w:val="0"/>
              <w:spacing w:before="0" w:after="283"/>
              <w:jc w:val="left"/>
              <w:rPr/>
            </w:pPr>
            <w:r>
              <w:rPr/>
              <w:t> </w:t>
            </w:r>
          </w:p>
        </w:tc>
      </w:tr>
      <w:tr>
        <w:trPr/>
        <w:tc>
          <w:tcPr>
            <w:tcW w:w="4137" w:type="dxa"/>
            <w:tcBorders/>
            <w:vAlign w:val="center"/>
          </w:tcPr>
          <w:p>
            <w:pPr>
              <w:pStyle w:val="TableContents"/>
              <w:bidi w:val="0"/>
              <w:spacing w:before="0" w:after="283"/>
              <w:jc w:val="left"/>
              <w:rPr/>
            </w:pPr>
            <w:r>
              <w:rPr/>
              <w:t>Vested and expected to vest, September 30, 2025</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3,814,560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4" w:type="dxa"/>
            <w:tcBorders/>
            <w:vAlign w:val="center"/>
          </w:tcPr>
          <w:p>
            <w:pPr>
              <w:pStyle w:val="TableContents"/>
              <w:bidi w:val="0"/>
              <w:spacing w:before="0" w:after="283"/>
              <w:jc w:val="right"/>
              <w:rPr/>
            </w:pPr>
            <w:r>
              <w:rPr/>
              <w:t>11.90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30,938</w:t>
            </w:r>
          </w:p>
        </w:tc>
        <w:tc>
          <w:tcPr>
            <w:tcW w:w="139" w:type="dxa"/>
            <w:tcBorders/>
            <w:vAlign w:val="center"/>
          </w:tcPr>
          <w:p>
            <w:pPr>
              <w:pStyle w:val="TableContents"/>
              <w:bidi w:val="0"/>
              <w:spacing w:before="0" w:after="283"/>
              <w:jc w:val="left"/>
              <w:rPr/>
            </w:pPr>
            <w:r>
              <w:rPr/>
              <w:t> </w:t>
            </w:r>
          </w:p>
        </w:tc>
      </w:tr>
      <w:tr>
        <w:trPr/>
        <w:tc>
          <w:tcPr>
            <w:tcW w:w="4137" w:type="dxa"/>
            <w:tcBorders/>
            <w:shd w:fill="CCEEFF" w:val="clear"/>
            <w:vAlign w:val="center"/>
          </w:tcPr>
          <w:p>
            <w:pPr>
              <w:pStyle w:val="TableContents"/>
              <w:bidi w:val="0"/>
              <w:spacing w:before="0" w:after="283"/>
              <w:jc w:val="left"/>
              <w:rPr/>
            </w:pPr>
            <w:r>
              <w:rPr/>
              <w:t>Exercisable, September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730,123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8.99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7,689</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stock options granted during the nine months ended September 30, 2025 was $9.66 per share. Aggregate intrinsic value represents the difference between the estimated fair value of the underlying Company Common Stock and the exercise price of outstanding, in-the-money 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 137,972 and 852,515 RSAs vested during the three and nine months ended September 30, 2025, respectively. For each of the three and nine months ended September 30, 2025, the three months ended September 30, 2024, and the period from February 6, 2024 (inception) to September 30, 2024, stock-based compensation expense related to RSAs was less than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RSA activity for the nine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4220"/>
        <w:gridCol w:w="90"/>
        <w:gridCol w:w="99"/>
        <w:gridCol w:w="1120"/>
        <w:gridCol w:w="125"/>
        <w:gridCol w:w="90"/>
        <w:gridCol w:w="737"/>
        <w:gridCol w:w="1262"/>
        <w:gridCol w:w="135"/>
      </w:tblGrid>
      <w:tr>
        <w:trPr/>
        <w:tc>
          <w:tcPr>
            <w:tcW w:w="4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RSAs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Average </w:t>
              <w:br/>
              <w:t>Grant Date</w:t>
              <w:br/>
              <w:t>Fair Value</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Unvested balance as of December 31, 2024</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2,207,553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(852,515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Unvested balance as of September 30, 2025</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tcMar>
              <w:bottom w:w="28" w:type="dxa"/>
            </w:tcMar>
            <w:vAlign w:val="center"/>
          </w:tcPr>
          <w:p>
            <w:pPr>
              <w:pStyle w:val="TableContents"/>
              <w:bidi w:val="0"/>
              <w:spacing w:before="0" w:after="283"/>
              <w:jc w:val="right"/>
              <w:rPr/>
            </w:pPr>
            <w:r>
              <w:rPr/>
              <w:t>1,355,038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bottom w:val="double" w:sz="10" w:space="0" w:color="000000"/>
            </w:tcBorders>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Agreements and Paruka Warrant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(defined in Note 10 below)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the warrant expected to be granted to Paruka was accounted for as a liability on the balance sheet on the service inception date and, after the initial recognition, the liability is adjusted to fair value at the end of each reporting period, with changes in fair value recorded in the condensed consolidated statement of operations and comprehensive loss as stock-based compensation expense under research and development expenses. For the period from February 6, 2024 (inception) to September 30, 2024, $7.7 million was recognized as stock-based compensation expenses related to the December 31, 2024 Paruka Warrant Obligation. On issuance of the warrant to Paruka on December 31, 2024, the fair value of the warrant issued on December 31, 2024 of $10.4 million was reclassified from liability to equity on the condensed consolidated balance sheet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estimated fair value of the warrant to be granted on December 31, 2025 was $12.9 million. For the three and nine months ended September 30, 2025, $6.6 million and $9.7 million, respectively, was recognized as stock-based compensation expense related to the December 31, 2025 Paruka Warrant Obligation. As of September 30, 2025, there was $3.2 million in unamortized expense related to the December 31, 2025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July 2024, the Subscription Agreement was amended and restated, among other things, for employee warrants to be issued to certain Pre-Merger Oruka employees and directors prior to the Closing. During the period from February 6, 2024 (inception) to December 31, 2024, the Company issued 3,054,358 warrants at an exercise price of $7.80 per warrant, which are accounted as equity in the condensed consolidated financial statements. The employee warrants were subject to performance and service based vesting requirements and upon completion of the Merger the performance-based requirements had been achieved. During the three and nine months ended September 30, 2025, no employee warrants were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employee warrant activity during the nine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9"/>
        <w:gridCol w:w="90"/>
        <w:gridCol w:w="107"/>
        <w:gridCol w:w="1203"/>
        <w:gridCol w:w="90"/>
        <w:gridCol w:w="90"/>
        <w:gridCol w:w="284"/>
        <w:gridCol w:w="789"/>
        <w:gridCol w:w="90"/>
        <w:gridCol w:w="90"/>
        <w:gridCol w:w="271"/>
        <w:gridCol w:w="1058"/>
        <w:gridCol w:w="90"/>
        <w:gridCol w:w="90"/>
        <w:gridCol w:w="301"/>
        <w:gridCol w:w="1265"/>
        <w:gridCol w:w="138"/>
      </w:tblGrid>
      <w:tr>
        <w:trPr/>
        <w:tc>
          <w:tcPr>
            <w:tcW w:w="415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Employee </w:t>
              <w:br/>
              <w:t xml:space="preserve">Warrants </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38" w:type="dxa"/>
            <w:tcBorders/>
            <w:vAlign w:val="center"/>
          </w:tcPr>
          <w:p>
            <w:pPr>
              <w:pStyle w:val="TableContents"/>
              <w:bidi w:val="0"/>
              <w:spacing w:before="0" w:after="283"/>
              <w:jc w:val="left"/>
              <w:rPr/>
            </w:pPr>
            <w:r>
              <w:rPr/>
              <w:t> </w:t>
            </w:r>
          </w:p>
        </w:tc>
      </w:tr>
      <w:tr>
        <w:trPr/>
        <w:tc>
          <w:tcPr>
            <w:tcW w:w="4159"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35,400</w:t>
            </w:r>
          </w:p>
        </w:tc>
        <w:tc>
          <w:tcPr>
            <w:tcW w:w="138" w:type="dxa"/>
            <w:tcBorders/>
            <w:shd w:fill="CCEEFF" w:val="clear"/>
            <w:vAlign w:val="center"/>
          </w:tcPr>
          <w:p>
            <w:pPr>
              <w:pStyle w:val="TableContents"/>
              <w:bidi w:val="0"/>
              <w:spacing w:before="0" w:after="283"/>
              <w:jc w:val="left"/>
              <w:rPr/>
            </w:pPr>
            <w:r>
              <w:rPr/>
              <w:t> </w:t>
            </w:r>
          </w:p>
        </w:tc>
      </w:tr>
      <w:tr>
        <w:trPr/>
        <w:tc>
          <w:tcPr>
            <w:tcW w:w="4159"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59"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159"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59" w:type="dxa"/>
            <w:tcBorders/>
            <w:shd w:fill="CCEEFF" w:val="clear"/>
            <w:vAlign w:val="center"/>
          </w:tcPr>
          <w:p>
            <w:pPr>
              <w:pStyle w:val="TableContents"/>
              <w:bidi w:val="0"/>
              <w:spacing w:before="0" w:after="283"/>
              <w:jc w:val="left"/>
              <w:rPr/>
            </w:pPr>
            <w:r>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34,911</w:t>
            </w:r>
          </w:p>
        </w:tc>
        <w:tc>
          <w:tcPr>
            <w:tcW w:w="138" w:type="dxa"/>
            <w:tcBorders/>
            <w:shd w:fill="CCEEFF" w:val="clear"/>
            <w:vAlign w:val="center"/>
          </w:tcPr>
          <w:p>
            <w:pPr>
              <w:pStyle w:val="TableContents"/>
              <w:bidi w:val="0"/>
              <w:spacing w:before="0" w:after="283"/>
              <w:jc w:val="left"/>
              <w:rPr/>
            </w:pPr>
            <w:r>
              <w:rPr/>
              <w:t> </w:t>
            </w:r>
          </w:p>
        </w:tc>
      </w:tr>
      <w:tr>
        <w:trPr/>
        <w:tc>
          <w:tcPr>
            <w:tcW w:w="4159" w:type="dxa"/>
            <w:tcBorders/>
            <w:vAlign w:val="center"/>
          </w:tcPr>
          <w:p>
            <w:pPr>
              <w:pStyle w:val="TableContents"/>
              <w:bidi w:val="0"/>
              <w:spacing w:before="0" w:after="283"/>
              <w:jc w:val="left"/>
              <w:rPr/>
            </w:pPr>
            <w:r>
              <w:rPr/>
              <w:t>Vested and expected to vest, September 30, 2025</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3,054,358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34,911</w:t>
            </w:r>
          </w:p>
        </w:tc>
        <w:tc>
          <w:tcPr>
            <w:tcW w:w="138" w:type="dxa"/>
            <w:tcBorders/>
            <w:vAlign w:val="center"/>
          </w:tcPr>
          <w:p>
            <w:pPr>
              <w:pStyle w:val="TableContents"/>
              <w:bidi w:val="0"/>
              <w:spacing w:before="0" w:after="283"/>
              <w:jc w:val="left"/>
              <w:rPr/>
            </w:pPr>
            <w:r>
              <w:rPr/>
              <w:t> </w:t>
            </w:r>
          </w:p>
        </w:tc>
      </w:tr>
      <w:tr>
        <w:trPr/>
        <w:tc>
          <w:tcPr>
            <w:tcW w:w="4159" w:type="dxa"/>
            <w:tcBorders/>
            <w:shd w:fill="CCEEFF" w:val="clear"/>
            <w:vAlign w:val="center"/>
          </w:tcPr>
          <w:p>
            <w:pPr>
              <w:pStyle w:val="TableContents"/>
              <w:bidi w:val="0"/>
              <w:spacing w:before="0" w:after="283"/>
              <w:jc w:val="left"/>
              <w:rPr/>
            </w:pPr>
            <w:r>
              <w:rPr/>
              <w:t>Exercisable, September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1,050,013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12,002</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in the condensed consolidated statements of operations and comprehensive loss (in thousands):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2615"/>
        <w:gridCol w:w="90"/>
        <w:gridCol w:w="241"/>
        <w:gridCol w:w="1009"/>
        <w:gridCol w:w="90"/>
        <w:gridCol w:w="90"/>
        <w:gridCol w:w="279"/>
        <w:gridCol w:w="971"/>
        <w:gridCol w:w="90"/>
        <w:gridCol w:w="90"/>
        <w:gridCol w:w="290"/>
        <w:gridCol w:w="1215"/>
        <w:gridCol w:w="90"/>
        <w:gridCol w:w="90"/>
        <w:gridCol w:w="336"/>
        <w:gridCol w:w="1169"/>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September 30,</w:t>
              <w:br/>
              <w:t>2024</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8,341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7,772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14,712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8,310</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pPr>
            <w:r>
              <w:rPr/>
              <w:t>1,824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tcMar>
              <w:bottom w:w="28" w:type="dxa"/>
            </w:tcMar>
            <w:vAlign w:val="center"/>
          </w:tcPr>
          <w:p>
            <w:pPr>
              <w:pStyle w:val="TableContents"/>
              <w:bidi w:val="0"/>
              <w:spacing w:before="0" w:after="283"/>
              <w:jc w:val="right"/>
              <w:rPr/>
            </w:pPr>
            <w:r>
              <w:rPr/>
              <w:t>1,229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5,413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1,459</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pPr>
            <w:r>
              <w:rPr/>
              <w:t>10,165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10" w:space="0" w:color="000000"/>
            </w:tcBorders>
            <w:shd w:fill="CCEEFF" w:val="clear"/>
            <w:tcMar>
              <w:bottom w:w="28" w:type="dxa"/>
            </w:tcMar>
            <w:vAlign w:val="center"/>
          </w:tcPr>
          <w:p>
            <w:pPr>
              <w:pStyle w:val="TableContents"/>
              <w:bidi w:val="0"/>
              <w:spacing w:before="0" w:after="283"/>
              <w:jc w:val="right"/>
              <w:rPr/>
            </w:pPr>
            <w:r>
              <w:rPr/>
              <w:t>9,001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20,125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9,769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total unrecognized compensation cost related to the unvested stock options was $28.0 million, which is expected to be recognized over a weighted average period of approximately 3.1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total unrecognized compensation cost related to the unvested RSAs was less than $0.1 million, which is expected to be recognized over a weighted average period of 2.4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unrecognized compensation cost related to the employee warrants was $12.3 million, which is expected to be recognized over a weighted average period of 2.6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award types of the Company’s stock-based compensation expense in the condensed consolidated statements of operations and comprehensive loss (in thousands): </w:t>
      </w:r>
    </w:p>
    <w:p>
      <w:pPr>
        <w:pStyle w:val="TextBody"/>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945"/>
        <w:gridCol w:w="90"/>
        <w:gridCol w:w="290"/>
        <w:gridCol w:w="1215"/>
        <w:gridCol w:w="90"/>
        <w:gridCol w:w="90"/>
        <w:gridCol w:w="336"/>
        <w:gridCol w:w="1169"/>
        <w:gridCol w:w="90"/>
        <w:gridCol w:w="90"/>
        <w:gridCol w:w="290"/>
        <w:gridCol w:w="1215"/>
        <w:gridCol w:w="90"/>
        <w:gridCol w:w="90"/>
        <w:gridCol w:w="336"/>
        <w:gridCol w:w="1169"/>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September 30,</w:t>
              <w:br/>
              <w:t>2024</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Paruka Warrant Obligation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6,595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7,251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9,684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7,681</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warrants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1,198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3,987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1,314</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2,314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6,333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765</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stock purchase plan</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9</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10,165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9,001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20,125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9,769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Segment Disclosures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one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total consolidated assets. The Company’s long-lived assets consist primarily of property and equipment, net. As of September 30, 2025 and December 31, 2024 all long-lived assets were in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segment loss from operations, including significant segment expenses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3"/>
        <w:gridCol w:w="90"/>
        <w:gridCol w:w="222"/>
        <w:gridCol w:w="1032"/>
        <w:gridCol w:w="125"/>
        <w:gridCol w:w="90"/>
        <w:gridCol w:w="262"/>
        <w:gridCol w:w="1217"/>
        <w:gridCol w:w="125"/>
        <w:gridCol w:w="90"/>
        <w:gridCol w:w="255"/>
        <w:gridCol w:w="1183"/>
        <w:gridCol w:w="125"/>
        <w:gridCol w:w="90"/>
        <w:gridCol w:w="252"/>
        <w:gridCol w:w="1169"/>
        <w:gridCol w:w="175"/>
      </w:tblGrid>
      <w:tr>
        <w:trPr/>
        <w:tc>
          <w:tcPr>
            <w:tcW w:w="370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 September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 xml:space="preserve">February 6, </w:t>
              <w:br/>
              <w:t>2024</w:t>
              <w:br/>
              <w:t xml:space="preserve">(inception) to </w:t>
              <w:br/>
              <w:t>September 30,</w:t>
              <w:br/>
              <w:t>2024</w:t>
            </w:r>
          </w:p>
        </w:tc>
        <w:tc>
          <w:tcPr>
            <w:tcW w:w="175" w:type="dxa"/>
            <w:tcBorders/>
            <w:vAlign w:val="center"/>
          </w:tcPr>
          <w:p>
            <w:pPr>
              <w:pStyle w:val="TableContents"/>
              <w:bidi w:val="0"/>
              <w:spacing w:before="0" w:after="283"/>
              <w:ind w:left="0" w:right="0" w:hanging="180"/>
              <w:jc w:val="left"/>
              <w:rPr/>
            </w:pPr>
            <w:r>
              <w:rPr/>
              <w:t> </w:t>
            </w:r>
          </w:p>
        </w:tc>
      </w:tr>
      <w:tr>
        <w:trPr/>
        <w:tc>
          <w:tcPr>
            <w:tcW w:w="3703" w:type="dxa"/>
            <w:tcBorders/>
            <w:shd w:fill="CCEEFF" w:val="clear"/>
            <w:vAlign w:val="center"/>
          </w:tcPr>
          <w:p>
            <w:pPr>
              <w:pStyle w:val="TableContents"/>
              <w:bidi w:val="0"/>
              <w:spacing w:before="0" w:after="283"/>
              <w:jc w:val="left"/>
              <w:rPr/>
            </w:pPr>
            <w:r>
              <w:rPr/>
              <w:t>Research and development 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3,774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9,538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2,374</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3703" w:type="dxa"/>
            <w:tcBorders/>
            <w:vAlign w:val="center"/>
          </w:tcPr>
          <w:p>
            <w:pPr>
              <w:pStyle w:val="TableContents"/>
              <w:bidi w:val="0"/>
              <w:spacing w:before="0" w:after="283"/>
              <w:jc w:val="left"/>
              <w:rPr/>
            </w:pPr>
            <w:r>
              <w:rPr/>
              <w:t>General and administrative personnel-related (excluding stock-based compensation)</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1,945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1,206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3,131</w:t>
            </w:r>
          </w:p>
        </w:tc>
        <w:tc>
          <w:tcPr>
            <w:tcW w:w="175" w:type="dxa"/>
            <w:tcBorders/>
            <w:vAlign w:val="center"/>
          </w:tcPr>
          <w:p>
            <w:pPr>
              <w:pStyle w:val="TableContents"/>
              <w:bidi w:val="0"/>
              <w:spacing w:before="0" w:after="283"/>
              <w:ind w:left="0" w:right="0" w:hanging="180"/>
              <w:jc w:val="left"/>
              <w:rPr/>
            </w:pPr>
            <w:r>
              <w:rPr/>
              <w:t> </w:t>
            </w:r>
          </w:p>
        </w:tc>
      </w:tr>
      <w:tr>
        <w:trPr/>
        <w:tc>
          <w:tcPr>
            <w:tcW w:w="3703" w:type="dxa"/>
            <w:tcBorders/>
            <w:shd w:fill="CCEEFF" w:val="clear"/>
            <w:vAlign w:val="center"/>
          </w:tcPr>
          <w:p>
            <w:pPr>
              <w:pStyle w:val="TableContents"/>
              <w:bidi w:val="0"/>
              <w:spacing w:before="0" w:after="283"/>
              <w:jc w:val="left"/>
              <w:rPr/>
            </w:pPr>
            <w:r>
              <w:rPr/>
              <w:t>Research and development stock-based compensation</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8,341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7,772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14,712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8,310</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3703" w:type="dxa"/>
            <w:tcBorders/>
            <w:vAlign w:val="center"/>
          </w:tcPr>
          <w:p>
            <w:pPr>
              <w:pStyle w:val="TableContents"/>
              <w:bidi w:val="0"/>
              <w:spacing w:before="0" w:after="283"/>
              <w:jc w:val="left"/>
              <w:rPr/>
            </w:pPr>
            <w:r>
              <w:rPr/>
              <w:t>General and administrative stock-based compensation</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1,824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1,229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5,413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1,459</w:t>
            </w:r>
          </w:p>
        </w:tc>
        <w:tc>
          <w:tcPr>
            <w:tcW w:w="175" w:type="dxa"/>
            <w:tcBorders/>
            <w:vAlign w:val="center"/>
          </w:tcPr>
          <w:p>
            <w:pPr>
              <w:pStyle w:val="TableContents"/>
              <w:bidi w:val="0"/>
              <w:spacing w:before="0" w:after="283"/>
              <w:ind w:left="0" w:right="0" w:hanging="180"/>
              <w:jc w:val="left"/>
              <w:rPr/>
            </w:pPr>
            <w:r>
              <w:rPr/>
              <w:t> </w:t>
            </w:r>
          </w:p>
        </w:tc>
      </w:tr>
      <w:tr>
        <w:trPr/>
        <w:tc>
          <w:tcPr>
            <w:tcW w:w="3703" w:type="dxa"/>
            <w:tcBorders/>
            <w:shd w:fill="CCEEFF" w:val="clear"/>
            <w:vAlign w:val="center"/>
          </w:tcPr>
          <w:p>
            <w:pPr>
              <w:pStyle w:val="TableContents"/>
              <w:bidi w:val="0"/>
              <w:spacing w:before="0" w:after="283"/>
              <w:jc w:val="left"/>
              <w:rPr/>
            </w:pPr>
            <w:r>
              <w:rPr/>
              <w:t>External research and development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15,581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15,908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45,607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37,926</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3703" w:type="dxa"/>
            <w:tcBorders/>
            <w:vAlign w:val="center"/>
          </w:tcPr>
          <w:p>
            <w:pPr>
              <w:pStyle w:val="TableContents"/>
              <w:bidi w:val="0"/>
              <w:spacing w:before="0" w:after="283"/>
              <w:jc w:val="left"/>
              <w:rPr/>
            </w:pPr>
            <w:r>
              <w:rPr/>
              <w:t>Other research and development</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1,292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707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947</w:t>
            </w:r>
          </w:p>
        </w:tc>
        <w:tc>
          <w:tcPr>
            <w:tcW w:w="175" w:type="dxa"/>
            <w:tcBorders/>
            <w:vAlign w:val="center"/>
          </w:tcPr>
          <w:p>
            <w:pPr>
              <w:pStyle w:val="TableContents"/>
              <w:bidi w:val="0"/>
              <w:spacing w:before="0" w:after="283"/>
              <w:ind w:left="0" w:right="0" w:hanging="180"/>
              <w:jc w:val="left"/>
              <w:rPr/>
            </w:pPr>
            <w:r>
              <w:rPr/>
              <w:t> </w:t>
            </w:r>
          </w:p>
        </w:tc>
      </w:tr>
      <w:tr>
        <w:trPr/>
        <w:tc>
          <w:tcPr>
            <w:tcW w:w="3703" w:type="dxa"/>
            <w:tcBorders/>
            <w:shd w:fill="CCEEFF" w:val="clear"/>
            <w:vAlign w:val="center"/>
          </w:tcPr>
          <w:p>
            <w:pPr>
              <w:pStyle w:val="TableContents"/>
              <w:bidi w:val="0"/>
              <w:spacing w:before="0" w:after="283"/>
              <w:jc w:val="left"/>
              <w:rPr/>
            </w:pPr>
            <w:r>
              <w:rPr/>
              <w:t>General and administrative, excluding personnel-related and stock-based compensation</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1,348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1,323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3,851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3,658</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3703"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w:t>
            </w:r>
          </w:p>
        </w:tc>
        <w:tc>
          <w:tcPr>
            <w:tcW w:w="1032" w:type="dxa"/>
            <w:tcBorders>
              <w:bottom w:val="single" w:sz="12" w:space="0" w:color="000000"/>
            </w:tcBorders>
            <w:tcMar>
              <w:bottom w:w="28" w:type="dxa"/>
            </w:tcMar>
            <w:vAlign w:val="center"/>
          </w:tcPr>
          <w:p>
            <w:pPr>
              <w:pStyle w:val="TableContents"/>
              <w:bidi w:val="0"/>
              <w:spacing w:before="0" w:after="283"/>
              <w:jc w:val="right"/>
              <w:rPr/>
            </w:pPr>
            <w:r>
              <w:rPr/>
              <w:t>34,105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w:t>
            </w:r>
          </w:p>
        </w:tc>
        <w:tc>
          <w:tcPr>
            <w:tcW w:w="1217" w:type="dxa"/>
            <w:tcBorders>
              <w:bottom w:val="single" w:sz="12" w:space="0" w:color="000000"/>
            </w:tcBorders>
            <w:tcMar>
              <w:bottom w:w="28" w:type="dxa"/>
            </w:tcMar>
            <w:vAlign w:val="center"/>
          </w:tcPr>
          <w:p>
            <w:pPr>
              <w:pStyle w:val="TableContents"/>
              <w:bidi w:val="0"/>
              <w:spacing w:before="0" w:after="283"/>
              <w:jc w:val="right"/>
              <w:rPr/>
            </w:pPr>
            <w:r>
              <w:rPr/>
              <w:t>29,449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87,620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57,805</w:t>
            </w:r>
          </w:p>
        </w:tc>
        <w:tc>
          <w:tcPr>
            <w:tcW w:w="175" w:type="dxa"/>
            <w:tcBorders/>
            <w:vAlign w:val="center"/>
          </w:tcPr>
          <w:p>
            <w:pPr>
              <w:pStyle w:val="TableContents"/>
              <w:bidi w:val="0"/>
              <w:spacing w:before="0" w:after="283"/>
              <w:ind w:left="0" w:right="0" w:hanging="0"/>
              <w:jc w:val="left"/>
              <w:rPr/>
            </w:pPr>
            <w:r>
              <w:rPr/>
              <w:t> </w:t>
            </w:r>
          </w:p>
        </w:tc>
      </w:tr>
      <w:tr>
        <w:trPr/>
        <w:tc>
          <w:tcPr>
            <w:tcW w:w="3703"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pPr>
            <w:r>
              <w:rPr/>
              <w:t>(34,105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CCEEFF" w:val="clear"/>
            <w:tcMar>
              <w:bottom w:w="28" w:type="dxa"/>
            </w:tcMar>
            <w:vAlign w:val="center"/>
          </w:tcPr>
          <w:p>
            <w:pPr>
              <w:pStyle w:val="TableContents"/>
              <w:bidi w:val="0"/>
              <w:spacing w:before="0" w:after="283"/>
              <w:jc w:val="right"/>
              <w:rPr/>
            </w:pPr>
            <w:r>
              <w:rPr/>
              <w:t>(29,449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10" w:space="0" w:color="000000"/>
            </w:tcBorders>
            <w:shd w:fill="CCEEFF" w:val="clear"/>
            <w:tcMar>
              <w:bottom w:w="28" w:type="dxa"/>
            </w:tcMar>
            <w:vAlign w:val="center"/>
          </w:tcPr>
          <w:p>
            <w:pPr>
              <w:pStyle w:val="TableContents"/>
              <w:bidi w:val="0"/>
              <w:spacing w:before="0" w:after="283"/>
              <w:jc w:val="right"/>
              <w:rPr/>
            </w:pPr>
            <w:r>
              <w:rPr/>
              <w:t>(87,620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(57,805</w:t>
            </w:r>
          </w:p>
        </w:tc>
        <w:tc>
          <w:tcPr>
            <w:tcW w:w="17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Option Agreements and License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two antibody discovery and option agreements (the “Option Agreements”) with Paragon Therapeutics, Inc. (“Paragon”) and Paruka. Under the terms of each agreement, Paragon identifies, evaluates, and develops antibodies directed against certain mutually agreed therapeutic targets of interest to the Company. From time to time, the Company can choose to add additional targets to the collaboration upon agreement with Paragon and Paruka. Under the Option Agreements, the Company has the exclusive option to, on a research program-by-research program basis, be granted an exclusive, worldwide license to all of Paragon’s rights, titles, and interest in and to the intellectual property resulting from the applicable research program to develop, manufacture, and commercialize the antibodies and products directed to the selected target(s). The Company has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the Company’s sole discretion at such time as specified in the Option Agreements (the “Option Period”). There is no payment due upon exercise of an Option pursuant to the Option Agreements. For each of these agreements, once the Company enters into the corresponding license agreement, it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any Option Agreement or any Research Program at any time for any or no reason upon 30 days’ prior written notice to Paragon, provided that it must pay certain unpaid fees due to Paragon upon such termination, as well as any non-cancellable obligations reasonably incurred by Paragon in connection with its activities under any terminated Research Program. Paragon may terminate any Option Agreement or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exercised its exclusive option to acquire certain rights to ORKA-001, and in December 2024, it entered into a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its exclusive option to acquire certain rights to ORKA-002,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As of September 30, 2025, the Company has incurred and expensed milestone payments of $7.0 million and $4.0 million in connection with the ORKA-001 License Agreement and the ORKA-002 License Agreement,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part of the Option Agreements,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on a research program-by-research program basis following the finalization of the research plan for each respective research program, the Company is required to pay certain initiation fees, development costs and milestone payments to Paragon. For the ORKA-001 program, the Company recognized research and development expenses related to the following milestones during the period from February 6, 2024 (inception) to December 31, 2024: a one-time, nonrefundable research initiation fee of $0.8 million; $1.5 million related to exercising its option and achievement of development candidate; and $2.5 million related to completing the first dosing of a human subject in a Phase 1 trial. The Company was responsible for 50% of the development costs incurred through the completion of the IL-23 selection process, which was completed in June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ORKA-002 program, the Company recognized research and development expenses related to the following milestones during the period from February 6, 2024 (inception) to December 31, 2024: a one-time, nonrefundable research initiation fee of $0.8 million and $1.5 million related to exercising its option and achievement of development candidate. The Company was responsible for the development costs incurred through the completion of the IL-23 selection process, which was completed in December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for each of the three and nine months ended September 30, 2025, the Company’s share of research and development expenses for the ORKA-001 program were nil. For the three months ended September 30, 2024, and the period from February 6, 2024 (inception) to September 30, 2024, the Company’s share of research and development expenses, including the research initiation fee, incurred for the ORKA-001 program were $0.8 million and $14.0 million, respectively. The Company recognized a milestone payment of $3.0 million related to completing the first dosing of a human patient in a Phase 2 trial milestone during the three and nine months ended September 30, 2025. These costs were recorded as research and development expenses. As of September 30, 2025 and December 31, 2024, nil and $12.4 million, respectively, related to ORKA-001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during the three and nine months ended September 30, 2025, the Company’s share of research and development expenses for the ORKA-002 program was nil and $0.1 million, respectively. For the three months ended September 30, 2024, and the period from February 6, 2024 (inception) to September 30, 2024, the Company’s share of research and development expense, including the research initiation fee, incurred for the ORKA-002 program were $3.8 million and $10.7 million, respectively. The Company recognized a milestone payment of nil and $2.5 million related to completing the first dosing of a human subject in a Phase 1 trial milestone during the three and nine months ended September 30, 2025, respectively. These costs were recorded as research and development expenses. As of September 30, 2025 and December 31, 2024, nil and $2.7 million, respectively, related to ORKA-002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the Company recognized $9.6 million and $15.3 million, respectively, of expenses in connection with services provided by Paragon and Paruka under the Option Agreements. For the three months ended September 30, 2024, and the period from February 6, 2024 (inception) to September 30, 2024, the Company recognized $13.4 million and $33.8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service fees as the associated costs are incurred when the underlying services are rendered. Such amounts are classified within research and development expenses in the accompanying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operating lease agreement for the Company’s headquarters in Menlo Park, California, which commenced on June 15, 2024 with an initial term of 39.5 months. In February 2025, the Company entered into an operating lease agreement in Waltham, Massachusetts, which commenced on April 1, 2025 with an initial term of 54 months. The Company leases office spaces under noncancelable operating lease agreements. Lease liabilities are based on the net present value of the remaining lease payments over the remaining lease terms. In determining the present value of lease payments, the Company used its incremental borrowing rate when measuring operating lease liabilities as discount rates were not implicit or readily determinable.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the Company recorded operating and variable lease expenses of $0.2 million and $0.6 million, respectively, in general and administrative expenses in its condensed consolidated statement of operations and comprehensive loss. For the three months ended September 30, 2024 and the period from February 6, 2024 (inception) to September 30, 2024, the Company recorded operating and variable lease expenses of $0.1 million and $0.2 million, respectively, in general and administrative expenses in its condensed consolidated statement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supplemental cash flow information related to leases (in thousands):</w:t>
      </w:r>
    </w:p>
    <w:p>
      <w:pPr>
        <w:pStyle w:val="TextBody"/>
        <w:bidi w:val="0"/>
        <w:spacing w:before="0" w:after="0"/>
        <w:ind w:left="0" w:right="0" w:hanging="0"/>
        <w:jc w:val="both"/>
        <w:rPr>
          <w:caps w:val="false"/>
          <w:smallCaps w:val="false"/>
        </w:rPr>
      </w:pPr>
      <w:r>
        <w:rPr>
          <w:caps w:val="false"/>
          <w:smallCaps w:val="false"/>
        </w:rPr>
        <w:t> </w:t>
      </w:r>
    </w:p>
    <w:tbl>
      <w:tblPr>
        <w:tblW w:w="8964" w:type="dxa"/>
        <w:jc w:val="left"/>
        <w:tblInd w:w="0" w:type="dxa"/>
        <w:tblLayout w:type="fixed"/>
        <w:tblCellMar>
          <w:top w:w="0" w:type="dxa"/>
          <w:left w:w="0" w:type="dxa"/>
          <w:bottom w:w="0" w:type="dxa"/>
          <w:right w:w="0" w:type="dxa"/>
        </w:tblCellMar>
      </w:tblPr>
      <w:tblGrid>
        <w:gridCol w:w="6635"/>
        <w:gridCol w:w="90"/>
        <w:gridCol w:w="615"/>
        <w:gridCol w:w="1489"/>
        <w:gridCol w:w="135"/>
      </w:tblGrid>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br/>
              <w:t>2025</w:t>
            </w:r>
          </w:p>
        </w:tc>
        <w:tc>
          <w:tcPr>
            <w:tcW w:w="135"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w:t>
            </w:r>
          </w:p>
        </w:tc>
        <w:tc>
          <w:tcPr>
            <w:tcW w:w="1489" w:type="dxa"/>
            <w:tcBorders/>
            <w:shd w:fill="CCEEFF" w:val="clear"/>
            <w:vAlign w:val="center"/>
          </w:tcPr>
          <w:p>
            <w:pPr>
              <w:pStyle w:val="TableContents"/>
              <w:bidi w:val="0"/>
              <w:spacing w:before="0" w:after="283"/>
              <w:jc w:val="right"/>
              <w:rPr/>
            </w:pPr>
            <w:r>
              <w:rPr/>
              <w:t>657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net operating lease liabilities showing the aggregate lease payments as of September 30, 2025 (in thousands): </w:t>
      </w:r>
    </w:p>
    <w:p>
      <w:pPr>
        <w:pStyle w:val="TextBody"/>
        <w:bidi w:val="0"/>
        <w:spacing w:before="0" w:after="0"/>
        <w:ind w:left="0" w:right="0" w:hanging="0"/>
        <w:jc w:val="left"/>
        <w:rPr>
          <w:caps w:val="false"/>
          <w:smallCaps w:val="false"/>
        </w:rPr>
      </w:pPr>
      <w:r>
        <w:rPr>
          <w:caps w:val="false"/>
          <w:smallCaps w:val="false"/>
        </w:rPr>
        <w:t> </w:t>
      </w:r>
    </w:p>
    <w:tbl>
      <w:tblPr>
        <w:tblW w:w="7635" w:type="dxa"/>
        <w:jc w:val="left"/>
        <w:tblInd w:w="0" w:type="dxa"/>
        <w:tblLayout w:type="fixed"/>
        <w:tblCellMar>
          <w:top w:w="0" w:type="dxa"/>
          <w:left w:w="0" w:type="dxa"/>
          <w:bottom w:w="28" w:type="dxa"/>
          <w:right w:w="0" w:type="dxa"/>
        </w:tblCellMar>
      </w:tblPr>
      <w:tblGrid>
        <w:gridCol w:w="6485"/>
        <w:gridCol w:w="90"/>
        <w:gridCol w:w="199"/>
        <w:gridCol w:w="691"/>
        <w:gridCol w:w="170"/>
      </w:tblGrid>
      <w:tr>
        <w:trPr/>
        <w:tc>
          <w:tcPr>
            <w:tcW w:w="6485" w:type="dxa"/>
            <w:tcBorders>
              <w:bottom w:val="single" w:sz="12"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6485" w:type="dxa"/>
            <w:tcBorders/>
            <w:shd w:fill="CCEEFF" w:val="clear"/>
            <w:tcMar>
              <w:bottom w:w="0" w:type="dxa"/>
            </w:tcMar>
            <w:vAlign w:val="center"/>
          </w:tcPr>
          <w:p>
            <w:pPr>
              <w:pStyle w:val="TableContents"/>
              <w:bidi w:val="0"/>
              <w:spacing w:before="0" w:after="283"/>
              <w:jc w:val="left"/>
              <w:rPr/>
            </w:pPr>
            <w:r>
              <w:rPr/>
              <w:t>2025 (net of leasehold incentives receivable) (remainder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right"/>
              <w:rPr/>
            </w:pPr>
            <w:r>
              <w:rPr/>
              <w:t>42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48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822</w:t>
            </w:r>
          </w:p>
        </w:tc>
        <w:tc>
          <w:tcPr>
            <w:tcW w:w="170" w:type="dxa"/>
            <w:tcBorders/>
            <w:tcMar>
              <w:bottom w:w="0" w:type="dxa"/>
            </w:tcMar>
            <w:vAlign w:val="center"/>
          </w:tcPr>
          <w:p>
            <w:pPr>
              <w:pStyle w:val="TableContents"/>
              <w:bidi w:val="0"/>
              <w:spacing w:before="0" w:after="283"/>
              <w:jc w:val="left"/>
              <w:rPr/>
            </w:pPr>
            <w:r>
              <w:rPr/>
              <w:t> </w:t>
            </w:r>
          </w:p>
        </w:tc>
      </w:tr>
      <w:tr>
        <w:trPr/>
        <w:tc>
          <w:tcPr>
            <w:tcW w:w="648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768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48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397</w:t>
            </w:r>
          </w:p>
        </w:tc>
        <w:tc>
          <w:tcPr>
            <w:tcW w:w="170" w:type="dxa"/>
            <w:tcBorders/>
            <w:tcMar>
              <w:bottom w:w="0" w:type="dxa"/>
            </w:tcMar>
            <w:vAlign w:val="center"/>
          </w:tcPr>
          <w:p>
            <w:pPr>
              <w:pStyle w:val="TableContents"/>
              <w:bidi w:val="0"/>
              <w:spacing w:before="0" w:after="283"/>
              <w:jc w:val="left"/>
              <w:rPr/>
            </w:pPr>
            <w:r>
              <w:rPr/>
              <w:t> </w:t>
            </w:r>
          </w:p>
        </w:tc>
      </w:tr>
      <w:tr>
        <w:trPr/>
        <w:tc>
          <w:tcPr>
            <w:tcW w:w="648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304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485" w:type="dxa"/>
            <w:tcBorders/>
            <w:tcMar>
              <w:bottom w:w="0" w:type="dxa"/>
            </w:tcMar>
            <w:vAlign w:val="center"/>
          </w:tcPr>
          <w:p>
            <w:pPr>
              <w:pStyle w:val="TableContents"/>
              <w:bidi w:val="0"/>
              <w:spacing w:before="0" w:after="283"/>
              <w:jc w:val="left"/>
              <w:rPr/>
            </w:pPr>
            <w:r>
              <w:rPr/>
              <w:t>Total undiscounted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2,333</w:t>
            </w:r>
          </w:p>
        </w:tc>
        <w:tc>
          <w:tcPr>
            <w:tcW w:w="170" w:type="dxa"/>
            <w:tcBorders/>
            <w:tcMar>
              <w:bottom w:w="0" w:type="dxa"/>
            </w:tcMar>
            <w:vAlign w:val="center"/>
          </w:tcPr>
          <w:p>
            <w:pPr>
              <w:pStyle w:val="TableContents"/>
              <w:bidi w:val="0"/>
              <w:spacing w:before="0" w:after="283"/>
              <w:jc w:val="left"/>
              <w:rPr/>
            </w:pPr>
            <w:r>
              <w:rPr/>
              <w:t> </w:t>
            </w:r>
          </w:p>
        </w:tc>
      </w:tr>
      <w:tr>
        <w:trPr/>
        <w:tc>
          <w:tcPr>
            <w:tcW w:w="6485"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(421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485" w:type="dxa"/>
            <w:tcBorders/>
            <w:tcMar>
              <w:bottom w:w="0" w:type="dxa"/>
            </w:tcMar>
            <w:vAlign w:val="center"/>
          </w:tcPr>
          <w:p>
            <w:pPr>
              <w:pStyle w:val="TableContents"/>
              <w:bidi w:val="0"/>
              <w:spacing w:before="0" w:after="283"/>
              <w:jc w:val="left"/>
              <w:rPr/>
            </w:pPr>
            <w:r>
              <w:rPr/>
              <w:t>Total 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1,912</w:t>
            </w:r>
          </w:p>
        </w:tc>
        <w:tc>
          <w:tcPr>
            <w:tcW w:w="170" w:type="dxa"/>
            <w:tcBorders/>
            <w:tcMar>
              <w:bottom w:w="0" w:type="dxa"/>
            </w:tcMar>
            <w:vAlign w:val="center"/>
          </w:tcPr>
          <w:p>
            <w:pPr>
              <w:pStyle w:val="TableContents"/>
              <w:bidi w:val="0"/>
              <w:spacing w:before="0" w:after="283"/>
              <w:jc w:val="left"/>
              <w:rPr/>
            </w:pPr>
            <w:r>
              <w:rPr/>
              <w:t> </w:t>
            </w:r>
          </w:p>
        </w:tc>
      </w:tr>
      <w:tr>
        <w:trPr/>
        <w:tc>
          <w:tcPr>
            <w:tcW w:w="6485" w:type="dxa"/>
            <w:tcBorders/>
            <w:shd w:fill="CCEEFF" w:val="clear"/>
            <w:tcMar>
              <w:bottom w:w="0" w:type="dxa"/>
            </w:tcMar>
            <w:vAlign w:val="center"/>
          </w:tcPr>
          <w:p>
            <w:pPr>
              <w:pStyle w:val="TableContents"/>
              <w:bidi w:val="0"/>
              <w:spacing w:before="0" w:after="283"/>
              <w:jc w:val="left"/>
              <w:rPr/>
            </w:pPr>
            <w:r>
              <w:rPr/>
              <w:t>Less: current portion of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(419</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485" w:type="dxa"/>
            <w:tcBorders/>
            <w:tcMar>
              <w:bottom w:w="0" w:type="dxa"/>
            </w:tcMar>
            <w:vAlign w:val="center"/>
          </w:tcPr>
          <w:p>
            <w:pPr>
              <w:pStyle w:val="TableContents"/>
              <w:bidi w:val="0"/>
              <w:spacing w:before="0" w:after="283"/>
              <w:jc w:val="left"/>
              <w:rPr/>
            </w:pPr>
            <w:r>
              <w:rPr/>
              <w:t>Non-current portion of lease liability</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vAlign w:val="center"/>
          </w:tcPr>
          <w:p>
            <w:pPr>
              <w:pStyle w:val="TableContents"/>
              <w:bidi w:val="0"/>
              <w:spacing w:before="0" w:after="283"/>
              <w:jc w:val="left"/>
              <w:rPr/>
            </w:pPr>
            <w:r>
              <w:rPr/>
              <w:t>$</w:t>
            </w:r>
          </w:p>
        </w:tc>
        <w:tc>
          <w:tcPr>
            <w:tcW w:w="691" w:type="dxa"/>
            <w:tcBorders>
              <w:bottom w:val="double" w:sz="10" w:space="0" w:color="000000"/>
            </w:tcBorders>
            <w:vAlign w:val="center"/>
          </w:tcPr>
          <w:p>
            <w:pPr>
              <w:pStyle w:val="TableContents"/>
              <w:bidi w:val="0"/>
              <w:spacing w:before="0" w:after="283"/>
              <w:jc w:val="right"/>
              <w:rPr/>
            </w:pPr>
            <w:r>
              <w:rPr/>
              <w:t>1,493</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basic and diluted net loss per share attributable to stockholders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3"/>
        <w:gridCol w:w="90"/>
        <w:gridCol w:w="239"/>
        <w:gridCol w:w="1031"/>
        <w:gridCol w:w="136"/>
        <w:gridCol w:w="98"/>
        <w:gridCol w:w="113"/>
        <w:gridCol w:w="1277"/>
        <w:gridCol w:w="98"/>
        <w:gridCol w:w="98"/>
        <w:gridCol w:w="185"/>
        <w:gridCol w:w="726"/>
        <w:gridCol w:w="125"/>
        <w:gridCol w:w="90"/>
        <w:gridCol w:w="197"/>
        <w:gridCol w:w="895"/>
        <w:gridCol w:w="131"/>
        <w:gridCol w:w="94"/>
        <w:gridCol w:w="104"/>
        <w:gridCol w:w="1242"/>
        <w:gridCol w:w="94"/>
        <w:gridCol w:w="94"/>
        <w:gridCol w:w="179"/>
        <w:gridCol w:w="1019"/>
        <w:gridCol w:w="157"/>
      </w:tblGrid>
      <w:tr>
        <w:trPr/>
        <w:tc>
          <w:tcPr>
            <w:tcW w:w="16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4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157" w:type="dxa"/>
            <w:tcBorders/>
            <w:vAlign w:val="center"/>
          </w:tcPr>
          <w:p>
            <w:pPr>
              <w:pStyle w:val="TableContents"/>
              <w:bidi w:val="0"/>
              <w:spacing w:before="0" w:after="283"/>
              <w:jc w:val="left"/>
              <w:rPr/>
            </w:pPr>
            <w:r>
              <w:rPr/>
              <w:t> </w:t>
            </w:r>
          </w:p>
        </w:tc>
      </w:tr>
      <w:tr>
        <w:trPr/>
        <w:tc>
          <w:tcPr>
            <w:tcW w:w="16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57" w:type="dxa"/>
            <w:tcBorders/>
            <w:vAlign w:val="center"/>
          </w:tcPr>
          <w:p>
            <w:pPr>
              <w:pStyle w:val="TableContents"/>
              <w:bidi w:val="0"/>
              <w:spacing w:before="0" w:after="283"/>
              <w:ind w:left="0" w:right="0" w:hanging="180"/>
              <w:jc w:val="left"/>
              <w:rPr/>
            </w:pPr>
            <w:r>
              <w:rPr/>
              <w:t> </w:t>
            </w:r>
          </w:p>
        </w:tc>
      </w:tr>
      <w:tr>
        <w:trPr/>
        <w:tc>
          <w:tcPr>
            <w:tcW w:w="1693"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(24,042</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44,067,059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(0.55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(21,936</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15,013,655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(1.46</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1693" w:type="dxa"/>
            <w:tcBorders/>
            <w:vAlign w:val="center"/>
          </w:tcPr>
          <w:p>
            <w:pPr>
              <w:pStyle w:val="TableContents"/>
              <w:bidi w:val="0"/>
              <w:spacing w:before="0" w:after="283"/>
              <w:jc w:val="left"/>
              <w:rPr>
                <w:sz w:val="20"/>
              </w:rPr>
            </w:pPr>
            <w:r>
              <w:rPr>
                <w:sz w:val="20"/>
              </w:rPr>
              <w:t>Company Series A Preferred Stock</w:t>
            </w:r>
            <w:r>
              <w:rPr>
                <w:position w:val="7"/>
                <w:sz w:val="16"/>
                <w:sz w:val="20"/>
              </w:rPr>
              <w:t>(1)</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(697</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477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019" w:type="dxa"/>
            <w:tcBorders/>
            <w:vAlign w:val="center"/>
          </w:tcPr>
          <w:p>
            <w:pPr>
              <w:pStyle w:val="TableContents"/>
              <w:bidi w:val="0"/>
              <w:spacing w:before="0" w:after="283"/>
              <w:jc w:val="right"/>
              <w:rPr/>
            </w:pPr>
            <w:r>
              <w:rPr/>
              <w:t>(1,461.10</w:t>
            </w:r>
          </w:p>
        </w:tc>
        <w:tc>
          <w:tcPr>
            <w:tcW w:w="157" w:type="dxa"/>
            <w:tcBorders/>
            <w:vAlign w:val="center"/>
          </w:tcPr>
          <w:p>
            <w:pPr>
              <w:pStyle w:val="TableContents"/>
              <w:bidi w:val="0"/>
              <w:spacing w:before="0" w:after="283"/>
              <w:ind w:left="0" w:right="0" w:hanging="180"/>
              <w:jc w:val="left"/>
              <w:rPr/>
            </w:pPr>
            <w:r>
              <w:rPr/>
              <w:t>)</w:t>
            </w:r>
          </w:p>
        </w:tc>
      </w:tr>
      <w:tr>
        <w:trPr/>
        <w:tc>
          <w:tcPr>
            <w:tcW w:w="1693" w:type="dxa"/>
            <w:tcBorders/>
            <w:shd w:fill="CCEEFF" w:val="clear"/>
            <w:vAlign w:val="center"/>
          </w:tcPr>
          <w:p>
            <w:pPr>
              <w:pStyle w:val="TableContents"/>
              <w:bidi w:val="0"/>
              <w:spacing w:before="0" w:after="283"/>
              <w:jc w:val="left"/>
              <w:rPr>
                <w:sz w:val="20"/>
              </w:rPr>
            </w:pPr>
            <w:r>
              <w:rPr>
                <w:sz w:val="20"/>
              </w:rPr>
              <w:t>Company Series B Preferred Stock</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(6,235</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137,138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(45.46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(5,990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49,191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(121.76</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1693"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tcMar>
              <w:bottom w:w="28" w:type="dxa"/>
            </w:tcMar>
            <w:vAlign w:val="center"/>
          </w:tcPr>
          <w:p>
            <w:pPr>
              <w:pStyle w:val="TableContents"/>
              <w:bidi w:val="0"/>
              <w:spacing w:before="0" w:after="283"/>
              <w:jc w:val="right"/>
              <w:rPr/>
            </w:pPr>
            <w:r>
              <w:rPr/>
              <w:t>(30,277</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double" w:sz="10" w:space="0" w:color="000000"/>
            </w:tcBorders>
            <w:tcMar>
              <w:bottom w:w="28" w:type="dxa"/>
            </w:tcMar>
            <w:vAlign w:val="center"/>
          </w:tcPr>
          <w:p>
            <w:pPr>
              <w:pStyle w:val="TableContents"/>
              <w:bidi w:val="0"/>
              <w:spacing w:before="0" w:after="283"/>
              <w:jc w:val="left"/>
              <w:rPr/>
            </w:pPr>
            <w:r>
              <w:rPr/>
              <w:t>$</w:t>
            </w:r>
          </w:p>
        </w:tc>
        <w:tc>
          <w:tcPr>
            <w:tcW w:w="895" w:type="dxa"/>
            <w:tcBorders>
              <w:bottom w:val="double" w:sz="10" w:space="0" w:color="000000"/>
            </w:tcBorders>
            <w:tcMar>
              <w:bottom w:w="28" w:type="dxa"/>
            </w:tcMar>
            <w:vAlign w:val="center"/>
          </w:tcPr>
          <w:p>
            <w:pPr>
              <w:pStyle w:val="TableContents"/>
              <w:bidi w:val="0"/>
              <w:spacing w:before="0" w:after="283"/>
              <w:jc w:val="right"/>
              <w:rPr/>
            </w:pPr>
            <w:r>
              <w:rPr/>
              <w:t>(28,623</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sz w:val="20"/>
              </w:rPr>
            </w:pPr>
            <w:r>
              <w:rPr>
                <w:sz w:val="20"/>
              </w:rPr>
              <w:t>(1)</w:t>
            </w:r>
          </w:p>
        </w:tc>
        <w:tc>
          <w:tcPr>
            <w:tcW w:w="9947" w:type="dxa"/>
            <w:tcBorders/>
            <w:vAlign w:val="center"/>
          </w:tcPr>
          <w:p>
            <w:pPr>
              <w:pStyle w:val="TableContents"/>
              <w:bidi w:val="0"/>
              <w:spacing w:before="0" w:after="283"/>
              <w:jc w:val="both"/>
              <w:rPr>
                <w:sz w:val="20"/>
              </w:rPr>
            </w:pPr>
            <w:r>
              <w:rPr>
                <w:sz w:val="20"/>
              </w:rPr>
              <w:t>The weighted-average number of shares of as-converted Company Series A Preferred Stock used in the loss allocation was nil and 477,196 for the three months ended September 30, 2025 and September 30, 2024, respectively.</w:t>
            </w:r>
          </w:p>
        </w:tc>
      </w:tr>
      <w:tr>
        <w:trPr/>
        <w:tc>
          <w:tcPr>
            <w:tcW w:w="258" w:type="dxa"/>
            <w:tcBorders/>
            <w:vAlign w:val="center"/>
          </w:tcPr>
          <w:p>
            <w:pPr>
              <w:pStyle w:val="TableContents"/>
              <w:bidi w:val="0"/>
              <w:spacing w:before="0" w:after="283"/>
              <w:jc w:val="left"/>
              <w:rPr>
                <w:sz w:val="20"/>
              </w:rPr>
            </w:pPr>
            <w:r>
              <w:rPr>
                <w:sz w:val="20"/>
              </w:rPr>
              <w:t>(2)</w:t>
            </w:r>
          </w:p>
        </w:tc>
        <w:tc>
          <w:tcPr>
            <w:tcW w:w="9947" w:type="dxa"/>
            <w:tcBorders/>
            <w:vAlign w:val="center"/>
          </w:tcPr>
          <w:p>
            <w:pPr>
              <w:pStyle w:val="TableContents"/>
              <w:bidi w:val="0"/>
              <w:spacing w:before="0" w:after="283"/>
              <w:jc w:val="both"/>
              <w:rPr>
                <w:sz w:val="20"/>
              </w:rPr>
            </w:pPr>
            <w:r>
              <w:rPr>
                <w:sz w:val="20"/>
              </w:rPr>
              <w:t>The weighted-average number of shares of as-converted Company Series B Preferred Stock used in the loss allocation was 11,428,129 and 4,099,227 for the three months ended September 30, 2025 and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3"/>
        <w:gridCol w:w="90"/>
        <w:gridCol w:w="232"/>
        <w:gridCol w:w="1050"/>
        <w:gridCol w:w="133"/>
        <w:gridCol w:w="96"/>
        <w:gridCol w:w="106"/>
        <w:gridCol w:w="1252"/>
        <w:gridCol w:w="96"/>
        <w:gridCol w:w="96"/>
        <w:gridCol w:w="181"/>
        <w:gridCol w:w="838"/>
        <w:gridCol w:w="125"/>
        <w:gridCol w:w="90"/>
        <w:gridCol w:w="193"/>
        <w:gridCol w:w="892"/>
        <w:gridCol w:w="125"/>
        <w:gridCol w:w="90"/>
        <w:gridCol w:w="107"/>
        <w:gridCol w:w="1203"/>
        <w:gridCol w:w="90"/>
        <w:gridCol w:w="90"/>
        <w:gridCol w:w="170"/>
        <w:gridCol w:w="965"/>
        <w:gridCol w:w="152"/>
      </w:tblGrid>
      <w:tr>
        <w:trPr/>
        <w:tc>
          <w:tcPr>
            <w:tcW w:w="17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 2024 (inception) to</w:t>
              <w:br/>
              <w:t>September 30, 2024</w:t>
            </w:r>
          </w:p>
        </w:tc>
        <w:tc>
          <w:tcPr>
            <w:tcW w:w="152" w:type="dxa"/>
            <w:tcBorders/>
            <w:vAlign w:val="center"/>
          </w:tcPr>
          <w:p>
            <w:pPr>
              <w:pStyle w:val="TableContents"/>
              <w:bidi w:val="0"/>
              <w:spacing w:before="0" w:after="283"/>
              <w:jc w:val="left"/>
              <w:rPr/>
            </w:pPr>
            <w:r>
              <w:rPr/>
              <w:t> </w:t>
            </w:r>
          </w:p>
        </w:tc>
      </w:tr>
      <w:tr>
        <w:trPr/>
        <w:tc>
          <w:tcPr>
            <w:tcW w:w="17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52" w:type="dxa"/>
            <w:tcBorders/>
            <w:vAlign w:val="center"/>
          </w:tcPr>
          <w:p>
            <w:pPr>
              <w:pStyle w:val="TableContents"/>
              <w:bidi w:val="0"/>
              <w:spacing w:before="0" w:after="283"/>
              <w:ind w:left="0" w:right="0" w:hanging="180"/>
              <w:jc w:val="left"/>
              <w:rPr/>
            </w:pPr>
            <w:r>
              <w:rPr/>
              <w:t> </w:t>
            </w:r>
          </w:p>
        </w:tc>
      </w:tr>
      <w:tr>
        <w:trPr/>
        <w:tc>
          <w:tcPr>
            <w:tcW w:w="1743"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(59,813</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42,622,935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(47,192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7,765,381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(6.08</w:t>
            </w:r>
          </w:p>
        </w:tc>
        <w:tc>
          <w:tcPr>
            <w:tcW w:w="152" w:type="dxa"/>
            <w:tcBorders/>
            <w:shd w:fill="CCEEFF" w:val="clear"/>
            <w:vAlign w:val="center"/>
          </w:tcPr>
          <w:p>
            <w:pPr>
              <w:pStyle w:val="TableContents"/>
              <w:bidi w:val="0"/>
              <w:spacing w:before="0" w:after="283"/>
              <w:ind w:left="0" w:right="0" w:hanging="180"/>
              <w:jc w:val="left"/>
              <w:rPr/>
            </w:pPr>
            <w:r>
              <w:rPr/>
              <w:t>)</w:t>
            </w:r>
          </w:p>
        </w:tc>
      </w:tr>
      <w:tr>
        <w:trPr/>
        <w:tc>
          <w:tcPr>
            <w:tcW w:w="1743" w:type="dxa"/>
            <w:tcBorders/>
            <w:vAlign w:val="center"/>
          </w:tcPr>
          <w:p>
            <w:pPr>
              <w:pStyle w:val="TableContents"/>
              <w:bidi w:val="0"/>
              <w:spacing w:before="0" w:after="283"/>
              <w:jc w:val="left"/>
              <w:rPr>
                <w:sz w:val="20"/>
              </w:rPr>
            </w:pPr>
            <w:r>
              <w:rPr>
                <w:sz w:val="20"/>
              </w:rPr>
              <w:t>Company Series A Preferred Stock</w:t>
            </w:r>
            <w:r>
              <w:rPr>
                <w:position w:val="7"/>
                <w:sz w:val="16"/>
                <w:sz w:val="20"/>
              </w:rPr>
              <w:t>(1)</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0"/>
              <w:jc w:val="right"/>
              <w:rPr/>
            </w:pPr>
            <w:r>
              <w:rPr/>
              <w:t>—</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8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(1,121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(6,077.25</w:t>
            </w:r>
          </w:p>
        </w:tc>
        <w:tc>
          <w:tcPr>
            <w:tcW w:w="152" w:type="dxa"/>
            <w:tcBorders/>
            <w:vAlign w:val="center"/>
          </w:tcPr>
          <w:p>
            <w:pPr>
              <w:pStyle w:val="TableContents"/>
              <w:bidi w:val="0"/>
              <w:spacing w:before="0" w:after="283"/>
              <w:ind w:left="0" w:right="0" w:hanging="180"/>
              <w:jc w:val="left"/>
              <w:rPr/>
            </w:pPr>
            <w:r>
              <w:rPr/>
              <w:t>)</w:t>
            </w:r>
          </w:p>
        </w:tc>
      </w:tr>
      <w:tr>
        <w:trPr/>
        <w:tc>
          <w:tcPr>
            <w:tcW w:w="1743" w:type="dxa"/>
            <w:tcBorders/>
            <w:shd w:fill="CCEEFF" w:val="clear"/>
            <w:vAlign w:val="center"/>
          </w:tcPr>
          <w:p>
            <w:pPr>
              <w:pStyle w:val="TableContents"/>
              <w:bidi w:val="0"/>
              <w:spacing w:before="0" w:after="283"/>
              <w:jc w:val="left"/>
              <w:rPr>
                <w:sz w:val="20"/>
              </w:rPr>
            </w:pPr>
            <w:r>
              <w:rPr>
                <w:sz w:val="20"/>
              </w:rPr>
              <w:t>Company Series B Preferred Stock</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(16,037</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137,138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(116.94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(9,630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19,015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(506.44</w:t>
            </w:r>
          </w:p>
        </w:tc>
        <w:tc>
          <w:tcPr>
            <w:tcW w:w="152" w:type="dxa"/>
            <w:tcBorders/>
            <w:shd w:fill="CCEEFF" w:val="clear"/>
            <w:vAlign w:val="center"/>
          </w:tcPr>
          <w:p>
            <w:pPr>
              <w:pStyle w:val="TableContents"/>
              <w:bidi w:val="0"/>
              <w:spacing w:before="0" w:after="283"/>
              <w:ind w:left="0" w:right="0" w:hanging="180"/>
              <w:jc w:val="left"/>
              <w:rPr/>
            </w:pPr>
            <w:r>
              <w:rPr/>
              <w:t>)</w:t>
            </w:r>
          </w:p>
        </w:tc>
      </w:tr>
      <w:tr>
        <w:trPr/>
        <w:tc>
          <w:tcPr>
            <w:tcW w:w="1743"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tcMar>
              <w:bottom w:w="28" w:type="dxa"/>
            </w:tcMar>
            <w:vAlign w:val="center"/>
          </w:tcPr>
          <w:p>
            <w:pPr>
              <w:pStyle w:val="TableContents"/>
              <w:bidi w:val="0"/>
              <w:spacing w:before="0" w:after="283"/>
              <w:jc w:val="right"/>
              <w:rPr/>
            </w:pPr>
            <w:r>
              <w:rPr/>
              <w:t>(75,850</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tcMar>
              <w:bottom w:w="28" w:type="dxa"/>
            </w:tcMar>
            <w:vAlign w:val="center"/>
          </w:tcPr>
          <w:p>
            <w:pPr>
              <w:pStyle w:val="TableContents"/>
              <w:bidi w:val="0"/>
              <w:spacing w:before="0" w:after="283"/>
              <w:jc w:val="right"/>
              <w:rPr/>
            </w:pPr>
            <w:r>
              <w:rPr/>
              <w:t>(57,943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sz w:val="20"/>
              </w:rPr>
            </w:pPr>
            <w:r>
              <w:rPr>
                <w:sz w:val="20"/>
              </w:rPr>
              <w:t>(1)</w:t>
            </w:r>
          </w:p>
        </w:tc>
        <w:tc>
          <w:tcPr>
            <w:tcW w:w="9952" w:type="dxa"/>
            <w:tcBorders/>
            <w:vAlign w:val="center"/>
          </w:tcPr>
          <w:p>
            <w:pPr>
              <w:pStyle w:val="TableContents"/>
              <w:bidi w:val="0"/>
              <w:spacing w:before="0" w:after="283"/>
              <w:jc w:val="both"/>
              <w:rPr>
                <w:sz w:val="20"/>
              </w:rPr>
            </w:pPr>
            <w:r>
              <w:rPr>
                <w:sz w:val="20"/>
              </w:rPr>
              <w:t>The weighted-average number of shares of as-converted Company Series A Preferred Stock used in the loss allocation was nil and 184,462 for the nine months ended September 30, 2025 and the period from February 6, 2024 (inception) to September 30, 2024, respectively.</w:t>
            </w:r>
          </w:p>
        </w:tc>
      </w:tr>
      <w:tr>
        <w:trPr/>
        <w:tc>
          <w:tcPr>
            <w:tcW w:w="253" w:type="dxa"/>
            <w:tcBorders/>
            <w:vAlign w:val="center"/>
          </w:tcPr>
          <w:p>
            <w:pPr>
              <w:pStyle w:val="TableContents"/>
              <w:bidi w:val="0"/>
              <w:spacing w:before="0" w:after="283"/>
              <w:jc w:val="left"/>
              <w:rPr>
                <w:sz w:val="20"/>
              </w:rPr>
            </w:pPr>
            <w:r>
              <w:rPr>
                <w:sz w:val="20"/>
              </w:rPr>
              <w:t>(2)</w:t>
            </w:r>
          </w:p>
        </w:tc>
        <w:tc>
          <w:tcPr>
            <w:tcW w:w="9952" w:type="dxa"/>
            <w:tcBorders/>
            <w:vAlign w:val="center"/>
          </w:tcPr>
          <w:p>
            <w:pPr>
              <w:pStyle w:val="TableContents"/>
              <w:bidi w:val="0"/>
              <w:spacing w:before="0" w:after="283"/>
              <w:jc w:val="both"/>
              <w:rPr>
                <w:sz w:val="20"/>
              </w:rPr>
            </w:pPr>
            <w:r>
              <w:rPr>
                <w:sz w:val="20"/>
              </w:rPr>
              <w:t>The weighted-average number of shares of as-converted Company Series B Preferred Stock used in the loss allocation was 11,428,129 and 1,584,575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stockholders for the periods presented because including them would have had an anti-dilutive effect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3"/>
        <w:gridCol w:w="90"/>
        <w:gridCol w:w="123"/>
        <w:gridCol w:w="1382"/>
        <w:gridCol w:w="90"/>
        <w:gridCol w:w="90"/>
        <w:gridCol w:w="106"/>
        <w:gridCol w:w="1205"/>
        <w:gridCol w:w="90"/>
        <w:gridCol w:w="90"/>
        <w:gridCol w:w="106"/>
        <w:gridCol w:w="1205"/>
        <w:gridCol w:w="90"/>
        <w:gridCol w:w="90"/>
        <w:gridCol w:w="165"/>
        <w:gridCol w:w="1861"/>
        <w:gridCol w:w="139"/>
      </w:tblGrid>
      <w:tr>
        <w:trPr/>
        <w:tc>
          <w:tcPr>
            <w:tcW w:w="328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September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 2024</w:t>
              <w:br/>
              <w:t>(inception) to September 30,</w:t>
              <w:br/>
              <w:t>2024</w:t>
            </w:r>
          </w:p>
        </w:tc>
        <w:tc>
          <w:tcPr>
            <w:tcW w:w="139" w:type="dxa"/>
            <w:tcBorders/>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pPr>
            <w:r>
              <w:rPr/>
              <w:t>Outstanding employee warrants to purchase common stock</w:t>
            </w:r>
          </w:p>
        </w:tc>
        <w:tc>
          <w:tcPr>
            <w:tcW w:w="90" w:type="dxa"/>
            <w:tcBorders/>
            <w:shd w:fill="CCEEFF" w:val="clear"/>
            <w:vAlign w:val="center"/>
          </w:tcPr>
          <w:p>
            <w:pPr>
              <w:pStyle w:val="TableContents"/>
              <w:bidi w:val="0"/>
              <w:spacing w:before="0" w:after="283"/>
              <w:jc w:val="left"/>
              <w:rPr/>
            </w:pPr>
            <w:r>
              <w:rPr/>
              <w:t> </w:t>
            </w:r>
          </w:p>
        </w:tc>
        <w:tc>
          <w:tcPr>
            <w:tcW w:w="1505" w:type="dxa"/>
            <w:gridSpan w:val="2"/>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1" w:type="dxa"/>
            <w:gridSpan w:val="2"/>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1" w:type="dxa"/>
            <w:gridSpan w:val="2"/>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6" w:type="dxa"/>
            <w:gridSpan w:val="2"/>
            <w:tcBorders/>
            <w:shd w:fill="CCEEFF" w:val="clear"/>
            <w:vAlign w:val="center"/>
          </w:tcPr>
          <w:p>
            <w:pPr>
              <w:pStyle w:val="TableContents"/>
              <w:bidi w:val="0"/>
              <w:spacing w:before="0" w:after="283"/>
              <w:jc w:val="right"/>
              <w:rPr/>
            </w:pPr>
            <w:r>
              <w:rPr/>
              <w:t>3,054,358</w:t>
            </w:r>
          </w:p>
        </w:tc>
        <w:tc>
          <w:tcPr>
            <w:tcW w:w="139" w:type="dxa"/>
            <w:tcBorders/>
            <w:shd w:fill="CCEEFF" w:val="clear"/>
            <w:vAlign w:val="center"/>
          </w:tcPr>
          <w:p>
            <w:pPr>
              <w:pStyle w:val="TableContents"/>
              <w:bidi w:val="0"/>
              <w:spacing w:before="0" w:after="283"/>
              <w:jc w:val="left"/>
              <w:rPr/>
            </w:pPr>
            <w:r>
              <w:rPr/>
              <w:t> </w:t>
            </w:r>
          </w:p>
        </w:tc>
      </w:tr>
      <w:tr>
        <w:trPr/>
        <w:tc>
          <w:tcPr>
            <w:tcW w:w="3283" w:type="dxa"/>
            <w:tcBorders/>
            <w:vAlign w:val="center"/>
          </w:tcPr>
          <w:p>
            <w:pPr>
              <w:pStyle w:val="TableContents"/>
              <w:bidi w:val="0"/>
              <w:spacing w:before="0" w:after="283"/>
              <w:jc w:val="left"/>
              <w:rPr/>
            </w:pPr>
            <w:r>
              <w:rPr/>
              <w:t>Outstanding unvested restricted stock awards</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1,355,038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2,207,553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1,355,038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right"/>
              <w:rPr/>
            </w:pPr>
            <w:r>
              <w:rPr/>
              <w:t>2,207,553</w:t>
            </w:r>
          </w:p>
        </w:tc>
        <w:tc>
          <w:tcPr>
            <w:tcW w:w="139" w:type="dxa"/>
            <w:tcBorders/>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pPr>
            <w:r>
              <w:rPr/>
              <w:t>Outstanding and issued common stock options</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3,814,560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1,287,760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3,814,560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pPr>
            <w:r>
              <w:rPr/>
              <w:t>1,287,760</w:t>
            </w:r>
          </w:p>
        </w:tc>
        <w:tc>
          <w:tcPr>
            <w:tcW w:w="139" w:type="dxa"/>
            <w:tcBorders/>
            <w:shd w:fill="CCEEFF" w:val="clear"/>
            <w:vAlign w:val="center"/>
          </w:tcPr>
          <w:p>
            <w:pPr>
              <w:pStyle w:val="TableContents"/>
              <w:bidi w:val="0"/>
              <w:spacing w:before="0" w:after="283"/>
              <w:jc w:val="left"/>
              <w:rPr/>
            </w:pPr>
            <w:r>
              <w:rPr/>
              <w:t> </w:t>
            </w:r>
          </w:p>
        </w:tc>
      </w:tr>
      <w:tr>
        <w:trPr/>
        <w:tc>
          <w:tcPr>
            <w:tcW w:w="3283" w:type="dxa"/>
            <w:tcBorders/>
            <w:vAlign w:val="center"/>
          </w:tcPr>
          <w:p>
            <w:pPr>
              <w:pStyle w:val="TableContents"/>
              <w:bidi w:val="0"/>
              <w:spacing w:before="0" w:after="283"/>
              <w:jc w:val="left"/>
              <w:rPr/>
            </w:pPr>
            <w:r>
              <w:rPr/>
              <w:t>Outstanding and issued warrant to Paruka</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right"/>
              <w:rPr/>
            </w:pPr>
            <w:r>
              <w:rPr/>
              <w:t>596,930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596,930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61" w:type="dxa"/>
            <w:tcBorders>
              <w:bottom w:val="single" w:sz="12" w:space="0" w:color="000000"/>
            </w:tcBorders>
            <w:tcMar>
              <w:bottom w:w="28" w:type="dxa"/>
            </w:tcMar>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shd w:fill="CCEEFF" w:val="clear"/>
            <w:tcMar>
              <w:bottom w:w="28" w:type="dxa"/>
            </w:tcMar>
            <w:vAlign w:val="center"/>
          </w:tcPr>
          <w:p>
            <w:pPr>
              <w:pStyle w:val="TableContents"/>
              <w:bidi w:val="0"/>
              <w:spacing w:before="0" w:after="283"/>
              <w:jc w:val="right"/>
              <w:rPr/>
            </w:pPr>
            <w:r>
              <w:rPr/>
              <w:t>8,820,886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6,549,671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8,820,886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double" w:sz="10" w:space="0" w:color="000000"/>
            </w:tcBorders>
            <w:shd w:fill="CCEEFF" w:val="clear"/>
            <w:tcMar>
              <w:bottom w:w="28" w:type="dxa"/>
            </w:tcMar>
            <w:vAlign w:val="center"/>
          </w:tcPr>
          <w:p>
            <w:pPr>
              <w:pStyle w:val="TableContents"/>
              <w:bidi w:val="0"/>
              <w:spacing w:before="0" w:after="283"/>
              <w:jc w:val="right"/>
              <w:rPr/>
            </w:pPr>
            <w:r>
              <w:rPr/>
              <w:t>6,549,671</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and Paruka each beneficially own less than 5% of the Company’s capital stock through their respective holdings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Fairmount beneficially owns more than 5% of the Company’s capital stock, currently has one representative appointed to the Board, and beneficially owns more than 5% of Paragon. Fairmount appointed Paragon’s board of directors and has the contractual right to approve the appointment of any executive officers of Paragon.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related party accounts payable and other current liabilities (in thousands): </w:t>
      </w:r>
    </w:p>
    <w:p>
      <w:pPr>
        <w:pStyle w:val="TextBody"/>
        <w:bidi w:val="0"/>
        <w:spacing w:before="0" w:after="0"/>
        <w:ind w:left="0" w:right="0" w:hanging="0"/>
        <w:jc w:val="both"/>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5000"/>
        <w:gridCol w:w="90"/>
        <w:gridCol w:w="556"/>
        <w:gridCol w:w="949"/>
        <w:gridCol w:w="90"/>
        <w:gridCol w:w="90"/>
        <w:gridCol w:w="323"/>
        <w:gridCol w:w="1122"/>
        <w:gridCol w:w="135"/>
      </w:tblGrid>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Paragon reimbursable Option Agreements’ fees</w:t>
            </w:r>
          </w:p>
        </w:tc>
        <w:tc>
          <w:tcPr>
            <w:tcW w:w="9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1,482</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Paragon milestone payments for License Agreement</w:t>
            </w:r>
          </w:p>
        </w:tc>
        <w:tc>
          <w:tcPr>
            <w:tcW w:w="9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4,000</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Paragon reimbursable other research expenses</w:t>
            </w:r>
          </w:p>
        </w:tc>
        <w:tc>
          <w:tcPr>
            <w:tcW w:w="9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515</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Paragon reimbursable patent expenses</w:t>
            </w:r>
          </w:p>
        </w:tc>
        <w:tc>
          <w:tcPr>
            <w:tcW w:w="90" w:type="dxa"/>
            <w:tcBorders/>
            <w:vAlign w:val="center"/>
          </w:tcPr>
          <w:p>
            <w:pPr>
              <w:pStyle w:val="TableContents"/>
              <w:bidi w:val="0"/>
              <w:spacing w:before="0" w:after="283"/>
              <w:jc w:val="left"/>
              <w:rPr/>
            </w:pPr>
            <w:r>
              <w:rPr/>
              <w:t> </w:t>
            </w:r>
          </w:p>
        </w:tc>
        <w:tc>
          <w:tcPr>
            <w:tcW w:w="5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5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6,022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“Act”) was signed into law. The Act makes permanent key elements of the Tax Cuts and Jobs Act, including 100% bonus depreciation, domestic research cost expensing, and the business interest expense limitation. The Company evaluated the income tax effects of the Act and determined that the provisions did not have a material impact on its 2025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condensed consolidated financial statements and the related notes included in Part 1, Item 1 of this Quarterly Report on Form 10-Q for the quarterly period ended September 30, 2025 (this “Quarterly Report”) and with the audited consolidated financial statements and related notes included in our Annual Report on Form 10-K for the fiscal year ended December 31, 2024 filed with the Securities and Exchange Commission (“SEC”) on March 6, 2025.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Quarterly Report entitled “Risk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“Oruka Therapeutics, Inc.,” “Oruka,” “ARCA biopharma, Inc.,” “ARCA,” refers to Oruka Therapeutics, Inc. and its consolidated subsidiaries, taken as a whole.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February 2024, we have devoted substantially all of our resources to raising capital, organizing and staffing our company, business and scientific planning, conducting discovery and research activities, establishing and protecting our intellectual property portfolio, establishing arrangements with third parties for the manufacture of our programs and component materials, developing and progressing our pipeline, and providing general and administrative support for these operations. We do not have any products approved for sale and have not generated any revenue from product sales. To date, we have funded our operations primarily with proceeds from the issuance of convertible preferred stock, common stock, a convertible note, pre-funded warrants, and the proceeds from the reverse recapitalization and merger, our Pre-Closing Financing and subsequent PIPE Financings (as defined and further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During the three and nine months ended September 30, 2025, we generated net losses of $30.3 million and $75.9 million, respectively, and for the nine months ended September 30, 2025, we used net cash of $65.6 million for our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cash equivalents, and marketable securities of $500.9 million as of September 30, 2025. We expect that our existing cash, cash equivalents, and marketable securities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Portfolio and Development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ORKA-001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IL-23. First-generation IL-23 antibodies bound p40 and inhibited both IL-12 and IL-23 signaling, while more recent IL-23 antibodies targeting the p19 subunit have shown improved efficacy and safety. Based on clinical evidence, we believe that ORKA-001 could achieve higher response rates than established therapies in PsO while requiring less frequent dosing and maintaining the favorable safety profile of therapies targeting IL-23p19.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engineered with YTE half-life extension technology, a specific three amino acid change in the fragment crystallizable (“Fc”) domain to modify the pH-dependent binding to the neonatal Fc receptor. As a result, it has a pharmacokinetic profile designed to support a subcutaneous injection as infrequently as once or twice per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a Phase 1 trial of ORKA-001 in the fourth quarter of 2024 and in September 2025, we announced the interim results at the European Academy of Dermatology and Venereology (EADV) Congress. ORKA-001 showed a half-life of approximately 100 days. Single doses of ORKA-001 demonstrated complete and sustained inhibition of STAT3 signaling, a downstream marker of IL-23 activity, in an ex vivo assay through 24 weeks (the longest follow-up available). ORKA-001 was well tolerated at all dose levels, with a favorable safety profile consistent with the anti-IL-23 class. The trial remains blinded, and as of August 6, 2025, which was the data cutoff date, all subjects remained on trial.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we commenced dosing in a Phase 2a clinical trial of ORKA-001 in patients with moderate-to-severe PsO (also known as “EVERLAST-A”). We expect to share efficacy and response duration data from this study in the second half of 2026. EVERLAST-A is expected to enroll approximately 80 patients randomized 3:1 to receive 600 mg of ORKA-001 at Weeks 0 and 4 or matching placebo. The primary endpoint is PASI 100 at Week 16. At Week 28, patients who have achieved PASI 100 will be randomized 2:1 to an arm where either (1) they do not receive another dose until disease recurrence (to evaluate the possibility of both yearly dosing and extended off-treatment remissions) or (2) they receive 300 mg ORKA-001 every six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third quarter of 2025, we announced our plans to initiate a dose-ranging Phase 2b trial of ORKA-001 in moderate-to-severe PsO patients (also known as “EVERLAST-B”) in the first half of 2026. EVERLAST-B will evaluate three dose levels of ORKA-001: 37.5 mg at Week 0, 300 mg at Weeks 0 and 4, and 600 mg at Weeks 0 and 4, versus placebo. The primary endpoint will be PASI 100 at Week 16. To expedite development, EVERLAST-B dosing is projected to begin enrolling before the completion of EVERLAST-A.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recent precedent for PsO, we anticipate that the entire development program from first-in-human to biologics license application (“BLA”) filing could take as little as six to seven years based on the averages for recently approved medicines. However, we have no control over the length of time needed for the FDA review, and this timeline could vary.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ORKA-002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(“HS”) and axial spondyloarthritis.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initiated the dosing of healthy volunteers in a Phase 1 trial of ORKA-002 in the second quarter of 2025 and plan to initiate a Phase 2 clinical trial of ORKA-002 in the first half of 2026. We expect to share interim data from the Phase 1 trial of ORKA-002, including initial pharmacokinetic data, around year end 2025. The Company is also planning for a Phase 2 trial in 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plan to pursue a sequential combination regimen of ORKA-002 followed by ORKA-001, called ORKA-021. ORKA-021 has the potential to combine the rapid response of an IL-17 inhibitor with the ideal maintenance profile of an IL-23 inhibitor in a single regimen. We believe that ORKA-001 and ORKA-002 provide the potential to offer a highly compelling product profile for most patients with PsO and/or PsA, as well as the opportunity to address additional I&amp;I indications.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Program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Pre-Merger Oruka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we completed the acquisition (the “Merger”) of the private company, Oruka Therapeutics, Inc. (“Pre-Merger Oruka”), a pre-clinical stage biotechnology company that was incorporated on February 6, 2024 for the purposes of holding rights to certain intellectual property being developed by Paragon Therapeutics, Inc. (“Paragon”). On August 29, 2024, we changed our name from “ARCA biopharma, Inc.” to “Oruka Therapeutics, Inc.” and our Nasdaq ticker symbol from “ABIO” to “ORKA”. Following consummation of the Merger, we effected a 1-for-12 reverse stock split (the “Reverse Stock Split”) of the common stock, par value $0.001 per share, of the Company (“Company Common Stock”). The Company Common Stock commenced trading on a post-Reverse Stock Split, post-Merger basis at the opening of trading on September 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Financing and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certain new and existing investors of Pre-Merger Oruka entered into a subscription agreement with Pre-Merger Oruka (as amended, the “Subscription Agreement”), pursuant to which, and on the terms and subject to the conditions of which, immediately prior to the Closing, those investors purchased shares of common stock of Pre-Merger Oruka and Pre-Merger Oruka pre-funded warrants for gross proceeds of approximately $275.0 million. We incurred transaction costs of $20.5 million. At the Closing, those shares of common stock of Pre-Merger Oruka and the Pre-Merger Oruka pre-funded warrants were converted into shares of Company Common Stock and pre-funded warrants of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we entered into a Securities Purchase Agreement (the “2024 Securities Purchase Agreement”) for a private placement (the “2024 PIPE Financing”) with certain institutional and accredited investors. The closing of the 2024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2024 Securities Purchase Agreement, the investors purchased an aggregate of 5,600,000 shares of Company Common Stock at a purchase price of $23.00 per share, an aggregate of 2,439 shares of our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we entered into a Securities Purchase Agreement (the “2025 Securities Purchase Agreement”) for a private placement (the “2025 PIPE Financing”) with certain institutional and accredited investors. The closing of the 2025 PIPE Financing occurred on September 19,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2025 Securities Purchase Agreement, the investors purchased an aggregate of 10,933,405 shares of Company Common Stock at a purchase price of $15.00 per share, and pre-funded warrants to purchase an aggregate of 1,066,666 shares of Company Common Stock at a purchase price of $14.999 per pre-funded warrant, for aggregate net proceeds of approximately $169.6 million (net of issuance costs of $10.4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Agreements and License Agreements – Paragon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entered into two Antibody Discovery and Option Agreements with Paragon and Paruka Holding, LLC (“Paruka”) (each, an “Option Agreement”), pursuant to which we initiated certain research programs with Paragon focusing on discovering, generating, identifying and/or characterizing antibodies directed to a particular target, including for IL-23 and IL-17A/F for ORKA-001 and ORKA-002, respectively. In September 2024, we exercised our exclusive option to acquire certain rights to ORKA-001, and in December 2024, we entered into a corresponding license agreement with Paragon pursuant to which Paragon granted us a royalty-bearing, world-wide, exclusive license to develop, manufacture, commercialize or otherwise exploit certain antibodies and products targeting IL-23 in all fields other than the field of inflammatory bowel disease. In December 2024, we exercised our exclusive option to acquire certain rights to ORKA-002, and in February 2025, we entered into the corresponding license agreement with Paragon pursuant to which Paragon granted us a royalty-bearing, world-wide, exclusive license to develop, manufacture, commercialize or otherwise exploit certain antibodies and products targeting IL-17A/F in all fields (collectively, the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each of the License Agreements, Paragon has agreed not to conduct any new campaigns that generate anti-IL-23 monospecific antibodies or anti-IL-17A/F monospecific antibodies in the respective agreed-upon fields. Each of the ORKA-001 and ORKA-002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our product. There is also a royalty step-down if there is no Paragon patent in effect during the royalty term for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Agreements, as of September 30, 2025, we have incurred and expensed milestone payments of $7.0 million and $4.0 million for ORKA-001 and ORKA-002,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our programs. These expenses include:</w:t>
      </w:r>
    </w:p>
    <w:p>
      <w:pPr>
        <w:pStyle w:val="TextBody"/>
        <w:bidi w:val="0"/>
        <w:spacing w:before="0" w:after="0"/>
        <w:ind w:left="0" w:right="0" w:firstLine="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costs of funding research performed by third parties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costs incurred, and milestone payments under license and option agreements;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expenses incurred in connection with continuing our current research programs and discovery-phase development of any programs we may identify, including under future agreements with third parties, such as consultants and contractors;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expenses incurred under agreements with contract research organizations (“CROs”), contract manufacturing organizations (“CMOs”), and with clinical trial sites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cost of development and validating our manufacturing process for use in our preclinical studies and current and future clinical trials;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personnel-related expenses, including salaries, bonuses, employee benefits, travel, and stock-based compensation expense;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allocated human resource costs, information technology costs, and facility-related costs, including rent, maintenance, utilities, and depreciation for our leased office space.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See Note 10 to the condensed consolidated financial statements included in Part I - Item 1 of this Quarterly Report for further details on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05"/>
        <w:gridCol w:w="200"/>
        <w:gridCol w:w="4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timely and successful completion of preclinical studies;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effective investigational new drug (“IND”) or comparable foreign applications that allow commencement of our planned clinical trials or future clinical trials for any programs we may develop;</w:t>
            </w:r>
          </w:p>
        </w:tc>
      </w:tr>
    </w:tbl>
    <w:p>
      <w:pPr>
        <w:pStyle w:val="TextBody"/>
        <w:bidi w:val="0"/>
        <w:spacing w:before="0" w:after="0"/>
        <w:ind w:left="0" w:right="0" w:firstLine="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sz w:val="20"/>
              </w:rPr>
            </w:pPr>
            <w:r>
              <w:rPr>
                <w:sz w:val="20"/>
              </w:rPr>
              <w:t>successful enrollment and completion of clinical trials;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positive results from our clinical trials that support a finding of safety and effectiveness, acceptable pharmacokinetics profile, and an acceptable risk-benefit profile in the intended populations;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sz w:val="20"/>
              </w:rPr>
            </w:pPr>
            <w:r>
              <w:rPr>
                <w:sz w:val="20"/>
              </w:rPr>
              <w:t>receipt of marketing approvals from applicable regulatory authorities;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establishment of arrangements through our own facilities or with third-party manufacturers for clinical supply and, where applicable, commercial manufacturing capabilities;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maintenance of a continued acceptable safety, tolerability, and efficacy profile of any programs we may develop following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consists of interest earned on our cash, cash equivalents, and marketable securities; interest expense on the convertible note from a related party (see discussion herein); and foreign currency transactions gains and losses. Interest expense relates to a convertible note (the “Convertible Note”) issued to Fairmount Healthcare Fund II, L.P. (“Fairmount”), a related party, in March 2024. At the effective time of the Merger, the Convertible Note, along with the accrued interest, was automatically converted into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Three Months Ended September 30, 2025 and 2024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periods presented (in thousands):</w:t>
      </w:r>
    </w:p>
    <w:p>
      <w:pPr>
        <w:pStyle w:val="TextBody"/>
        <w:bidi w:val="0"/>
        <w:spacing w:before="0" w:after="0"/>
        <w:ind w:left="0" w:right="0" w:firstLine="360"/>
        <w:jc w:val="both"/>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3230"/>
        <w:gridCol w:w="90"/>
        <w:gridCol w:w="266"/>
        <w:gridCol w:w="1238"/>
        <w:gridCol w:w="125"/>
        <w:gridCol w:w="90"/>
        <w:gridCol w:w="266"/>
        <w:gridCol w:w="1238"/>
        <w:gridCol w:w="125"/>
        <w:gridCol w:w="90"/>
        <w:gridCol w:w="170"/>
        <w:gridCol w:w="665"/>
        <w:gridCol w:w="125"/>
        <w:gridCol w:w="90"/>
        <w:gridCol w:w="755"/>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Three Months</w:t>
              <w:br/>
              <w:t>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Three Months</w:t>
              <w:br/>
              <w:t>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sz w:val="20"/>
              </w:rPr>
            </w:pPr>
            <w:r>
              <w:rPr>
                <w:sz w:val="20"/>
              </w:rPr>
              <w:t>Research and development</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28,988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25,691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13%</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sz w:val="20"/>
              </w:rPr>
            </w:pPr>
            <w:r>
              <w:rPr>
                <w:sz w:val="20"/>
              </w:rPr>
              <w:t>General and administrative</w:t>
            </w:r>
            <w:r>
              <w:rPr>
                <w:position w:val="7"/>
                <w:sz w:val="16"/>
                <w:sz w:val="20"/>
              </w:rPr>
              <w:t>(2)</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5,117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3,758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36%</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34,105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29,449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(34,105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(29,449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(4,656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16%</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188%</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sz w:val="20"/>
              </w:rPr>
            </w:pPr>
            <w:r>
              <w:rPr>
                <w:sz w:val="20"/>
              </w:rPr>
              <w:t>Interest expense</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(100)%</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3,828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826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sz w:val="20"/>
              </w:rPr>
            </w:pPr>
            <w:r>
              <w:rPr>
                <w:sz w:val="20"/>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6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(30,277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(28,623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(1,654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6%</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both"/>
              <w:rPr>
                <w:sz w:val="20"/>
              </w:rPr>
            </w:pPr>
            <w:r>
              <w:rPr>
                <w:sz w:val="20"/>
              </w:rPr>
              <w:t>Percentage not meaningful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sz w:val="20"/>
              </w:rPr>
            </w:pPr>
            <w:r>
              <w:rPr>
                <w:sz w:val="20"/>
              </w:rPr>
              <w:t>(1)</w:t>
            </w:r>
          </w:p>
        </w:tc>
        <w:tc>
          <w:tcPr>
            <w:tcW w:w="9924" w:type="dxa"/>
            <w:tcBorders/>
            <w:vAlign w:val="center"/>
          </w:tcPr>
          <w:p>
            <w:pPr>
              <w:pStyle w:val="TableContents"/>
              <w:bidi w:val="0"/>
              <w:spacing w:before="0" w:after="283"/>
              <w:jc w:val="both"/>
              <w:rPr>
                <w:sz w:val="20"/>
              </w:rPr>
            </w:pPr>
            <w:r>
              <w:rPr>
                <w:sz w:val="20"/>
              </w:rPr>
              <w:t>Includes related party amounts of $9,595 and $13,537 for the three months ended September 30, 2025 and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sz w:val="20"/>
              </w:rPr>
            </w:pPr>
            <w:r>
              <w:rPr>
                <w:sz w:val="20"/>
              </w:rPr>
              <w:t>(2)</w:t>
            </w:r>
          </w:p>
        </w:tc>
        <w:tc>
          <w:tcPr>
            <w:tcW w:w="9920" w:type="dxa"/>
            <w:tcBorders/>
            <w:vAlign w:val="center"/>
          </w:tcPr>
          <w:p>
            <w:pPr>
              <w:pStyle w:val="TableContents"/>
              <w:bidi w:val="0"/>
              <w:spacing w:before="0" w:after="283"/>
              <w:jc w:val="both"/>
              <w:rPr>
                <w:sz w:val="20"/>
              </w:rPr>
            </w:pPr>
            <w:r>
              <w:rPr>
                <w:sz w:val="20"/>
              </w:rPr>
              <w:t>Includes related party amounts of $8 and $71 for the three months ended September 30, 2025 and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sz w:val="20"/>
              </w:rPr>
            </w:pPr>
            <w:r>
              <w:rPr>
                <w:sz w:val="20"/>
              </w:rPr>
              <w:t>(3)</w:t>
            </w:r>
          </w:p>
        </w:tc>
        <w:tc>
          <w:tcPr>
            <w:tcW w:w="9921" w:type="dxa"/>
            <w:tcBorders/>
            <w:vAlign w:val="center"/>
          </w:tcPr>
          <w:p>
            <w:pPr>
              <w:pStyle w:val="TableContents"/>
              <w:bidi w:val="0"/>
              <w:spacing w:before="0" w:after="283"/>
              <w:jc w:val="both"/>
              <w:rPr>
                <w:sz w:val="20"/>
              </w:rPr>
            </w:pPr>
            <w:r>
              <w:rPr>
                <w:sz w:val="20"/>
              </w:rPr>
              <w:t>Includes related party amounts of nil and $504 for the three months ended September 30, 2025 and September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1"/>
        <w:gridCol w:w="90"/>
        <w:gridCol w:w="290"/>
        <w:gridCol w:w="1215"/>
        <w:gridCol w:w="90"/>
        <w:gridCol w:w="90"/>
        <w:gridCol w:w="290"/>
        <w:gridCol w:w="1215"/>
        <w:gridCol w:w="90"/>
        <w:gridCol w:w="90"/>
        <w:gridCol w:w="170"/>
        <w:gridCol w:w="590"/>
        <w:gridCol w:w="125"/>
        <w:gridCol w:w="90"/>
        <w:gridCol w:w="90"/>
        <w:gridCol w:w="583"/>
        <w:gridCol w:w="136"/>
      </w:tblGrid>
      <w:tr>
        <w:trPr/>
        <w:tc>
          <w:tcPr>
            <w:tcW w:w="49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Three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Three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6" w:type="dxa"/>
            <w:tcBorders/>
            <w:vAlign w:val="center"/>
          </w:tcPr>
          <w:p>
            <w:pPr>
              <w:pStyle w:val="TableContents"/>
              <w:bidi w:val="0"/>
              <w:spacing w:before="0" w:after="283"/>
              <w:jc w:val="left"/>
              <w:rPr/>
            </w:pPr>
            <w:r>
              <w:rPr/>
              <w:t> </w:t>
            </w:r>
          </w:p>
        </w:tc>
      </w:tr>
      <w:tr>
        <w:trPr/>
        <w:tc>
          <w:tcPr>
            <w:tcW w:w="49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6" w:type="dxa"/>
            <w:tcBorders/>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External research and development expenses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15,581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15,908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center"/>
              <w:rPr/>
            </w:pPr>
            <w:r>
              <w:rPr/>
              <w:t>(2)%</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4961"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3,774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center"/>
              <w:rPr/>
            </w:pPr>
            <w:r>
              <w:rPr/>
              <w:t>189%</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4961"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8,341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7,772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7%</w:t>
            </w:r>
          </w:p>
        </w:tc>
        <w:tc>
          <w:tcPr>
            <w:tcW w:w="136"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1,292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585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center"/>
              <w:rPr/>
            </w:pPr>
            <w:r>
              <w:rPr/>
              <w:t>83%</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4961"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28,988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25,691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3,297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13%</w:t>
            </w:r>
          </w:p>
        </w:tc>
        <w:tc>
          <w:tcPr>
            <w:tcW w:w="1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$3.3 million, from $25.7 million for the three months ended September 30, 2024 to $29.0 million for the three months ended September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including CROs, CMOs and other third-party preclinical studies and clinical trials expenses decreased by $0.3 million, from $15.9 million for the three months ended September 30, 2024 to $15.6 million for the three months ended September 30, 2025. The decrease is primarily related to the decrease in research expenses incurred by Paragon partially offset by increased CMO product development and manufacturing expenses and an increase in our CRO expenses related to our ongoing clinical trials and toxicology studies.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$2.5 million, from $1.3 million for the three months ended September 30, 2024 to $3.8 million for the three months ended September 30, 2025, as we continue hiring employees in our research and development organization. Stock-based compensation expense increased by $0.6 million, from $7.8 million for the three months ended September 30, 2024 to $8.3 million for the three months ended September 30, 2025. The increase in stock-based compensation expense is primarily related to a $1.3 million increase in employee awards, partially offset by a $0.7 million decrease in Paruka warrant liability under the Option Agreements. Other research and development expenses increased by $0.6 million, from $0.7 million for the three months ended September 30, 2024 to $1.3 million for the three months ended September 30, 2025, primarily due to increases to facilities and allocated overhead expenses as we commenced using our leased Waltham office from April 2025, as well as an increase in our research and development employee 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2"/>
        <w:gridCol w:w="90"/>
        <w:gridCol w:w="336"/>
        <w:gridCol w:w="1169"/>
        <w:gridCol w:w="90"/>
        <w:gridCol w:w="90"/>
        <w:gridCol w:w="336"/>
        <w:gridCol w:w="1169"/>
        <w:gridCol w:w="90"/>
        <w:gridCol w:w="90"/>
        <w:gridCol w:w="170"/>
        <w:gridCol w:w="590"/>
        <w:gridCol w:w="125"/>
        <w:gridCol w:w="90"/>
        <w:gridCol w:w="612"/>
        <w:gridCol w:w="136"/>
      </w:tblGrid>
      <w:tr>
        <w:trPr/>
        <w:tc>
          <w:tcPr>
            <w:tcW w:w="502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Three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Three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7"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6" w:type="dxa"/>
            <w:tcBorders/>
            <w:vAlign w:val="center"/>
          </w:tcPr>
          <w:p>
            <w:pPr>
              <w:pStyle w:val="TableContents"/>
              <w:bidi w:val="0"/>
              <w:spacing w:before="0" w:after="283"/>
              <w:jc w:val="left"/>
              <w:rPr/>
            </w:pPr>
            <w:r>
              <w:rPr/>
              <w:t> </w:t>
            </w:r>
          </w:p>
        </w:tc>
      </w:tr>
      <w:tr>
        <w:trPr/>
        <w:tc>
          <w:tcPr>
            <w:tcW w:w="502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2" w:type="dxa"/>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6" w:type="dxa"/>
            <w:tcBorders/>
            <w:vAlign w:val="center"/>
          </w:tcPr>
          <w:p>
            <w:pPr>
              <w:pStyle w:val="TableContents"/>
              <w:bidi w:val="0"/>
              <w:spacing w:before="0" w:after="283"/>
              <w:jc w:val="left"/>
              <w:rPr/>
            </w:pPr>
            <w:r>
              <w:rPr/>
              <w:t> </w:t>
            </w:r>
          </w:p>
        </w:tc>
      </w:tr>
      <w:tr>
        <w:trPr/>
        <w:tc>
          <w:tcPr>
            <w:tcW w:w="5022" w:type="dxa"/>
            <w:tcBorders/>
            <w:shd w:fill="CCEEFF" w:val="clear"/>
            <w:vAlign w:val="center"/>
          </w:tcPr>
          <w:p>
            <w:pPr>
              <w:pStyle w:val="TableContents"/>
              <w:bidi w:val="0"/>
              <w:spacing w:before="0" w:after="283"/>
              <w:jc w:val="left"/>
              <w:rPr/>
            </w:pPr>
            <w:r>
              <w:rPr/>
              <w:t>Personnel-related (including stock-based compensation)</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3,769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2,435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center"/>
              <w:rPr/>
            </w:pPr>
            <w:r>
              <w:rPr/>
              <w:t>55%</w:t>
            </w:r>
          </w:p>
        </w:tc>
        <w:tc>
          <w:tcPr>
            <w:tcW w:w="136" w:type="dxa"/>
            <w:tcBorders/>
            <w:shd w:fill="CCEEFF" w:val="clear"/>
            <w:vAlign w:val="center"/>
          </w:tcPr>
          <w:p>
            <w:pPr>
              <w:pStyle w:val="TableContents"/>
              <w:bidi w:val="0"/>
              <w:spacing w:before="0" w:after="283"/>
              <w:ind w:left="0" w:right="0" w:hanging="184"/>
              <w:jc w:val="left"/>
              <w:rPr>
                <w:sz w:val="4"/>
                <w:szCs w:val="4"/>
              </w:rPr>
            </w:pPr>
            <w:r>
              <w:rPr>
                <w:sz w:val="4"/>
                <w:szCs w:val="4"/>
              </w:rPr>
            </w:r>
          </w:p>
        </w:tc>
      </w:tr>
      <w:tr>
        <w:trPr/>
        <w:tc>
          <w:tcPr>
            <w:tcW w:w="5022" w:type="dxa"/>
            <w:tcBorders/>
            <w:vAlign w:val="center"/>
          </w:tcPr>
          <w:p>
            <w:pPr>
              <w:pStyle w:val="TableContents"/>
              <w:bidi w:val="0"/>
              <w:spacing w:before="0" w:after="283"/>
              <w:jc w:val="left"/>
              <w:rPr/>
            </w:pPr>
            <w:r>
              <w:rPr/>
              <w:t>Professional and consulting services</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817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pPr>
            <w:r>
              <w:rPr/>
              <w:t>63%</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22"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center"/>
              <w:rPr/>
            </w:pPr>
            <w:r>
              <w:rPr/>
              <w:t>(96)%</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5022"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5,117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3,758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pPr>
            <w:r>
              <w:rPr/>
              <w:t>36%</w:t>
            </w:r>
          </w:p>
        </w:tc>
        <w:tc>
          <w:tcPr>
            <w:tcW w:w="1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$1.4 million, from $3.8 million for the three months ended September 30, 2024 to $5.1 million for the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$1.3 million, from $2.4 million for the three months ended September 30, 2024 to $3.8 million for the three months ended September 30, 2025, as a result of continued hiring of executives and administrative employees. Stock-based compensation expense increased by $0.6 million, from $1.2 million for the three months ended September 30, 2024 to $1.8 million for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professional and consulting services increased by $0.5 million, from $0.8 million for the three months ended September 30, 2024 to $1.3 million for the three months ended September 30, 2025, due to higher spending on accounting, audit, and legal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decreased by $0.5 million primarily due to facilities and allocated overhead expenses being allocated to research and development expenses as a result of the increase in our research and development employee 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$3.8 million for the three months ended September 30, 2025. Interest income from money market funds was $1.3 million for the three months ended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interest expense was recorded during the three months ended September 30, 2025. Interest expense of $0.5 million was incurred for the three months ended September 30, 2024 relating to the Convertible Note issued to Fairmount in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Nine Months Ended September 30, 2025, and the period from February 6 (inception) to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8818" w:type="dxa"/>
        <w:jc w:val="left"/>
        <w:tblInd w:w="0" w:type="dxa"/>
        <w:tblLayout w:type="fixed"/>
        <w:tblCellMar>
          <w:top w:w="0" w:type="dxa"/>
          <w:left w:w="0" w:type="dxa"/>
          <w:bottom w:w="0" w:type="dxa"/>
          <w:right w:w="0" w:type="dxa"/>
        </w:tblCellMar>
      </w:tblPr>
      <w:tblGrid>
        <w:gridCol w:w="3230"/>
        <w:gridCol w:w="90"/>
        <w:gridCol w:w="266"/>
        <w:gridCol w:w="1238"/>
        <w:gridCol w:w="125"/>
        <w:gridCol w:w="90"/>
        <w:gridCol w:w="266"/>
        <w:gridCol w:w="1238"/>
        <w:gridCol w:w="125"/>
        <w:gridCol w:w="90"/>
        <w:gridCol w:w="170"/>
        <w:gridCol w:w="785"/>
        <w:gridCol w:w="125"/>
        <w:gridCol w:w="90"/>
        <w:gridCol w:w="755"/>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Nine Months</w:t>
              <w:br/>
              <w:t>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Period from</w:t>
              <w:br/>
              <w:t>February 6,</w:t>
              <w:br/>
              <w:t>2024</w:t>
              <w:br/>
              <w:t>(inception) to</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5"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sz w:val="20"/>
              </w:rPr>
            </w:pPr>
            <w:r>
              <w:rPr>
                <w:sz w:val="20"/>
              </w:rPr>
              <w:t>Research and development</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73,000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49,557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23,443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47%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sz w:val="20"/>
              </w:rPr>
            </w:pPr>
            <w:r>
              <w:rPr>
                <w:sz w:val="20"/>
              </w:rPr>
              <w:t>General and administrative</w:t>
            </w:r>
            <w:r>
              <w:rPr>
                <w:position w:val="7"/>
                <w:sz w:val="16"/>
                <w:sz w:val="20"/>
              </w:rPr>
              <w:t>(2)</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14,620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8,248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6,372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77%</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87,620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57,805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29,815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52%</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(87,620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(57,805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(29,815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52%</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11,781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10,451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sz w:val="20"/>
              </w:rPr>
            </w:pPr>
            <w:r>
              <w:rPr>
                <w:sz w:val="20"/>
              </w:rPr>
              <w:t>*</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sz w:val="20"/>
              </w:rPr>
            </w:pPr>
            <w:r>
              <w:rPr>
                <w:sz w:val="20"/>
              </w:rPr>
              <w:t>Interest expense</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(1,468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(100)%</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11,770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11,908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sz w:val="20"/>
              </w:rPr>
            </w:pPr>
            <w:r>
              <w:rPr>
                <w:sz w:val="20"/>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6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(75,850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(57,943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(17,907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31%</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both"/>
              <w:rPr>
                <w:sz w:val="20"/>
              </w:rPr>
            </w:pPr>
            <w:r>
              <w:rPr>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sz w:val="20"/>
              </w:rPr>
            </w:pPr>
            <w:r>
              <w:rPr>
                <w:sz w:val="20"/>
              </w:rPr>
              <w:t>(1)</w:t>
            </w:r>
          </w:p>
        </w:tc>
        <w:tc>
          <w:tcPr>
            <w:tcW w:w="9938" w:type="dxa"/>
            <w:tcBorders/>
            <w:vAlign w:val="center"/>
          </w:tcPr>
          <w:p>
            <w:pPr>
              <w:pStyle w:val="TableContents"/>
              <w:bidi w:val="0"/>
              <w:spacing w:before="0" w:after="283"/>
              <w:jc w:val="both"/>
              <w:rPr>
                <w:sz w:val="20"/>
              </w:rPr>
            </w:pPr>
            <w:r>
              <w:rPr>
                <w:sz w:val="20"/>
              </w:rPr>
              <w:t>Includes related party amounts of $15,998 and $33,967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sz w:val="20"/>
              </w:rPr>
            </w:pPr>
            <w:r>
              <w:rPr>
                <w:sz w:val="20"/>
              </w:rPr>
              <w:t>Includes related party amounts of $130 and $1,339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(3)</w:t>
            </w:r>
          </w:p>
        </w:tc>
        <w:tc>
          <w:tcPr>
            <w:tcW w:w="9937" w:type="dxa"/>
            <w:tcBorders/>
            <w:vAlign w:val="center"/>
          </w:tcPr>
          <w:p>
            <w:pPr>
              <w:pStyle w:val="TableContents"/>
              <w:bidi w:val="0"/>
              <w:spacing w:before="0" w:after="283"/>
              <w:jc w:val="both"/>
              <w:rPr>
                <w:sz w:val="20"/>
              </w:rPr>
            </w:pPr>
            <w:r>
              <w:rPr>
                <w:sz w:val="20"/>
              </w:rPr>
              <w:t>Includes related party amounts of nil and $1,468 for the nine months ended September 30, 2025 and the period from February 6, 2024 (inception) to September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5"/>
        <w:gridCol w:w="90"/>
        <w:gridCol w:w="288"/>
        <w:gridCol w:w="1206"/>
        <w:gridCol w:w="90"/>
        <w:gridCol w:w="90"/>
        <w:gridCol w:w="285"/>
        <w:gridCol w:w="1193"/>
        <w:gridCol w:w="90"/>
        <w:gridCol w:w="90"/>
        <w:gridCol w:w="170"/>
        <w:gridCol w:w="710"/>
        <w:gridCol w:w="90"/>
        <w:gridCol w:w="90"/>
        <w:gridCol w:w="471"/>
        <w:gridCol w:w="137"/>
      </w:tblGrid>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center"/>
              <w:rPr>
                <w:b/>
              </w:rPr>
            </w:pPr>
            <w:r>
              <w:rPr>
                <w:b/>
              </w:rPr>
              <w:t>Nine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8" w:type="dxa"/>
            <w:gridSpan w:val="2"/>
            <w:tcBorders/>
            <w:vAlign w:val="center"/>
          </w:tcPr>
          <w:p>
            <w:pPr>
              <w:pStyle w:val="TableContents"/>
              <w:bidi w:val="0"/>
              <w:spacing w:before="0" w:after="283"/>
              <w:jc w:val="center"/>
              <w:rPr>
                <w:b/>
              </w:rPr>
            </w:pPr>
            <w:r>
              <w:rPr>
                <w:b/>
              </w:rPr>
              <w:t>Period from</w:t>
              <w:br/>
              <w:t>February 6,</w:t>
              <w:br/>
              <w:t>2024</w:t>
              <w:br/>
              <w:t>(inception) to</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1"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7" w:type="dxa"/>
            <w:tcBorders/>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1" w:type="dxa"/>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7" w:type="dxa"/>
            <w:tcBorders/>
            <w:vAlign w:val="center"/>
          </w:tcPr>
          <w:p>
            <w:pPr>
              <w:pStyle w:val="TableContents"/>
              <w:bidi w:val="0"/>
              <w:spacing w:before="0" w:after="283"/>
              <w:ind w:left="0" w:right="0" w:hanging="184"/>
              <w:jc w:val="left"/>
              <w:rPr/>
            </w:pPr>
            <w:r>
              <w:rPr/>
              <w:t> </w:t>
            </w:r>
          </w:p>
        </w:tc>
      </w:tr>
      <w:tr>
        <w:trPr/>
        <w:tc>
          <w:tcPr>
            <w:tcW w:w="5115" w:type="dxa"/>
            <w:tcBorders/>
            <w:shd w:fill="CCEEFF" w:val="clear"/>
            <w:vAlign w:val="center"/>
          </w:tcPr>
          <w:p>
            <w:pPr>
              <w:pStyle w:val="TableContents"/>
              <w:bidi w:val="0"/>
              <w:spacing w:before="0" w:after="283"/>
              <w:jc w:val="left"/>
              <w:rPr/>
            </w:pPr>
            <w:r>
              <w:rPr/>
              <w:t>External research and development expenses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45,607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37,926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7,681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center"/>
              <w:rPr/>
            </w:pPr>
            <w:r>
              <w:rPr/>
              <w:t>20%</w:t>
            </w:r>
          </w:p>
        </w:tc>
        <w:tc>
          <w:tcPr>
            <w:tcW w:w="137" w:type="dxa"/>
            <w:tcBorders/>
            <w:shd w:fill="CCEEFF" w:val="clear"/>
            <w:vAlign w:val="center"/>
          </w:tcPr>
          <w:p>
            <w:pPr>
              <w:pStyle w:val="TableContents"/>
              <w:bidi w:val="0"/>
              <w:spacing w:before="0" w:after="283"/>
              <w:jc w:val="left"/>
              <w:rPr>
                <w:sz w:val="4"/>
                <w:szCs w:val="4"/>
              </w:rPr>
            </w:pPr>
            <w:r>
              <w:rPr>
                <w:sz w:val="4"/>
                <w:szCs w:val="4"/>
              </w:rPr>
            </w:r>
          </w:p>
        </w:tc>
      </w:tr>
      <w:tr>
        <w:trPr/>
        <w:tc>
          <w:tcPr>
            <w:tcW w:w="5115"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5115" w:type="dxa"/>
            <w:tcBorders/>
            <w:shd w:fill="CCEEFF" w:val="clear"/>
            <w:vAlign w:val="center"/>
          </w:tcPr>
          <w:p>
            <w:pPr>
              <w:pStyle w:val="TableContents"/>
              <w:bidi w:val="0"/>
              <w:spacing w:before="0" w:after="283"/>
              <w:jc w:val="left"/>
              <w:rPr/>
            </w:pPr>
            <w:r>
              <w:rPr/>
              <w:t>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9,538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center"/>
              <w:rPr>
                <w:sz w:val="20"/>
              </w:rPr>
            </w:pPr>
            <w:r>
              <w:rPr>
                <w:sz w:val="20"/>
              </w:rPr>
              <w:t>*</w:t>
            </w:r>
          </w:p>
        </w:tc>
        <w:tc>
          <w:tcPr>
            <w:tcW w:w="137" w:type="dxa"/>
            <w:tcBorders/>
            <w:shd w:fill="CCEEFF" w:val="clear"/>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14,712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8,310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6,402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center"/>
              <w:rPr/>
            </w:pPr>
            <w:r>
              <w:rPr/>
              <w:t>77%</w:t>
            </w:r>
          </w:p>
        </w:tc>
        <w:tc>
          <w:tcPr>
            <w:tcW w:w="137" w:type="dxa"/>
            <w:tcBorders/>
            <w:vAlign w:val="center"/>
          </w:tcPr>
          <w:p>
            <w:pPr>
              <w:pStyle w:val="TableContents"/>
              <w:bidi w:val="0"/>
              <w:spacing w:before="0" w:after="283"/>
              <w:jc w:val="left"/>
              <w:rPr>
                <w:sz w:val="4"/>
                <w:szCs w:val="4"/>
              </w:rPr>
            </w:pPr>
            <w:r>
              <w:rPr>
                <w:sz w:val="4"/>
                <w:szCs w:val="4"/>
              </w:rPr>
            </w:r>
          </w:p>
        </w:tc>
      </w:tr>
      <w:tr>
        <w:trPr/>
        <w:tc>
          <w:tcPr>
            <w:tcW w:w="511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CCEEFF" w:val="clear"/>
            <w:tcMar>
              <w:bottom w:w="28" w:type="dxa"/>
            </w:tcMar>
            <w:vAlign w:val="center"/>
          </w:tcPr>
          <w:p>
            <w:pPr>
              <w:pStyle w:val="TableContents"/>
              <w:bidi w:val="0"/>
              <w:spacing w:before="0" w:after="283"/>
              <w:jc w:val="right"/>
              <w:rPr/>
            </w:pPr>
            <w:r>
              <w:rPr/>
              <w:t>3,143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947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center"/>
              <w:rPr>
                <w:sz w:val="20"/>
              </w:rPr>
            </w:pPr>
            <w:r>
              <w:rPr>
                <w:sz w:val="20"/>
              </w:rPr>
              <w:t>*</w:t>
            </w:r>
          </w:p>
        </w:tc>
        <w:tc>
          <w:tcPr>
            <w:tcW w:w="137" w:type="dxa"/>
            <w:tcBorders/>
            <w:shd w:fill="CCEEFF" w:val="clear"/>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tcMar>
              <w:bottom w:w="28" w:type="dxa"/>
            </w:tcMar>
            <w:vAlign w:val="center"/>
          </w:tcPr>
          <w:p>
            <w:pPr>
              <w:pStyle w:val="TableContents"/>
              <w:bidi w:val="0"/>
              <w:spacing w:before="0" w:after="283"/>
              <w:jc w:val="right"/>
              <w:rPr/>
            </w:pPr>
            <w:r>
              <w:rPr/>
              <w:t>73,000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tcMar>
              <w:bottom w:w="28" w:type="dxa"/>
            </w:tcMar>
            <w:vAlign w:val="center"/>
          </w:tcPr>
          <w:p>
            <w:pPr>
              <w:pStyle w:val="TableContents"/>
              <w:bidi w:val="0"/>
              <w:spacing w:before="0" w:after="283"/>
              <w:jc w:val="right"/>
              <w:rPr/>
            </w:pPr>
            <w:r>
              <w:rPr/>
              <w:t>49,557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23,443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center"/>
              <w:rPr/>
            </w:pPr>
            <w:r>
              <w:rPr/>
              <w:t>47%</w:t>
            </w:r>
          </w:p>
        </w:tc>
        <w:tc>
          <w:tcPr>
            <w:tcW w:w="1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left"/>
              <w:rPr>
                <w:sz w:val="20"/>
              </w:rPr>
            </w:pPr>
            <w:r>
              <w:rPr>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$23.4 million, from $49.6 million for the period from February 6, 2024 (inception) to September 30, 2024 to $73.0 million for the nine months ended September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including CROs, CMOs and other third-party preclinical studies and clinical trials expenses increased by $7.7 million, from $37.9 million for the period from February 6, 2024 (inception) to September 30, 2024 to $45.6 million for the nine months ended September 30, 2025. The increase is primarily related to increased CMO product development and manufacturing expenses, an increase in our CRO expenses related to our ongoing clinical trials and toxicology studies, partially offset by a reduction of research expenses incurred by Paragon.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$7.2 million, from $2.4 million for the period from February 6, 2024 (inception) to September 30, 2024 to $9.5 million for the nine months ended September 30, 2025, as we continue hiring employees in our research and development organization. Stock-based compensation expense increased by $6.4 million, from $8.3 million for the period from February 6, 2024 (inception) to September 30, 2024 to $14.7 million for the nine months ended September 30, 2025. Stock-based compensation expense increased by $4.4 million due to the increase in employee awards and $2.0 million due to an increase in Paruka warrant liability under the Option Agreements. Other research and development expenses increased by $2.2 million, from $0.9 million for the period from February 6, 2024 (inception) to September 30, 2024 to $3.1 million for the nine months ended September 30, 2025, primarily due to facilities and allocated overhead expenses as we commenced using our leased Menlo Park office space from June 2024 and Waltham office from April 2025, as well as increase in our research and development employee 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6"/>
        <w:gridCol w:w="90"/>
        <w:gridCol w:w="288"/>
        <w:gridCol w:w="1205"/>
        <w:gridCol w:w="90"/>
        <w:gridCol w:w="90"/>
        <w:gridCol w:w="329"/>
        <w:gridCol w:w="1146"/>
        <w:gridCol w:w="90"/>
        <w:gridCol w:w="90"/>
        <w:gridCol w:w="170"/>
        <w:gridCol w:w="590"/>
        <w:gridCol w:w="125"/>
        <w:gridCol w:w="90"/>
        <w:gridCol w:w="618"/>
        <w:gridCol w:w="138"/>
      </w:tblGrid>
      <w:tr>
        <w:trPr/>
        <w:tc>
          <w:tcPr>
            <w:tcW w:w="505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3" w:type="dxa"/>
            <w:gridSpan w:val="2"/>
            <w:tcBorders/>
            <w:vAlign w:val="center"/>
          </w:tcPr>
          <w:p>
            <w:pPr>
              <w:pStyle w:val="TableContents"/>
              <w:bidi w:val="0"/>
              <w:spacing w:before="0" w:after="283"/>
              <w:jc w:val="center"/>
              <w:rPr>
                <w:b/>
              </w:rPr>
            </w:pPr>
            <w:r>
              <w:rPr>
                <w:b/>
              </w:rPr>
              <w:t>Nine Months</w:t>
              <w:br/>
              <w:t>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Period from</w:t>
              <w:br/>
              <w:t>February 6,</w:t>
              <w:br/>
              <w:t>2024</w:t>
              <w:br/>
              <w:t>(inception) to</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3"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8" w:type="dxa"/>
            <w:tcBorders/>
            <w:vAlign w:val="center"/>
          </w:tcPr>
          <w:p>
            <w:pPr>
              <w:pStyle w:val="TableContents"/>
              <w:bidi w:val="0"/>
              <w:spacing w:before="0" w:after="283"/>
              <w:jc w:val="left"/>
              <w:rPr/>
            </w:pPr>
            <w:r>
              <w:rPr/>
              <w:t> </w:t>
            </w:r>
          </w:p>
        </w:tc>
      </w:tr>
      <w:tr>
        <w:trPr/>
        <w:tc>
          <w:tcPr>
            <w:tcW w:w="505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 w:type="dxa"/>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8" w:type="dxa"/>
            <w:tcBorders/>
            <w:vAlign w:val="center"/>
          </w:tcPr>
          <w:p>
            <w:pPr>
              <w:pStyle w:val="TableContents"/>
              <w:bidi w:val="0"/>
              <w:spacing w:before="0" w:after="283"/>
              <w:jc w:val="left"/>
              <w:rPr/>
            </w:pPr>
            <w:r>
              <w:rPr/>
              <w:t> </w:t>
            </w:r>
          </w:p>
        </w:tc>
      </w:tr>
      <w:tr>
        <w:trPr/>
        <w:tc>
          <w:tcPr>
            <w:tcW w:w="5056" w:type="dxa"/>
            <w:tcBorders/>
            <w:shd w:fill="CCEEFF" w:val="clear"/>
            <w:vAlign w:val="center"/>
          </w:tcPr>
          <w:p>
            <w:pPr>
              <w:pStyle w:val="TableContents"/>
              <w:bidi w:val="0"/>
              <w:spacing w:before="0" w:after="283"/>
              <w:jc w:val="left"/>
              <w:rPr/>
            </w:pPr>
            <w:r>
              <w:rPr/>
              <w:t>Personnel-related (including stock-based compensation)</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4,590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center"/>
              <w:rPr/>
            </w:pPr>
            <w:r>
              <w:rPr/>
              <w:t>135%</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Professional and consulting services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2,936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center"/>
              <w:rPr/>
            </w:pPr>
            <w:r>
              <w:rPr/>
              <w:t>17%</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283"/>
              <w:jc w:val="right"/>
              <w:rPr/>
            </w:pPr>
            <w:r>
              <w:rPr/>
              <w:t>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center"/>
              <w:rPr/>
            </w:pPr>
            <w:r>
              <w:rPr/>
              <w:t>(44)%</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2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14,620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9" w:type="dxa"/>
            <w:tcBorders>
              <w:bottom w:val="double" w:sz="10" w:space="0" w:color="000000"/>
            </w:tcBorders>
            <w:tcMar>
              <w:bottom w:w="28" w:type="dxa"/>
            </w:tcMar>
            <w:vAlign w:val="center"/>
          </w:tcPr>
          <w:p>
            <w:pPr>
              <w:pStyle w:val="TableContents"/>
              <w:bidi w:val="0"/>
              <w:spacing w:before="0" w:after="283"/>
              <w:jc w:val="left"/>
              <w:rPr/>
            </w:pPr>
            <w:r>
              <w:rPr/>
              <w:t>$</w:t>
            </w:r>
          </w:p>
        </w:tc>
        <w:tc>
          <w:tcPr>
            <w:tcW w:w="1146" w:type="dxa"/>
            <w:tcBorders>
              <w:bottom w:val="double" w:sz="10" w:space="0" w:color="000000"/>
            </w:tcBorders>
            <w:tcMar>
              <w:bottom w:w="28" w:type="dxa"/>
            </w:tcMar>
            <w:vAlign w:val="center"/>
          </w:tcPr>
          <w:p>
            <w:pPr>
              <w:pStyle w:val="TableContents"/>
              <w:bidi w:val="0"/>
              <w:spacing w:before="0" w:after="283"/>
              <w:jc w:val="right"/>
              <w:rPr/>
            </w:pPr>
            <w:r>
              <w:rPr/>
              <w:t>8,248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6,372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center"/>
              <w:rPr/>
            </w:pPr>
            <w:r>
              <w:rPr/>
              <w:t>77%</w:t>
            </w:r>
          </w:p>
        </w:tc>
        <w:tc>
          <w:tcPr>
            <w:tcW w:w="1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$6.4 million, from $8.2 million for the period from February 6, 2024 (inception) to September 30, 2024 to $14.6 million for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$6.2 million, from $4.6 million for the period from February 6, 2024 (inception) to September 30, 2024 to $10.8 million for the nine months ended September 30, 2025, as a result of continued hiring of executives and administrative employees. Stock-based compensation expense was $1.5 million and $5.4 million for the period from February 6, 2024 (inception) to September 30, 2024 and for the nine months ended September 30,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professional and consulting services increased by $0.5 million, from $2.9 million for the period from February 6, 2024 (inception) to September 30, 2024 compared to $3.4 million for the nine months ended September 30, 2025, due to higher spending on accounting, audit, and legal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decreased by $0.3 million primarily due to facilities and allocated overhead expenses being allocated to research and development expenses as a result of the increase in our research and development employee 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$11.8 million for the nine months ended September 30, 2025. Interest income from money market funds was $1.3 million for the period from February 6, 2024 (inception) to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interest expense was recorded during the nine months ended September 30, 2025. Interest expense was $1.5 million for the period from February 6, 2024 (inception) to September 30, 2024 relating to the Convertible Note issued to Fairmount in March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$500.9 million of cash, cash equivalents, and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September 30, 2025, we had funded our operations primarily with proceeds from issuances of convertible preferred stock, common stock, a convertible note, and pre-funded warrants.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 Sales Agreement with TD Securities (USA) LLC (the “Sales Agreement”), as its sales agent, pursuant to which we may issue and sell, from time to time, shares of Company Common Stock for aggregate gross proceeds of up to $200.0 million under an at-the-market equity offering program. We are not obligated to make any sales of shares under the Sales Agreement.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the development of our product candidates and advance our pipeline. This includes both the research and development costs and the general and administrative expenses required to support those operations. Since we are a clinical stage biopharmaceutical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Quarterly Report. We will need to secure additional financing in the future to fund additional research and development, and before a commercial drug can be produced, marketed, and sold. At this time, due to the inherently unpredictable nature of clinical development, we cannot reasonably estimate the costs we will incur and the timelines that will be required to complete development, obtain marketing approval, and commercialize our current product candidate or any future product candidates. For the same reasons, we are also unable to predict when, if ever, we will generate revenue from product sales or our current or any future license agreements which we may enter into or whether, or when, if ever, we may achieve profitability. In addition, with a change in the presidential administration in 2025, there has been an economic policy shift towards increasing tariffs, which in turn has led and could lead to further retaliatory tariffs. These may have the potential to impact expenses as well as our ability to, if ever, generate revenue or achieve profitability. If we are unable to obtain additional financing or generate license or product revenue, the lack of liquidity could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3"/>
        <w:gridCol w:w="90"/>
        <w:gridCol w:w="249"/>
        <w:gridCol w:w="1225"/>
        <w:gridCol w:w="125"/>
        <w:gridCol w:w="90"/>
        <w:gridCol w:w="833"/>
        <w:gridCol w:w="4088"/>
        <w:gridCol w:w="172"/>
      </w:tblGrid>
      <w:tr>
        <w:trPr/>
        <w:tc>
          <w:tcPr>
            <w:tcW w:w="333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 February 6, 2024 (inception) to September 30,</w:t>
              <w:br/>
              <w:t>2024</w:t>
            </w:r>
          </w:p>
        </w:tc>
        <w:tc>
          <w:tcPr>
            <w:tcW w:w="172" w:type="dxa"/>
            <w:tcBorders/>
            <w:vAlign w:val="center"/>
          </w:tcPr>
          <w:p>
            <w:pPr>
              <w:pStyle w:val="TableContents"/>
              <w:bidi w:val="0"/>
              <w:spacing w:before="0" w:after="283"/>
              <w:jc w:val="left"/>
              <w:rPr/>
            </w:pPr>
            <w:r>
              <w:rPr/>
              <w:t> </w:t>
            </w:r>
          </w:p>
        </w:tc>
      </w:tr>
      <w:tr>
        <w:trPr/>
        <w:tc>
          <w:tcPr>
            <w:tcW w:w="3333"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(65,616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w:t>
            </w:r>
          </w:p>
        </w:tc>
        <w:tc>
          <w:tcPr>
            <w:tcW w:w="4088" w:type="dxa"/>
            <w:tcBorders/>
            <w:shd w:fill="CCEEFF" w:val="clear"/>
            <w:vAlign w:val="center"/>
          </w:tcPr>
          <w:p>
            <w:pPr>
              <w:pStyle w:val="TableContents"/>
              <w:bidi w:val="0"/>
              <w:spacing w:before="0" w:after="283"/>
              <w:jc w:val="right"/>
              <w:rPr/>
            </w:pPr>
            <w:r>
              <w:rPr/>
              <w:t>(39,019</w:t>
            </w:r>
          </w:p>
        </w:tc>
        <w:tc>
          <w:tcPr>
            <w:tcW w:w="172" w:type="dxa"/>
            <w:tcBorders/>
            <w:shd w:fill="CCEEFF" w:val="clear"/>
            <w:vAlign w:val="center"/>
          </w:tcPr>
          <w:p>
            <w:pPr>
              <w:pStyle w:val="TableContents"/>
              <w:bidi w:val="0"/>
              <w:spacing w:before="0" w:after="283"/>
              <w:jc w:val="left"/>
              <w:rPr/>
            </w:pPr>
            <w:r>
              <w:rPr/>
              <w:t>)</w:t>
            </w:r>
          </w:p>
        </w:tc>
      </w:tr>
      <w:tr>
        <w:trPr/>
        <w:tc>
          <w:tcPr>
            <w:tcW w:w="3333"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(74,723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4088" w:type="dxa"/>
            <w:tcBorders/>
            <w:vAlign w:val="center"/>
          </w:tcPr>
          <w:p>
            <w:pPr>
              <w:pStyle w:val="TableContents"/>
              <w:bidi w:val="0"/>
              <w:spacing w:before="0" w:after="283"/>
              <w:jc w:val="right"/>
              <w:rPr/>
            </w:pPr>
            <w:r>
              <w:rPr/>
              <w:t>(171</w:t>
            </w:r>
          </w:p>
        </w:tc>
        <w:tc>
          <w:tcPr>
            <w:tcW w:w="172" w:type="dxa"/>
            <w:tcBorders/>
            <w:vAlign w:val="center"/>
          </w:tcPr>
          <w:p>
            <w:pPr>
              <w:pStyle w:val="TableContents"/>
              <w:bidi w:val="0"/>
              <w:spacing w:before="0" w:after="283"/>
              <w:jc w:val="left"/>
              <w:rPr/>
            </w:pPr>
            <w:r>
              <w:rPr/>
              <w:t>)</w:t>
            </w:r>
          </w:p>
        </w:tc>
      </w:tr>
      <w:tr>
        <w:trPr/>
        <w:tc>
          <w:tcPr>
            <w:tcW w:w="3333"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170,017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8" w:type="dxa"/>
            <w:tcBorders>
              <w:bottom w:val="single" w:sz="12" w:space="0" w:color="000000"/>
            </w:tcBorders>
            <w:shd w:fill="CCEEFF" w:val="clear"/>
            <w:tcMar>
              <w:bottom w:w="28" w:type="dxa"/>
            </w:tcMar>
            <w:vAlign w:val="center"/>
          </w:tcPr>
          <w:p>
            <w:pPr>
              <w:pStyle w:val="TableContents"/>
              <w:bidi w:val="0"/>
              <w:spacing w:before="0" w:after="283"/>
              <w:jc w:val="right"/>
              <w:rPr/>
            </w:pPr>
            <w:r>
              <w:rPr/>
              <w:t>450,065</w:t>
            </w:r>
          </w:p>
        </w:tc>
        <w:tc>
          <w:tcPr>
            <w:tcW w:w="172" w:type="dxa"/>
            <w:tcBorders/>
            <w:shd w:fill="CCEEFF" w:val="clear"/>
            <w:vAlign w:val="center"/>
          </w:tcPr>
          <w:p>
            <w:pPr>
              <w:pStyle w:val="TableContents"/>
              <w:bidi w:val="0"/>
              <w:spacing w:before="0" w:after="283"/>
              <w:jc w:val="left"/>
              <w:rPr/>
            </w:pPr>
            <w:r>
              <w:rPr/>
              <w:t> </w:t>
            </w:r>
          </w:p>
        </w:tc>
      </w:tr>
      <w:tr>
        <w:trPr/>
        <w:tc>
          <w:tcPr>
            <w:tcW w:w="3333" w:type="dxa"/>
            <w:tcBorders/>
            <w:vAlign w:val="center"/>
          </w:tcPr>
          <w:p>
            <w:pPr>
              <w:pStyle w:val="TableContents"/>
              <w:bidi w:val="0"/>
              <w:spacing w:before="0" w:after="283"/>
              <w:jc w:val="left"/>
              <w:rPr/>
            </w:pPr>
            <w:r>
              <w:rPr/>
              <w:t>Net increase in cash and cash equivalents</w:t>
            </w:r>
          </w:p>
        </w:tc>
        <w:tc>
          <w:tcPr>
            <w:tcW w:w="90" w:type="dxa"/>
            <w:tcBorders/>
            <w:vAlign w:val="center"/>
          </w:tcPr>
          <w:p>
            <w:pPr>
              <w:pStyle w:val="TableContents"/>
              <w:bidi w:val="0"/>
              <w:spacing w:before="0" w:after="283"/>
              <w:jc w:val="left"/>
              <w:rPr/>
            </w:pPr>
            <w:r>
              <w:rPr/>
              <w:t> </w:t>
            </w:r>
          </w:p>
        </w:tc>
        <w:tc>
          <w:tcPr>
            <w:tcW w:w="249" w:type="dxa"/>
            <w:tcBorders>
              <w:bottom w:val="double" w:sz="10" w:space="0" w:color="000000"/>
            </w:tcBorders>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tcMar>
              <w:bottom w:w="28" w:type="dxa"/>
            </w:tcMar>
            <w:vAlign w:val="center"/>
          </w:tcPr>
          <w:p>
            <w:pPr>
              <w:pStyle w:val="TableContents"/>
              <w:bidi w:val="0"/>
              <w:spacing w:before="0" w:after="283"/>
              <w:jc w:val="right"/>
              <w:rPr/>
            </w:pPr>
            <w:r>
              <w:rPr/>
              <w:t>29,678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 w:type="dxa"/>
            <w:tcBorders>
              <w:bottom w:val="double" w:sz="10" w:space="0" w:color="000000"/>
            </w:tcBorders>
            <w:tcMar>
              <w:bottom w:w="28" w:type="dxa"/>
            </w:tcMar>
            <w:vAlign w:val="center"/>
          </w:tcPr>
          <w:p>
            <w:pPr>
              <w:pStyle w:val="TableContents"/>
              <w:bidi w:val="0"/>
              <w:spacing w:before="0" w:after="283"/>
              <w:jc w:val="left"/>
              <w:rPr/>
            </w:pPr>
            <w:r>
              <w:rPr/>
              <w:t>$</w:t>
            </w:r>
          </w:p>
        </w:tc>
        <w:tc>
          <w:tcPr>
            <w:tcW w:w="4088" w:type="dxa"/>
            <w:tcBorders>
              <w:bottom w:val="double" w:sz="10" w:space="0" w:color="000000"/>
            </w:tcBorders>
            <w:tcMar>
              <w:bottom w:w="28" w:type="dxa"/>
            </w:tcMar>
            <w:vAlign w:val="center"/>
          </w:tcPr>
          <w:p>
            <w:pPr>
              <w:pStyle w:val="TableContents"/>
              <w:bidi w:val="0"/>
              <w:spacing w:before="0" w:after="283"/>
              <w:jc w:val="right"/>
              <w:rPr/>
            </w:pPr>
            <w:r>
              <w:rPr/>
              <w:t>410,875</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used in operating activities was $65.6 million, which was primarily attributable to a net loss of $75.9 million and net cash used by changes in our operating assets and liabilities of $5.9 million, partially offset by net non-cash charges of $16.2 million. Net cash used by changes in our operating assets and liabilities were primarily comprised of a decrease of $6.0 million in related party accounts payable and other current liabilities, an increase of $3.2 million in prepaid expenses and other current assets, partly offset by an increase of $5.0 million in accrued expenses and other current liabilities. Net non-cash charges primarily comprised of $20.1 million in stock-based compensation expense (includes $9.7 million from Paruka Warrant Obligation), partially offset by $4.3 million in net accretion of premiums and discounts on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used in operating activities was $39.0 million, which was primarily attributable to a net loss of $57.9 million, offset by non-cash charges of $11.3 million and net cash provided by changes in operating activities of $7.6 million. Non-cash charges primarily consisted of a $9.8 million increase in stock-based compensation expense (primarily from the Paruka Warrant Obligation) and $1.5 million of non-cash interest expense. Net cash provided by changes in our operating activities primarily consisted of a $1.6 million increase in accounts payable, $1.7 million increase in accrued expenses and other current liabilities, $6.4 million increase in related parties accounts payable and other current liabilities, partially offset by a $2.0 million increase in prepaid expenses and other current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used in investing activities was $74.7 million, which included $420.0 million in purchases of marketable securities, $0.1 million in purchases of property and equipment, partially offset by $345.4 million in proceeds from maturities of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used in investing activities was $0.2 million, which was attributable to purchases of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provided by financing activities was $170.0 million due to $169.9 million of net proceeds from the 2025 PIPE Financing and $0.1 million proceeds from the issuance of shares of common stock in connection with purchases under our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provided by financing activities was $450.1 million, consisting of $228.1 million of net proceeds from the Pre-Closing Financing, $189.1 million of net proceeds from the 2024 PIPE Financing, $25.0 million of net proceeds from the issuance of the Convertible Note, $4.9 million of cash acquired in connection with the reverse recapitalization, and $2.9 million of net proceeds from the issuance of Series B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cancelable contracts. We do not expect any such contract terminations and did not have any non-cancellable obligations under these agreements as of September 30, 2025. See Notes 10 and 11 to the condensed consolidated financial statements included in Part I - Item 1 of this Quarterly Report for further information on our contractual lease obligations for our headquarters in Menlo Park, California, and our office in Waltham, Massachusetts, and other commitments, including the commitments under the Option and License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described in more detail in Note 2 to our condensed consolidated financial statements included in Part I - Item 1 of this Quarterly Report. During the three months ended September 30, 2025, there were no changes to our critical accounting policies and significant judgments and estimates as disclosed in our Annual Report on Form 10-K for the period from February 6 (inception) to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did not have any off-balance sheet arrangements, as defined in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on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principal executive officer and principal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Summary of 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risks that could harm our business, financial condition, results of operations and/or growth prospects or cause our actual results to differ materially from those contained in forward-looking statements we have made in this Quarterly Report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not exhaustive and is qualified by reference to the full set of risk factors set forth in Item 1A of this Quarterly Report “Risk Factors”. Please carefully consider all the information in this Quarterly Report, including the full set of risks set forth in the “Risk Factors” section, and in our other filings with the SEC before making an investment decision regarding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are a clinical stage biopharmaceutical company with a limited operating history on which to assess our business. We have not completed any clinical trials and have no products approved for commercial sale.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have historically incurred losses and we anticipate that we will continue to incur losses for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have never generated revenue from product sales and may never be profitable.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not be able to raise the capital that we need to support our business plans.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Raising additional capital may cause dilution to our stockholders, restrict our operations or require us to relinquish rights to our technologies or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Drug development and obtaining and maintaining regulatory approval for drug products is costly, time-consuming, and highly uncertain.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are substantially dependent on the success of our two most advanced programs, ORKA-001 and ORKA-002. We may not achieve our projected development goals in the time frames we announce and expect,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face competition from entities that have developed or may develop programs for the diseases addressed by our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We may not be able to meet requirements for the chemistry, manufacturing and control of our programs.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ability to obtain and protect our patents and other proprietary rights is uncertain and we may fail in obtaining or maintaining necessary rights to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become subject to claims challenging the inventorship or ownership of our intellectual property and may be subject to patent infringement claims or may need to file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patents and our ability to protect our products may be impaired by changes to patent laws, and our patent protection could be reduced or eliminated for non-compliance with legal requirements.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fail to identify or interpret relevant third-party patents.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Patent terms may be inadequate to protect our competitive position of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technology licensed from third parties may be subject to retained rights.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currently rely on agreements with third parties to develop our product candidates. Our business could be negatively impacted if we are unable to maintain these arrangements or if these arrangements are not successful.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Third parties we rely on for the execution of nonclinical studies and clinical trials may fail to carry out their contractual duties.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third-party manufacturing partners and manufacturing sites may fail to perform adequately in their efforts to support the manufacture of our product candidates and we may need to switch or create third-party manufacturer redundancies.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Other Risks Related to Our Business, and Risks Related to Owning Our Common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estimates of market opportunity and forecasts of market growth may prove to be inaccurate, and even if the markets in which we compete achieve the forecasted growth, our business may not grow at similar rates,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business is dependent on key personnel, and we will be harmed if we cannot recruit and retain highly qualified personnel to successfully implement our business strategies.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In order to successfully implement our plans and strategies, we will need to grow the size of our organization, and we may experience difficulties in managing this growth.</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Significant disruptions of information technology systems or breaches of data security could adversely affect our business.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Changes in and failures to comply with United States and foreign privacy and data protection laws, regulations and standards may adversely affect our business, operations and consolidated financial performance.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become exposed to costly and damaging liability claims and our insurance may not cover all damages from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business could be adversely affected by macroeconomic or geopolitical conditions.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do not anticipate paying any dividends in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Future sales of shares by existing stockholders could cause our stock price to decline.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Future sales and issuances of equity and debt could result in additional dilution to our stockholders and could cause our stock price to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 stage biopharmaceutical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identifying, acquiring, and developing our product candidates, organizing and staffing our company, and providing general and administrative support for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capital may not be available in sufficient amounts or on reasonable terms, if at all. The current market environment for small and midcap biotechnology companies and broader macroeconomic factors may preclude us from successfully raising additional capital. For example, escalating geopolitical tensions, elevated interest rates and regulatory uncertainty have caused market volatility, and particularly in the biotechnology and biopharmaceutical industries, which such volatility can have an adverse effect on the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we may never become profitable despite obtaining such market share and acceptance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for the foreseeable future and our expenses will increase substantially if and as we: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continue the clinical development of our product candidates, including advancing our product candidates into larger, more expensive trials;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continue efforts to discover and develop new product candidates, including initiating preclinical studies or clinical trials;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progress our chemistry, manufacturing and control development, registration, and validation, including the manufacture of our product candidates by third parties, including increasing volumes manufactured by third parties;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seek regulatory and marketing approvals and reimbursement for our product candidates;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establish a sales, marketing, and distribution infrastructure to commercialize any products for which we may obtain marketing approval and market for ourselves;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make milestone, royalty, or other payments under third-party license agreements;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seek to maintain, protect, and expand our intellectual property portfolio;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pStyle w:val="TextBody"/>
        <w:bidi w:val="0"/>
        <w:spacing w:before="0" w:after="0"/>
        <w:ind w:left="0" w:right="0" w:firstLine="36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a delay, scaling back, or discontinuation of the development or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disposal of technology assets, or the relinquishing or licensing of assets on unfavorable terms, of our rights to technologies or any of our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105"/>
        <w:gridCol w:w="200"/>
        <w:gridCol w:w="9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sz w:val="20"/>
              </w:rPr>
            </w:pPr>
            <w:r>
              <w:rPr>
                <w:sz w:val="20"/>
              </w:rPr>
              <w:t>pursuing the sale of the company to a third party at a price that may result in a loss on investment for our stockholders; or</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filing for bankruptcy or ceasing operations altogether.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raising new capital, we could be limited in the amount of capital we raise due to investor demand restrictions placed on the amount of capital we raise, or other reasons.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in September 2024, we entered into a Securities Purchase Agreement with certain institutional and accredited investors, whereby the investors purchased an aggregate of 5,600,000 shares of common stock, 2,439 shares of Series A Preferred Stock and pre-funded warrants to purchase an aggregate of 680,000 shares of common stock and in November 2024, each outstanding share of Series A Preferred Stock converted into 1,000 shares of common stock. Furthermore, in September 2025, we entered into a Securities Purchase Agreement with certain institutional and accredited investors, whereby the investors purchased an aggregate of 10,933,405 shares of our common stock and pre-funded warrants to purchase 1,066,666 shares of common stock. In addition, in October 2025, we entered into a sales agreement with TD Securities (USA) LLC acting as our sales agent pursuant to which we may issue and sell shares of our common stock from time to time through an at-the-market equity offering program, for aggregate gross proceeds of up to $200.0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programs for the diseases addressed by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biopharmaceutical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biosimilars enter the market and are able to gain market acceptance more quickly than we do or at wider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fail in development or suffer delays. We depend on the successful initiation and completion of clinical trials for our product candidates to advance our product development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on the market, and all of our programs are in preclinical or clinical stages of development. As a result, 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It may be difficult for us to raise additional capital if we experience any issues that delay or prevent the regulatory approval or the ability to commercialize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number of unforeseen events affecting our product development timeline,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our clinical trials may fail to show safety or efficacy, produce negative or inconclusive results, or our product candidates may have undesirable side effects or unexpected characteristics, and we may decide, or regulators may require that we conduct additional preclinical studies or clinical trials or we may decide to abandon product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supply or quality of our clinical trial materials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regulators, Institutional Review Boards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our failure to establish an appropriate safety profile for a product candidate based on clinical or preclinical data as well as data emerging from other therapies in the same class as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number of subjects required for clinical trials of any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trial conduct or data analysis errors may occur, including, but not limited to, failure by investigators or participants to adhere to the study protocol or data entry and/or labeling errors;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we may experience delays in reaching, or fail to reach, agreement on acceptable terms with prospective trial sites and/or contract research organizations;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105"/>
        <w:gridCol w:w="200"/>
        <w:gridCol w:w="6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sz w:val="20"/>
              </w:rPr>
            </w:pPr>
            <w:r>
              <w:rPr>
                <w:sz w:val="20"/>
              </w:rPr>
              <w:t>the cost of clinical trials of any of our programs may be greater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05"/>
        <w:gridCol w:w="200"/>
        <w:gridCol w:w="88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sz w:val="20"/>
              </w:rPr>
            </w:pPr>
            <w:r>
              <w:rPr>
                <w:sz w:val="20"/>
              </w:rPr>
              <w:t>reports from clinical testing of other therapies may raise safety or efficacy concerns about our programs;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FDA or other regulatory authorities may require us to submit additional data or impose other requirements and our product development timeline may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competitive landscape for immunology and inflammation (commonly referred to as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two most advanced programs, ORKA-001 and ORKA-002, and our clinical trials of such programs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our ability to develop and timely obtain marketing approval for, and then successfully commercialize, our two most advanced programs, ORKA-001 and ORKA-002. We are investing the majority of our efforts and financial resources into the research and development of these programs. Our Phase 1 clinical trial of ORKA-001 in healthy volunteers is ongoing and remains blinded and all subjects have remained on trial through August 6, 2025. Moreover, in the third quarter of 2025, we commenced dosing in a Phase 2a clinical trial of ORKA-001 in patients with moderate-to-severe psoriasis and furthermore, we expect to initiate a dose-ranging Phase 2b trial of ORKA-001 in moderate-to-severe psoriasis in the first half of 2026. In addition, we have initiated a Phase 1 clinical trial of ORKA-002 in healthy volunteers and plan to initiate a Phase 2 clinical trial of ORKA-002 in the first half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believe that the success of our programs is dependent on our product candidates demonstrating a longer half-life in humans than mAbs currently marketed and in development as we believe this longer half-life has the potential to result in a more favorable dosing schedule for our product candidates, assuming they successfully complete clinical development and obtain marketing approval. To the extent we do not observe this extended half-life, it would significantly and adversely affect the clinical and commercial potential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our projected development goals in the time frames we announce and expect, the development and potential commercialization of our product candidates may be delayed and our expenses may increase and, as a result, our business may be materially harmed and our stock price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announce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the data results from our clinical trials, as well as the submission of regulatory filings. All of these milestones are and will be based on numerous assumptions. The actual timing of these milestones can vary dramatically compared to our estimates, in some cases for reasons beyond our control. If we do not meet these milestones or the timing of the milestones as publicly announced, or at all,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prior to achieving targeted development milestones.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drug delivery device that we may use to deliver our product candidates may have its own regulatory, development, supply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currently expect to utilize drug delivery devices authorized for marketing under clearances of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approach to the discovery and development of our programs is unproven, and we may not be successful in our efforts to build a pipeline of programs with commercial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the discovery and development of the research programs with respect to which we have signed a license agreement, exercised the Option to acquire intellectual property license rights to or have the Option to acquire intellectual property license rights to pursuant to the Option Agreements,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This technology and any programs resulting therefrom may not demonstrate the same chemical and pharmacological properties in humans and may interact with human biological systems in unforeseen, ineffective or harmful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seek to discover and develop programs that are based on novel targets and in the applicable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signed license agreements with Paragon, exercised the option to acquire intellectual property license rights to or have the option to acquire intellectual property license rights to pursuant to the Option Agreements prove to be ineffective, unsafe or commercially unviable, such programs would have little, if any, value, which would have a material and adverse effect on our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such product candidate in humans. Our clinical trials may not be conducted as planned or completed on schedule, if at all, and failure can occur at any time during the preclinical study or clinical trial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In addition, we expect to rely on participants to provide feedback on measures such as measures of quality of life, which are subjective and inherently difficult to evaluate. These measures can be influenced by factors outside of our control, and can vary widely from day-to-day for a particular participant, and from participant to participant and from site to site within a clinical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the FDA, or comparable foreign regulatory authority, as applicable, will agree with our clinical development plan. We plan to use the data from our current trials of our ORKA-001 and ORKA-002 programs to support further trials in PsO and potentially other I&amp;I indications.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trial design or implementation of the clinical trials; delays or failure in obtaining regulatory authorization to commence a trial; delays in reaching agreement on acceptable terms with prospective CROs and clinical trial sites; recruiting and training suitable clinical investigators; delays or difficulties in recruiting trial patients; delays in obtaining required IRB approval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current Good Clinical Practice (“GCP”) requirements or applicable regulatory guidelines in other countries; changes to the clinical trial protocols; clinical sites deviating from trial protocol or dropping out of a trial; delays or failure by our third party vendors or us in the manufacturing, packaging, labeling and proper delivery of clinical trial materials; and third parties being unwilling or unable to satisfy their contractual obligations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required to be materially modified or suspended or terminated by us, the IRBs, by a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participants in our current and future clinical trials, our clinical development activities could be delayed or otherwise adversely affected. We depend on the successful completion of clinical trials for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patient participant enrollment in our clinical trials for a variety of reasons. The timely completion of clinical trials in accordance with their protocols depends, among other things, on our ability to enroll a sufficient number of participants who remain in the trial until conclusion. The enrollment of participants in current or future trials for any of our programs will depend on many factors, including if participants choose to enroll in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it may have difficulty maintaining participants in our clinical trials. Our inability to enroll or maintain a sufficient number of participants would result in significant delays in completing clinical trials and increased development costs or may require us to abandon one or more clinical trials altogether.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“topline” or interim data from our clinical trials may change as more participant data becomes available and are subject to audit and verification procedures, and should be viewed with caution until the final data are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or topline data from our preclinical studies and clinical trials that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disclose interim data from our preclinical studies and clinical trials. Interim data are subject to the risk that one or more of the clinical outcomes may materially change as participant enrollment continues and more participant data become available or as participants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negative or inconclusive results of clinical trials involving our product candidates could require that we repeat or conduct additional clinical trials. We do not know whether any clinical trials we may conduct will demonstrate adequate efficacy and safety to result in regulatory approval to market any of our product candidates. If the preliminary, topline or interim data that we report differ from actual results, or if final data or data from later stage clinical trials do not produce favorable results, our ability to obtain approval for, and commercialize, our product candidates may be harmed, which could harm our business, operating results, prospects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could reveal a high and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at any time for various reasons, including a belief that participants in such trials are being exposed to unacceptable health risks or adverse side effects. Moreover, negative or inconclusive results could cause the FDA or other regulatory agencies to require that we repeat or conduct additional clinical trials. If our clinical trials do not produce favorable results, our ability to obtain regulatory approval for our product candidates may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side effects do not preclude the product candidate from obtaining or maintaining marketing approval, undesirable side effects may inhibit market acceptance of the approved product due to their tolerability versus other therapies. In addition, an extended half-life could prolong the duration of undesirable side effects, which could also affect our clinical trials or inhibit market acceptance.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Further, any clinical trials may not be sufficient to determine the effect and safety consequences of using our product candidates over a multi-year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events occur or if one or more of the research programs with respect to which we have signed a licensed agreement for or exercised the option to acquire intellectual property license rights to or have the option to acquire intellectual property license rights to pursuant to the Option Agreements prove to be unsafe, our pipeline could be affected, which would have a material adverse effect on our business, financial condition, results of operations and prospects.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program and fail to capitalize on programs that may be more profitable or for which there is a greater likelihood of success.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approval is obtained for a product candidate resulting from one of our current or future programs, it may not gain market acceptance among physicians, patients, third-party payors or others in the medical community. Market acceptance of our product candidates will depend on many factors, including factors that are not within our control. While there are several approved products and product candidates in later stages of development for the treatment of PsO, our programs incorporate advanced antibody engineering to optimize the half-life and formulation of antibodies, and to date, no such antibody has been approved by the FDA for the treatment of PsO.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medical products also depend on the willingness of healthcare providers to prescribe the treatment, and if any of our product candidates is approved but does not achieve an adequate level of acceptance, we may not generate or derive sufficient revenue from that product candidate and may not become or remain profitable.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programs may compete with our other programs, which could negatively impact our business and reduce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product candidates for the same indication, PsO,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clinical trials for programs at sites outside the United States, and the FDA may not accept data from trials conducted in such locations. Moreover, conducting clinical trials outside of the United States presents additional risks that may delay our clinical trials.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conduct one or more of our future clinical trials outside the United States.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outside of the United States presents additional risks that may delay completion of our clinical trials. These risks include the failure of investigators or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such as local privacy restrictions, on data generated from the clinical trial, diminished protection of intellectual property in some countries, as well as political and economic risks relevant to foreign countries.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other comparable foreign regulatory authorities are lengthy, time-consuming and unpredictable. If we are not able to obtain, or if there are delays in obtaining, required regulatory approvals for our product candidates, we may not be able to commercialize, or may be delayed in commercializing, our product candidates, and our ability to generate revenue may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Of the large number of drugs in development, only a small percentage successfully complete the FDA or foreign regulatory approval processes and are commercialized. The process of obtaining regulatory approvals, both in the United States and abroad, is unpredictable, expensive and typically takes many years following commencement of clinical trials. Approval may never be obtained and the approval process can vary substantially based upon a variety of factors, including the type, complexity and novelty of the product candidates involved. Further, the FDA and comparable foreign regulatory authorities may undergo leadership changes, change their policies, issue additional regulations or revise existing regulations, or take other actions, such as those implemented by the recently established Department of Government Efficiency,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 Before obtaining regulatory approvals for the commercial sale of our product candidates,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black box or other warnings or contraindications that could diminish the usage of the product or otherwise limit the commercial success of the affected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requirements for the chemistry, manufacturing and control of our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for which we intend to seek approval as biologics may face competition sooner than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as amended by the Healthcare and Education Reconciliation Act (the “ACA”), includes a subtitle called the Biologics Price Competition and Innovation Act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of our product candidates, we will be subject to extensive ongoing regulatory obligations and continued regulatory review and may result in restrictions on the use of the product, which may result in significant additional expense and we may be subject to penalties if we fail to comply with regulatory requirements or experience unanticipated problems with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product candidates. In addition, even if our product candidates receive approval,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Good Manufacturing Practices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regulatory authority discover previously unknown problems with a product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the SEC and other government agencies and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regulatory filings and our ability to commence clinical trials can be affected by a variety of factors, including government budget and funding levels, ability to hire and retain key personnel and accept the payment of user fees, statutory, regulatory and policy changes, disruptions caused by government shutdowns and public health crises. There have been mass layoffs of federal government employees since the start of the Trump administration in January 2025, the full impact of which is unclear at this time.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Furthermore, the Trump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or comparable foreign regulatory authorities, may also slow the time necessary for the review and approval of applications for clinical trial or marketing authorization, which would adversely affect our business. For example, most recently in October 2025, the U.S. government shut down, during which time certain regulatory agencies, such as the FDA and the SEC, furloughed critical employees and stopped critical activities. Additionally, action by the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government shutdowns could impact our ability to access the public markets and obtain necessary capital in order to properly capitalize and continue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extent to which the Trump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from legislative or regulatory reform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pharmaceuticals has been a topic of considerable public discussion that could lead to price controls or other price-limiting strategies by third-party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Inflation Reduction Act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In addition, we may be subject to data privacy and security regulation by the U.S. federal government and the states and the foreign governments in which we conduct our business. Restrictions under applicable laws and regulations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foreign privacy, data protection, and data security laws and regulations, such as the European Union’s General Data Protection Regulation (EU GDPR), which imposes comprehensive obligations on covered businesses to, among other things, make contractual privacy, data protection and data security commitments, cooperate with European data protection authorities, implement security measures, give data breach notifications, and keep records of personal information processing activities;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candidates, we may be subject to unfavorable pricing regulations and/or third-party coverage and reimbursement policies, and we may not be able to offer such product candidates at competitive prices, which would seriously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Governments outside the United States tend to impose strict price controls, which may adversely affect our revenue,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protect our patents and other proprietary rights is uncertain, exposing us to the possible loss of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trademarks, trade secret protection, confidentiality agreements and the Option and License Agreements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Paragon has filed, on our behalf, provisional patent applications and we have filed non-provisional patent applications directed to antibodies that target IL-23, including applications covering composition of matter, pharmaceutical composition, and methods of using such antibodies, including ORKA-001. In addition, Paragon has filed, on our behalf, provisional patent applications and we intend to file one or more additional provisional patent applications directed to antibodies that target IL-17, including applications covering composition of matter, pharmaceutical composition, and methods of using such antibodies,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programs through acquisitions and in-licenses.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maintain the existing intellectual property rights we do obtain, we may have to abandon development of the relevant program,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obtain the right to control patent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licenses at a reasonable cost or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future licensors regarding intellectual property subject to a license agreement, including without limitation: the scope of rights granted under the license agreement and other interpretation-related issues; whether and the extent to which our technology and processes may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Third-party patent rights, if found to be valid and enforceable, could be alleged to render one or more of our product candidates infringing. If a third party successfully brings a claim against us, we may be required to pay substantial damages, be forced to abandon or delay the development of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litigation. Some of our competitors may be able to sustain the costs of complex intellectual property litigation more effectively than we can because they may have substantially greater resources. In addition, any litigation could have a material adverse effect on our business and operations, including our ability to raise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(“marks”)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required to protect our patents through procedures created to attack the validity of a patent at the USPTO. An adverse determination in any such submission or proceeding could reduce the scope of, affect the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biopharmaceutical industry, in addition to our employees, we engage the services of consultants and independent contractors to assist us in the development of our programs. Many of these consultants, independent contractors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our employees, our consultants or our independent contractors have inadvertently or otherwise used or disclosed alleged intellectual property, such as trade secrets, or other confidential information of former employers or competitors. Although we try to ensure that our employees, consultants and independent contractors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consultants or independent contractors,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patent laws in the United States and other jurisdictions could diminish the value of patents in general, thereby impairing our ability to protect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patent laws in the United States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inventor or co-inventor. The failure to name the proper inventors on a patent application can impact the validity of the patents issuing thereon.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the competitive position of our product candidates for an adequate amount of time.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time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licensed from various third parties may be subject to retained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licensing arrangements with Paragon through the License Agreements. If we are unable to maintain collaborations or licensing arrangements, or if our collaborations or licensing arrangements are not successful, our business could be negatively impacted.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licensing arrangements with Paragon through the License Agreements for a substantial portion of our in-licenses, including for ORKA-001 and ORKA-002.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our obligations under their agreement with us, disagrees with our interpretation of the terms of such agreement or terminates their agreement with us, the research programs with respect to which we have the option to acquire intellectual property license rights to pursuant to the Option Agreements, the licensing agreements we have pursuant to the License Agreements and our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we plan to evaluate additional opportunities to enhance our capabilities and expand our development pipeline or provide development or commercialization capabilities that complement ours.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and plan to continue to utilize and depend upon independent investigators and collaborators, such as medical institutions, CROs, contract testing labs, CMOs and strategic partners, to supply,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do not control the manufacturing process of, and are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CMOs may be subject to U.S. legislation, including the proposed BIOSECURE bill,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We currently rely on foreign CROs and CMOs, including WuXi Biologics (Hong Kong) Limited and its affiliates (“WuXi Biologics”) and will likely continue to rely on foreign CROs and CMOs in the future. WuXi Biologics is identified in the U.S. legislation known as the BIOSECURE Act, which was proposed in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as a “biotechnology company of concern.” The version of the BIOSECURE Act introduced in the U.S. House of Representatives during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Biologics or other parties identified as “biotechnology companies of concern” beyond the grandfathering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 For example, in April 2025, the United States government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To the extent these or future tariffs are applicable to the material we import from China and other countries or if we are not able to secure supply of our product candidates as a result of applicable legislation, our business and financial condition could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Other Risks Related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operate in foreign markets, where we would be subject to additional regulatory burdens and other risks and uncertainties.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advisors,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consultants, advisors,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informational technology disruption, particularly through cyber-attacks, has generally increased as the number, intensity and sophistication of attempted attacks and intrusions from around the world have increased.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hybrid-remote workforce may create additional risks for our information technology systems and data because our employees work remotely and utilize network connections, computers, and devices working at home, while in transit and in public locations.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adverse U.S. legislative or regulatory tax changes that could negatively impact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businesses or products, or form strategic alliances, in the future, and may not realize the benefits of such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exposed to costly and damaging product liability claims and our insurance may not cover all damages from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either at the clinical or commercial stage.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costs and the outcome of litigation could have a material adverse effect on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especially in light of recent executive orders made by the Trump administration, trade and other international disputes, increases in inflation rates, fluctuation in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biotechnology areas), political and military conflict, and uncertainty about economic stability. In recent months, the U.S. has announced tariffs on imports from most countries, including significant tariffs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Owning Our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be highly volatile and is subject to significant fluctuations. Moreover, the stock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factors that may cause the market price of our common stock to fluctuate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timing and results of clinical trials and preclinical studies of our product candidates, or those of our competitors or our existing or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05"/>
        <w:gridCol w:w="200"/>
        <w:gridCol w:w="8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failure to meet or exceed financial and development projections that we may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5"/>
        <w:gridCol w:w="200"/>
        <w:gridCol w:w="56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sz w:val="20"/>
              </w:rPr>
            </w:pPr>
            <w:r>
              <w:rPr>
                <w:sz w:val="20"/>
              </w:rPr>
              <w:t>announcements of significant or potential equity or debt sales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actions taken by regulatory agencies with respect to our product candidates, clinical studies, manufacturing process or sales and marketing terms;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general market, macroeconomic or geopolitical conditions or market conditions in the pharmaceutical and biotechnology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announcements of significant acquisitions, strategic collaborations,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additions or departures of key personnel, including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sz w:val="20"/>
              </w:rPr>
            </w:pPr>
            <w:r>
              <w:rPr>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sz w:val="20"/>
              </w:rPr>
            </w:pPr>
            <w:r>
              <w:rPr>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05"/>
        <w:gridCol w:w="200"/>
        <w:gridCol w:w="4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sales of securities by us or our securityholders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if we fail to raise an adequate amount of capital to fund our operations or continued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5"/>
        <w:gridCol w:w="200"/>
        <w:gridCol w:w="3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sz w:val="20"/>
              </w:rPr>
            </w:pPr>
            <w:r>
              <w:rPr>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announcements by competitors of new products, clinical progress or lack thereof, significant contracts, commercial relationships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the introduction of technological innovations or new therapies that compete with our products;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sz w:val="20"/>
              </w:rPr>
            </w:pPr>
            <w:r>
              <w:rPr>
                <w:sz w:val="20"/>
              </w:rPr>
              <w:t>period-to-period fluctuations in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before="0" w:after="0"/>
        <w:ind w:left="0" w:right="0" w:firstLine="36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105"/>
        <w:gridCol w:w="200"/>
        <w:gridCol w:w="8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establish a classified board of directors such that all members of the board are not elected at one time;</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05"/>
        <w:gridCol w:w="200"/>
        <w:gridCol w:w="8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sz w:val="20"/>
              </w:rPr>
            </w:pPr>
            <w:r>
              <w:rPr>
                <w:sz w:val="20"/>
              </w:rPr>
              <w:t>allow the authorized number of our directors to be changed only by resolution of our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sz w:val="20"/>
              </w:rPr>
            </w:pPr>
            <w:r>
              <w:rPr>
                <w:sz w:val="20"/>
              </w:rPr>
              <w:t>limit the manner in which stockholders can remove directors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establish advance notice requirements for nominations for election to the board of directors or for proposing matters that can be acted on at stockholder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require that stockholder actions must be effected at a duly called stockholder meeting and prohibit actions by our stockholders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200"/>
        <w:gridCol w:w="4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limit who may call a special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require the approval of the holders of at least 66 2/3% of the votes that all stockholders would be entitled to cast to amend or repeal certain provisions of our charter or bylaws.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could cause our stock price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sell, or indicate an intention to sell, substantial amounts of our common stock in the public market,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directors and principal stockholders have the ability to control or significantly influence all matters submitted to our stockholders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Plans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2025, no director or Section 16 officer adopted or terminated any Rule 10b5-1 trading arrangements or non-Rule 10b5-1 trading arrangements (in each case, as defined in Item 408(a) of Regulation S-K), except as disclosed below.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Joana Goncalves, our Chief Medical Officer, adopted a Rule 10b5-1 trading arrangement intended to satisfy the affirmative defense of Rule 10b5-1(c) for the sale of up to 151,000 shares of our common stock over a period ending upon the earlier of when all shares under the plan are sold, or June 30, 2027, subject to certain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Laura Sandler, our Chief Operating Officer, adopted a Rule 10b5-1 trading arrangement intended to satisfy the affirmative defense of Rule 10b5-1(c) for the sale of up to 33,000 shares of our common stock over a period ending upon the earlier of when all shares under the plan are sold, or December 31, 2026, subject to certain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6012"/>
        <w:gridCol w:w="90"/>
        <w:gridCol w:w="635"/>
        <w:gridCol w:w="90"/>
        <w:gridCol w:w="890"/>
        <w:gridCol w:w="90"/>
        <w:gridCol w:w="1388"/>
      </w:tblGrid>
      <w:tr>
        <w:trPr/>
        <w:tc>
          <w:tcPr>
            <w:tcW w:w="920"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90" w:type="dxa"/>
            <w:tcBorders/>
            <w:tcMar>
              <w:bottom w:w="0" w:type="dxa"/>
            </w:tcMar>
            <w:vAlign w:val="center"/>
          </w:tcPr>
          <w:p>
            <w:pPr>
              <w:pStyle w:val="TableContents"/>
              <w:bidi w:val="0"/>
              <w:spacing w:before="0" w:after="283"/>
              <w:jc w:val="center"/>
              <w:rPr/>
            </w:pPr>
            <w:r>
              <w:rPr/>
              <w:t> </w:t>
            </w:r>
          </w:p>
        </w:tc>
        <w:tc>
          <w:tcPr>
            <w:tcW w:w="6012" w:type="dxa"/>
            <w:tcBorders>
              <w:bottom w:val="single" w:sz="12" w:space="0" w:color="000000"/>
            </w:tcBorders>
            <w:vAlign w:val="center"/>
          </w:tcPr>
          <w:p>
            <w:pPr>
              <w:pStyle w:val="TableContents"/>
              <w:bidi w:val="0"/>
              <w:spacing w:before="0" w:after="283"/>
              <w:jc w:val="center"/>
              <w:rPr>
                <w:b/>
                <w:sz w:val="20"/>
              </w:rPr>
            </w:pPr>
            <w:r>
              <w:rPr>
                <w:b/>
                <w:sz w:val="20"/>
              </w:rPr>
              <w:t>DESCRIPTION</w:t>
            </w:r>
          </w:p>
        </w:tc>
        <w:tc>
          <w:tcPr>
            <w:tcW w:w="90" w:type="dxa"/>
            <w:tcBorders/>
            <w:tcMar>
              <w:bottom w:w="0" w:type="dxa"/>
            </w:tcMar>
            <w:vAlign w:val="center"/>
          </w:tcPr>
          <w:p>
            <w:pPr>
              <w:pStyle w:val="TableContents"/>
              <w:bidi w:val="0"/>
              <w:spacing w:before="0" w:after="283"/>
              <w:jc w:val="center"/>
              <w:rPr/>
            </w:pPr>
            <w:r>
              <w:rPr/>
              <w:t> </w:t>
            </w:r>
          </w:p>
        </w:tc>
        <w:tc>
          <w:tcPr>
            <w:tcW w:w="635"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9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1388" w:type="dxa"/>
            <w:tcBorders>
              <w:bottom w:val="single" w:sz="12" w:space="0" w:color="000000"/>
            </w:tcBorders>
            <w:vAlign w:val="center"/>
          </w:tcPr>
          <w:p>
            <w:pPr>
              <w:pStyle w:val="TableContents"/>
              <w:bidi w:val="0"/>
              <w:spacing w:before="0" w:after="283"/>
              <w:jc w:val="center"/>
              <w:rPr>
                <w:b/>
                <w:sz w:val="20"/>
              </w:rPr>
            </w:pPr>
            <w:r>
              <w:rPr>
                <w:b/>
                <w:sz w:val="20"/>
              </w:rPr>
              <w:t>FILING</w:t>
              <w:br/>
              <w:t>DATE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2">
              <w:r>
                <w:rPr>
                  <w:rStyle w:val="InternetLink"/>
                  <w:sz w:val="20"/>
                </w:rPr>
                <w:t>Agreement and Plan of Merger and Reorganization, dated as of April 3, 2024, by and among ARCA biopharma, Inc., Atlas Merger Sub Corp., Atlas Merger Sub II, LLC and Oruka Therapeutics,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April 3, 2024</w:t>
            </w:r>
          </w:p>
        </w:tc>
      </w:tr>
      <w:tr>
        <w:trPr/>
        <w:tc>
          <w:tcPr>
            <w:tcW w:w="920" w:type="dxa"/>
            <w:tcBorders/>
            <w:tcMar>
              <w:bottom w:w="0" w:type="dxa"/>
            </w:tcMar>
            <w:vAlign w:val="center"/>
          </w:tcPr>
          <w:p>
            <w:pPr>
              <w:pStyle w:val="TableContents"/>
              <w:bidi w:val="0"/>
              <w:spacing w:before="0" w:after="283"/>
              <w:jc w:val="left"/>
              <w:rPr>
                <w:sz w:val="20"/>
              </w:rPr>
            </w:pPr>
            <w:r>
              <w:rPr>
                <w:sz w:val="20"/>
              </w:rPr>
              <w:t>3.1</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3">
              <w:r>
                <w:rPr>
                  <w:rStyle w:val="InternetLink"/>
                  <w:sz w:val="20"/>
                </w:rPr>
                <w:t>Second Amended and Restated Certificate of Incorporation of the Company, filed September 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3.5</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4">
              <w:r>
                <w:rPr>
                  <w:rStyle w:val="InternetLink"/>
                  <w:sz w:val="20"/>
                </w:rPr>
                <w:t>Amended and Restated Bylaws of the Company.</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tcMar>
              <w:bottom w:w="0" w:type="dxa"/>
            </w:tcMar>
            <w:vAlign w:val="center"/>
          </w:tcPr>
          <w:p>
            <w:pPr>
              <w:pStyle w:val="TableContents"/>
              <w:bidi w:val="0"/>
              <w:spacing w:before="0" w:after="283"/>
              <w:jc w:val="left"/>
              <w:rPr>
                <w:sz w:val="20"/>
              </w:rPr>
            </w:pPr>
            <w:r>
              <w:rPr>
                <w:sz w:val="20"/>
              </w:rPr>
              <w:t>3.3</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5">
              <w:r>
                <w:rPr>
                  <w:rStyle w:val="InternetLink"/>
                  <w:sz w:val="20"/>
                </w:rPr>
                <w:t>Form of Certificate of Designation of Preferences, Rights and Limitations of Series A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S-1/A</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3.1(b)</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May 24, 2013</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6">
              <w:r>
                <w:rPr>
                  <w:rStyle w:val="InternetLink"/>
                  <w:sz w:val="20"/>
                </w:rPr>
                <w:t>Certificate of Elimination of Series A Convertible Preferred Stock, effective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tcMar>
              <w:bottom w:w="0" w:type="dxa"/>
            </w:tcMar>
            <w:vAlign w:val="center"/>
          </w:tcPr>
          <w:p>
            <w:pPr>
              <w:pStyle w:val="TableContents"/>
              <w:bidi w:val="0"/>
              <w:spacing w:before="0" w:after="283"/>
              <w:jc w:val="left"/>
              <w:rPr>
                <w:sz w:val="20"/>
              </w:rPr>
            </w:pPr>
            <w:r>
              <w:rPr>
                <w:sz w:val="20"/>
              </w:rPr>
              <w:t>3.5</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7">
              <w:r>
                <w:rPr>
                  <w:rStyle w:val="InternetLink"/>
                  <w:sz w:val="20"/>
                </w:rPr>
                <w:t>Certificate of Designation of Preferences, Rights and Limitations of Series B Non-Voting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3.9</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8">
              <w:r>
                <w:rPr>
                  <w:rStyle w:val="InternetLink"/>
                  <w:sz w:val="20"/>
                </w:rPr>
                <w:t>Certificate of Designation of Preferences, Rights and Limitations of Series A Non-Voting Convertible Preferred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September 13, 2024</w:t>
            </w:r>
          </w:p>
        </w:tc>
      </w:tr>
      <w:tr>
        <w:trPr/>
        <w:tc>
          <w:tcPr>
            <w:tcW w:w="920" w:type="dxa"/>
            <w:tcBorders/>
            <w:tcMar>
              <w:bottom w:w="0" w:type="dxa"/>
            </w:tcMar>
            <w:vAlign w:val="center"/>
          </w:tcPr>
          <w:p>
            <w:pPr>
              <w:pStyle w:val="TableContents"/>
              <w:bidi w:val="0"/>
              <w:spacing w:before="0" w:after="283"/>
              <w:jc w:val="left"/>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9">
              <w:r>
                <w:rPr>
                  <w:rStyle w:val="InternetLink"/>
                  <w:sz w:val="20"/>
                </w:rPr>
                <w:t>Description of Securities.</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10-K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March 6, 2025</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Pre-Funded Warrant, dated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March 6, 2025</w:t>
            </w:r>
          </w:p>
        </w:tc>
      </w:tr>
      <w:tr>
        <w:trPr/>
        <w:tc>
          <w:tcPr>
            <w:tcW w:w="920" w:type="dxa"/>
            <w:tcBorders/>
            <w:tcMar>
              <w:bottom w:w="0" w:type="dxa"/>
            </w:tcMar>
            <w:vAlign w:val="center"/>
          </w:tcPr>
          <w:p>
            <w:pPr>
              <w:pStyle w:val="TableContents"/>
              <w:bidi w:val="0"/>
              <w:spacing w:before="0" w:after="283"/>
              <w:jc w:val="left"/>
              <w:rPr>
                <w:sz w:val="20"/>
              </w:rPr>
            </w:pPr>
            <w:r>
              <w:rPr>
                <w:sz w:val="20"/>
              </w:rPr>
              <w:t>4.3</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11">
              <w:r>
                <w:rPr>
                  <w:rStyle w:val="InternetLink"/>
                  <w:sz w:val="20"/>
                </w:rPr>
                <w:t>Form of Pre-Funded Warrant, dated September 13,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September 13, 2024</w:t>
            </w:r>
          </w:p>
        </w:tc>
      </w:tr>
      <w:tr>
        <w:trPr/>
        <w:tc>
          <w:tcPr>
            <w:tcW w:w="920" w:type="dxa"/>
            <w:tcBorders/>
            <w:shd w:fill="CCEEFF" w:val="clear"/>
            <w:tcMar>
              <w:bottom w:w="0" w:type="dxa"/>
            </w:tcMar>
            <w:vAlign w:val="center"/>
          </w:tcPr>
          <w:p>
            <w:pPr>
              <w:pStyle w:val="TableContents"/>
              <w:bidi w:val="0"/>
              <w:spacing w:before="0" w:after="283"/>
              <w:jc w:val="left"/>
              <w:rPr/>
            </w:pPr>
            <w:r>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12">
              <w:r>
                <w:rPr>
                  <w:rStyle w:val="InternetLink"/>
                </w:rPr>
                <w:t>Form of Pre-Funded Warrant, dated September 19,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pPr>
            <w:r>
              <w:rPr/>
              <w:t>September 22, 2025</w:t>
            </w:r>
          </w:p>
        </w:tc>
      </w:tr>
      <w:tr>
        <w:trPr/>
        <w:tc>
          <w:tcPr>
            <w:tcW w:w="920" w:type="dxa"/>
            <w:tcBorders/>
            <w:tcMar>
              <w:bottom w:w="0" w:type="dxa"/>
            </w:tcMar>
            <w:vAlign w:val="center"/>
          </w:tcPr>
          <w:p>
            <w:pPr>
              <w:pStyle w:val="TableContents"/>
              <w:bidi w:val="0"/>
              <w:spacing w:before="0" w:after="283"/>
              <w:jc w:val="left"/>
              <w:rPr>
                <w:sz w:val="20"/>
              </w:rPr>
            </w:pPr>
            <w:r>
              <w:rPr>
                <w:sz w:val="20"/>
              </w:rPr>
              <w:t>4.5</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13">
              <w:r>
                <w:rPr>
                  <w:rStyle w:val="InternetLink"/>
                  <w:sz w:val="20"/>
                </w:rPr>
                <w:t>Paruka Warrant, dated December 31,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10-Q</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4.5</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sz w:val="20"/>
              </w:rPr>
            </w:pPr>
            <w:r>
              <w:rPr>
                <w:sz w:val="20"/>
              </w:rPr>
              <w:t>May 14, 2025</w:t>
            </w:r>
          </w:p>
        </w:tc>
      </w:tr>
      <w:tr>
        <w:trPr/>
        <w:tc>
          <w:tcPr>
            <w:tcW w:w="920" w:type="dxa"/>
            <w:tcBorders/>
            <w:shd w:fill="CCEEFF" w:val="clear"/>
            <w:tcMar>
              <w:bottom w:w="0" w:type="dxa"/>
            </w:tcMar>
            <w:vAlign w:val="center"/>
          </w:tcPr>
          <w:p>
            <w:pPr>
              <w:pStyle w:val="TableContents"/>
              <w:bidi w:val="0"/>
              <w:spacing w:before="0" w:after="283"/>
              <w:jc w:val="left"/>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r:id="rId14">
              <w:r>
                <w:rPr>
                  <w:rStyle w:val="InternetLink"/>
                </w:rPr>
                <w:t>Securities Purchase Agreement, dated September 17, 2025, by and between Oruka Therapeutics, Inc. and each purchaser identified on Annex A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pPr>
            <w:r>
              <w:rPr/>
              <w:t>September 22, 2025</w:t>
            </w:r>
          </w:p>
        </w:tc>
      </w:tr>
      <w:tr>
        <w:trPr/>
        <w:tc>
          <w:tcPr>
            <w:tcW w:w="920" w:type="dxa"/>
            <w:tcBorders/>
            <w:tcMar>
              <w:bottom w:w="0" w:type="dxa"/>
            </w:tcMar>
            <w:vAlign w:val="center"/>
          </w:tcPr>
          <w:p>
            <w:pPr>
              <w:pStyle w:val="TableContents"/>
              <w:bidi w:val="0"/>
              <w:spacing w:before="0" w:after="283"/>
              <w:jc w:val="left"/>
              <w:rPr/>
            </w:pPr>
            <w:r>
              <w:rPr/>
              <w:t>10.2</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r:id="rId15">
              <w:r>
                <w:rPr>
                  <w:rStyle w:val="InternetLink"/>
                </w:rPr>
                <w:t>Form of Registration Rights Agreement, dated September 17, 2025</w:t>
              </w:r>
            </w:hyperlink>
            <w:r>
              <w:rPr/>
              <w: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10.2</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pPr>
            <w:r>
              <w:rPr/>
              <w:t>September 22, 2025</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w:anchor="ea026241201ex31-1_oruka.htm">
              <w:r>
                <w:rPr>
                  <w:rStyle w:val="InternetLink"/>
                  <w:sz w:val="20"/>
                </w:rPr>
                <w:t>Certification of the Principal Executive Officer pursuant to Rule 13a-14(a) or 15d-14(a) promulgated under the Securities Exchange Act of 1934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31.2*</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pPr>
            <w:hyperlink w:anchor="ea026241201ex31-2_oruka.htm">
              <w:r>
                <w:rPr>
                  <w:rStyle w:val="InternetLink"/>
                  <w:sz w:val="20"/>
                </w:rPr>
                <w:t>Certification of the Principal Financial Officer pursuant to Rule 13a-14(a) or 15d-14(a)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pPr>
            <w:hyperlink w:anchor="ea026241201ex32-1_oruka.htm">
              <w:r>
                <w:rPr>
                  <w:rStyle w:val="InternetLink"/>
                  <w:sz w:val="20"/>
                </w:rPr>
                <w:t>Certification of the Principal Executive Officer and Principal Financial Officer pursuant to 18 U.S.C. Section 1350 and Rule 13a-14(B) promulgated under the Securities Exchange Act of 1934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101.INS</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sz w:val="20"/>
              </w:rPr>
            </w:pPr>
            <w:r>
              <w:rPr>
                <w:sz w:val="20"/>
              </w:rPr>
              <w:t>Inline XBRL Instance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 with Embedded Linkbases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101.CAL</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sz w:val="20"/>
              </w:rPr>
            </w:pPr>
            <w:r>
              <w:rPr>
                <w:sz w:val="20"/>
              </w:rPr>
              <w:t>Inline XBRL Taxonomy Extension Calculation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sz w:val="20"/>
              </w:rPr>
            </w:pPr>
            <w:r>
              <w:rPr>
                <w:sz w:val="20"/>
              </w:rPr>
              <w:t>Inline XBRL Taxonomy Extension Definition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101.LAB</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sz w:val="20"/>
              </w:rPr>
            </w:pPr>
            <w:r>
              <w:rPr>
                <w:sz w:val="20"/>
              </w:rPr>
              <w:t>Inline XBRL Taxonomy Extension Label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12" w:type="dxa"/>
            <w:tcBorders/>
            <w:shd w:fill="CCEEFF" w:val="clear"/>
            <w:tcMar>
              <w:bottom w:w="0" w:type="dxa"/>
            </w:tcMar>
            <w:vAlign w:val="center"/>
          </w:tcPr>
          <w:p>
            <w:pPr>
              <w:pStyle w:val="TableContents"/>
              <w:bidi w:val="0"/>
              <w:spacing w:before="0" w:after="283"/>
              <w:jc w:val="both"/>
              <w:rPr>
                <w:sz w:val="20"/>
              </w:rPr>
            </w:pPr>
            <w:r>
              <w:rPr>
                <w:sz w:val="20"/>
              </w:rPr>
              <w:t>Inline XBRL Taxonomy Extension Presentation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104</w:t>
            </w:r>
          </w:p>
        </w:tc>
        <w:tc>
          <w:tcPr>
            <w:tcW w:w="90" w:type="dxa"/>
            <w:tcBorders/>
            <w:tcMar>
              <w:bottom w:w="0" w:type="dxa"/>
            </w:tcMar>
            <w:vAlign w:val="center"/>
          </w:tcPr>
          <w:p>
            <w:pPr>
              <w:pStyle w:val="TableContents"/>
              <w:bidi w:val="0"/>
              <w:spacing w:before="0" w:after="283"/>
              <w:jc w:val="left"/>
              <w:rPr/>
            </w:pPr>
            <w:r>
              <w:rPr/>
              <w:t> </w:t>
            </w:r>
          </w:p>
        </w:tc>
        <w:tc>
          <w:tcPr>
            <w:tcW w:w="6012"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sz w:val="20"/>
              </w:rPr>
            </w:pPr>
            <w:r>
              <w:rPr>
                <w:sz w:val="20"/>
              </w:rPr>
              <w:t>*</w:t>
            </w:r>
          </w:p>
        </w:tc>
        <w:tc>
          <w:tcPr>
            <w:tcW w:w="131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w:t>
            </w:r>
          </w:p>
        </w:tc>
        <w:tc>
          <w:tcPr>
            <w:tcW w:w="9997" w:type="dxa"/>
            <w:tcBorders/>
            <w:vAlign w:val="center"/>
          </w:tcPr>
          <w:p>
            <w:pPr>
              <w:pStyle w:val="TableContents"/>
              <w:bidi w:val="0"/>
              <w:spacing w:before="0" w:after="283"/>
              <w:jc w:val="both"/>
              <w:rPr>
                <w:sz w:val="20"/>
              </w:rPr>
            </w:pPr>
            <w:r>
              <w:rPr>
                <w:sz w:val="20"/>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150"/>
        <w:gridCol w:w="395"/>
        <w:gridCol w:w="3185"/>
      </w:tblGrid>
      <w:tr>
        <w:trPr/>
        <w:tc>
          <w:tcPr>
            <w:tcW w:w="2150"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b/>
                <w:sz w:val="20"/>
              </w:rPr>
            </w:pPr>
            <w:r>
              <w:rPr>
                <w:b/>
                <w:sz w:val="20"/>
              </w:rPr>
              <w:t>Oruka Therapeutics, Inc.</w:t>
            </w:r>
          </w:p>
        </w:tc>
      </w:tr>
      <w:tr>
        <w:trPr/>
        <w:tc>
          <w:tcPr>
            <w:tcW w:w="2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sz w:val="20"/>
              </w:rPr>
            </w:pPr>
            <w:r>
              <w:rPr>
                <w:sz w:val="20"/>
              </w:rPr>
              <w:t>Date: November 12, 2025</w:t>
            </w:r>
          </w:p>
        </w:tc>
        <w:tc>
          <w:tcPr>
            <w:tcW w:w="395" w:type="dxa"/>
            <w:tcBorders/>
            <w:vAlign w:val="center"/>
          </w:tcPr>
          <w:p>
            <w:pPr>
              <w:pStyle w:val="TableContents"/>
              <w:bidi w:val="0"/>
              <w:spacing w:before="0" w:after="283"/>
              <w:jc w:val="left"/>
              <w:rPr>
                <w:sz w:val="20"/>
              </w:rPr>
            </w:pPr>
            <w:r>
              <w:rPr>
                <w:sz w:val="20"/>
              </w:rPr>
              <w:t>By: </w:t>
            </w:r>
          </w:p>
        </w:tc>
        <w:tc>
          <w:tcPr>
            <w:tcW w:w="31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Klein</w:t>
            </w:r>
          </w:p>
        </w:tc>
      </w:tr>
      <w:tr>
        <w:trPr/>
        <w:tc>
          <w:tcPr>
            <w:tcW w:w="2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sz w:val="20"/>
              </w:rPr>
            </w:pPr>
            <w:r>
              <w:rPr>
                <w:sz w:val="20"/>
              </w:rPr>
              <w:t>Lawrence Klein</w:t>
              <w:br/>
            </w:r>
            <w:r>
              <w:rPr>
                <w:i/>
                <w:sz w:val="20"/>
              </w:rPr>
              <w:t>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150"/>
        <w:gridCol w:w="395"/>
        <w:gridCol w:w="3830"/>
      </w:tblGrid>
      <w:tr>
        <w:trPr/>
        <w:tc>
          <w:tcPr>
            <w:tcW w:w="2150" w:type="dxa"/>
            <w:tcBorders/>
            <w:vAlign w:val="center"/>
          </w:tcPr>
          <w:p>
            <w:pPr>
              <w:pStyle w:val="TableContents"/>
              <w:bidi w:val="0"/>
              <w:spacing w:before="0" w:after="283"/>
              <w:jc w:val="left"/>
              <w:rPr>
                <w:sz w:val="20"/>
              </w:rPr>
            </w:pPr>
            <w:r>
              <w:rPr>
                <w:sz w:val="20"/>
              </w:rPr>
              <w:t>Date: November 12, 2025</w:t>
            </w:r>
          </w:p>
        </w:tc>
        <w:tc>
          <w:tcPr>
            <w:tcW w:w="395" w:type="dxa"/>
            <w:tcBorders/>
            <w:vAlign w:val="center"/>
          </w:tcPr>
          <w:p>
            <w:pPr>
              <w:pStyle w:val="TableContents"/>
              <w:bidi w:val="0"/>
              <w:spacing w:before="0" w:after="283"/>
              <w:jc w:val="left"/>
              <w:rPr>
                <w:sz w:val="20"/>
              </w:rPr>
            </w:pPr>
            <w:r>
              <w:rPr>
                <w:sz w:val="20"/>
              </w:rPr>
              <w:t>By: </w:t>
            </w:r>
          </w:p>
        </w:tc>
        <w:tc>
          <w:tcPr>
            <w:tcW w:w="38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Arjun Agarwal</w:t>
            </w:r>
          </w:p>
        </w:tc>
      </w:tr>
      <w:tr>
        <w:trPr/>
        <w:tc>
          <w:tcPr>
            <w:tcW w:w="2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sz w:val="20"/>
              </w:rPr>
            </w:pPr>
            <w:r>
              <w:rPr>
                <w:sz w:val="20"/>
              </w:rPr>
              <w:t>Arjun Agarwal</w:t>
              <w:br/>
            </w:r>
            <w:r>
              <w:rPr>
                <w:i/>
                <w:sz w:val="20"/>
              </w:rPr>
              <w:t>Senior Vice President, Finance and Treasurer</w:t>
              <w:br/>
              <w:t>(Principal Financial Officer and</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6241201ex31-1_oruka.htm"/>
      <w:bookmarkStart w:id="22" w:name="ksea026241201ex311_oruka"/>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Lawrence Klein, certify that:</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sz w:val="20"/>
              </w:rPr>
            </w:pPr>
            <w:r>
              <w:rPr>
                <w:sz w:val="20"/>
              </w:rPr>
              <w:t>1.</w:t>
            </w:r>
          </w:p>
        </w:tc>
        <w:tc>
          <w:tcPr>
            <w:tcW w:w="6530" w:type="dxa"/>
            <w:tcBorders/>
            <w:vAlign w:val="center"/>
          </w:tcPr>
          <w:p>
            <w:pPr>
              <w:pStyle w:val="TableContents"/>
              <w:bidi w:val="0"/>
              <w:spacing w:before="0" w:after="283"/>
              <w:jc w:val="left"/>
              <w:rPr>
                <w:sz w:val="20"/>
              </w:rPr>
            </w:pPr>
            <w:r>
              <w:rPr>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(d)</w:t>
            </w:r>
          </w:p>
        </w:tc>
        <w:tc>
          <w:tcPr>
            <w:tcW w:w="9926"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2120"/>
        <w:gridCol w:w="365"/>
        <w:gridCol w:w="3215"/>
      </w:tblGrid>
      <w:tr>
        <w:trPr/>
        <w:tc>
          <w:tcPr>
            <w:tcW w:w="2120" w:type="dxa"/>
            <w:tcBorders/>
            <w:vAlign w:val="center"/>
          </w:tcPr>
          <w:p>
            <w:pPr>
              <w:pStyle w:val="TableContents"/>
              <w:bidi w:val="0"/>
              <w:spacing w:before="0" w:after="283"/>
              <w:jc w:val="left"/>
              <w:rPr>
                <w:sz w:val="20"/>
              </w:rPr>
            </w:pPr>
            <w:r>
              <w:rPr>
                <w:sz w:val="20"/>
              </w:rPr>
              <w:t>Date: November 12, 2025</w:t>
            </w:r>
          </w:p>
        </w:tc>
        <w:tc>
          <w:tcPr>
            <w:tcW w:w="365" w:type="dxa"/>
            <w:tcBorders/>
            <w:vAlign w:val="center"/>
          </w:tcPr>
          <w:p>
            <w:pPr>
              <w:pStyle w:val="TableContents"/>
              <w:bidi w:val="0"/>
              <w:spacing w:before="0" w:after="283"/>
              <w:jc w:val="left"/>
              <w:rPr>
                <w:sz w:val="20"/>
              </w:rPr>
            </w:pPr>
            <w:r>
              <w:rPr>
                <w:sz w:val="20"/>
              </w:rPr>
              <w:t>By: </w:t>
            </w:r>
          </w:p>
        </w:tc>
        <w:tc>
          <w:tcPr>
            <w:tcW w:w="321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Klein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b/>
                <w:sz w:val="20"/>
              </w:rPr>
            </w:pPr>
            <w:r>
              <w:rPr>
                <w:b/>
                <w:sz w:val="20"/>
              </w:rPr>
              <w:t>Lawrence Klein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b/>
                <w:sz w:val="20"/>
              </w:rPr>
              <w:t>President and Chief Executive Officer</w:t>
              <w:br/>
            </w:r>
            <w:r>
              <w:rPr>
                <w:i/>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6241201ex31-2_oruka.htm"/>
      <w:bookmarkStart w:id="24" w:name="ksea026241201ex312_oruka"/>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Arjun Agarwal, certify that:</w:t>
      </w:r>
    </w:p>
    <w:p>
      <w:pPr>
        <w:pStyle w:val="TextBody"/>
        <w:bidi w:val="0"/>
        <w:spacing w:before="0" w:after="0"/>
        <w:ind w:left="490" w:right="0" w:hanging="49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sz w:val="20"/>
              </w:rPr>
            </w:pPr>
            <w:r>
              <w:rPr>
                <w:sz w:val="20"/>
              </w:rPr>
              <w:t>1.</w:t>
            </w:r>
          </w:p>
        </w:tc>
        <w:tc>
          <w:tcPr>
            <w:tcW w:w="6530" w:type="dxa"/>
            <w:tcBorders/>
            <w:vAlign w:val="center"/>
          </w:tcPr>
          <w:p>
            <w:pPr>
              <w:pStyle w:val="TableContents"/>
              <w:bidi w:val="0"/>
              <w:spacing w:before="0" w:after="283"/>
              <w:jc w:val="both"/>
              <w:rPr>
                <w:sz w:val="20"/>
              </w:rPr>
            </w:pPr>
            <w:r>
              <w:rPr>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(d)</w:t>
            </w:r>
          </w:p>
        </w:tc>
        <w:tc>
          <w:tcPr>
            <w:tcW w:w="9926"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120"/>
        <w:gridCol w:w="320"/>
        <w:gridCol w:w="3890"/>
      </w:tblGrid>
      <w:tr>
        <w:trPr/>
        <w:tc>
          <w:tcPr>
            <w:tcW w:w="2120" w:type="dxa"/>
            <w:tcBorders/>
            <w:vAlign w:val="center"/>
          </w:tcPr>
          <w:p>
            <w:pPr>
              <w:pStyle w:val="TableContents"/>
              <w:bidi w:val="0"/>
              <w:spacing w:before="0" w:after="283"/>
              <w:jc w:val="left"/>
              <w:rPr>
                <w:sz w:val="20"/>
              </w:rPr>
            </w:pPr>
            <w:r>
              <w:rPr>
                <w:sz w:val="20"/>
              </w:rPr>
              <w:t>Date: November 12, 2025</w:t>
            </w:r>
          </w:p>
        </w:tc>
        <w:tc>
          <w:tcPr>
            <w:tcW w:w="320" w:type="dxa"/>
            <w:tcBorders/>
            <w:vAlign w:val="center"/>
          </w:tcPr>
          <w:p>
            <w:pPr>
              <w:pStyle w:val="TableContents"/>
              <w:bidi w:val="0"/>
              <w:spacing w:before="0" w:after="283"/>
              <w:jc w:val="left"/>
              <w:rPr>
                <w:sz w:val="20"/>
              </w:rPr>
            </w:pPr>
            <w:r>
              <w:rPr>
                <w:sz w:val="20"/>
              </w:rPr>
              <w:t>By:</w:t>
            </w:r>
          </w:p>
        </w:tc>
        <w:tc>
          <w:tcPr>
            <w:tcW w:w="38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Arjun Agarwal</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b/>
                <w:sz w:val="20"/>
              </w:rPr>
            </w:pPr>
            <w:r>
              <w:rPr>
                <w:b/>
                <w:sz w:val="20"/>
              </w:rPr>
              <w:t>Arjun Agarwal</w:t>
              <w:br/>
              <w:t>Senior Vice President, Finance and Treasurer</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i/>
                <w:sz w:val="20"/>
              </w:rPr>
            </w:pPr>
            <w:r>
              <w:rPr>
                <w:i/>
                <w:sz w:val="20"/>
              </w:rPr>
              <w:t xml:space="preserve">(Principal Financial Officer and </w:t>
              <w:br/>
              <w:t>Principal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6241201ex32-1_oruka.htm"/>
      <w:bookmarkStart w:id="26" w:name="ksea026241201ex321_oruka"/>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 AS ADOPTED PURSUANT TO</w:t>
        <w:br/>
        <w:t>SECTION 906 OF THE SARBANES-OXLEY ACT OF 2002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Oruka Therapeutics, Inc. (the “Company”) for the quarterly period ending September 30, 2025,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pStyle w:val="TextBody"/>
        <w:bidi w:val="0"/>
        <w:spacing w:before="0" w:after="0"/>
        <w:ind w:left="979" w:right="0" w:hanging="49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490" w:right="0" w:hanging="490"/>
        <w:jc w:val="left"/>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120"/>
        <w:gridCol w:w="320"/>
        <w:gridCol w:w="3215"/>
      </w:tblGrid>
      <w:tr>
        <w:trPr/>
        <w:tc>
          <w:tcPr>
            <w:tcW w:w="2120" w:type="dxa"/>
            <w:tcBorders/>
            <w:shd w:fill="FFFFFF" w:val="clear"/>
            <w:vAlign w:val="center"/>
          </w:tcPr>
          <w:p>
            <w:pPr>
              <w:pStyle w:val="TableContents"/>
              <w:bidi w:val="0"/>
              <w:spacing w:before="0" w:after="283"/>
              <w:jc w:val="left"/>
              <w:rPr>
                <w:sz w:val="20"/>
              </w:rPr>
            </w:pPr>
            <w:r>
              <w:rPr>
                <w:sz w:val="20"/>
              </w:rPr>
              <w:t>Date: November 12, 2025</w:t>
            </w:r>
          </w:p>
        </w:tc>
        <w:tc>
          <w:tcPr>
            <w:tcW w:w="320" w:type="dxa"/>
            <w:tcBorders/>
            <w:shd w:fill="FFFFFF" w:val="clear"/>
            <w:vAlign w:val="center"/>
          </w:tcPr>
          <w:p>
            <w:pPr>
              <w:pStyle w:val="TableContents"/>
              <w:bidi w:val="0"/>
              <w:spacing w:before="0" w:after="283"/>
              <w:jc w:val="left"/>
              <w:rPr>
                <w:sz w:val="20"/>
              </w:rPr>
            </w:pPr>
            <w:r>
              <w:rPr>
                <w:sz w:val="20"/>
              </w:rPr>
              <w:t>By:</w:t>
            </w:r>
          </w:p>
        </w:tc>
        <w:tc>
          <w:tcPr>
            <w:tcW w:w="3215"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Lawrence Klein</w:t>
            </w:r>
          </w:p>
        </w:tc>
      </w:tr>
      <w:tr>
        <w:trPr/>
        <w:tc>
          <w:tcPr>
            <w:tcW w:w="212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b/>
                <w:sz w:val="20"/>
              </w:rPr>
            </w:pPr>
            <w:r>
              <w:rPr>
                <w:b/>
                <w:sz w:val="20"/>
              </w:rPr>
              <w:t>Lawrence Klein</w:t>
            </w:r>
          </w:p>
        </w:tc>
      </w:tr>
      <w:tr>
        <w:trPr/>
        <w:tc>
          <w:tcPr>
            <w:tcW w:w="212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sz w:val="20"/>
              </w:rPr>
            </w:pPr>
            <w:r>
              <w:rPr>
                <w:b/>
                <w:sz w:val="20"/>
              </w:rPr>
              <w:t>President and Chief Executive Officer</w:t>
            </w:r>
            <w:r>
              <w:rPr>
                <w:sz w:val="20"/>
              </w:rPr>
              <w:br/>
            </w:r>
            <w:r>
              <w:rPr>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120"/>
        <w:gridCol w:w="320"/>
        <w:gridCol w:w="3890"/>
      </w:tblGrid>
      <w:tr>
        <w:trPr/>
        <w:tc>
          <w:tcPr>
            <w:tcW w:w="2120" w:type="dxa"/>
            <w:tcBorders/>
            <w:shd w:fill="FFFFFF" w:val="clear"/>
            <w:vAlign w:val="center"/>
          </w:tcPr>
          <w:p>
            <w:pPr>
              <w:pStyle w:val="TableContents"/>
              <w:bidi w:val="0"/>
              <w:spacing w:before="0" w:after="283"/>
              <w:jc w:val="left"/>
              <w:rPr>
                <w:sz w:val="20"/>
              </w:rPr>
            </w:pPr>
            <w:r>
              <w:rPr>
                <w:sz w:val="20"/>
              </w:rPr>
              <w:t>Date: November 12, 2025</w:t>
            </w:r>
          </w:p>
        </w:tc>
        <w:tc>
          <w:tcPr>
            <w:tcW w:w="320" w:type="dxa"/>
            <w:tcBorders/>
            <w:shd w:fill="FFFFFF" w:val="clear"/>
            <w:vAlign w:val="center"/>
          </w:tcPr>
          <w:p>
            <w:pPr>
              <w:pStyle w:val="TableContents"/>
              <w:bidi w:val="0"/>
              <w:spacing w:before="0" w:after="283"/>
              <w:jc w:val="left"/>
              <w:rPr>
                <w:sz w:val="20"/>
              </w:rPr>
            </w:pPr>
            <w:r>
              <w:rPr>
                <w:sz w:val="20"/>
              </w:rPr>
              <w:t>By:</w:t>
            </w:r>
          </w:p>
        </w:tc>
        <w:tc>
          <w:tcPr>
            <w:tcW w:w="3890"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Arjun Agarwal</w:t>
            </w:r>
          </w:p>
        </w:tc>
      </w:tr>
      <w:tr>
        <w:trPr/>
        <w:tc>
          <w:tcPr>
            <w:tcW w:w="212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left"/>
              <w:rPr>
                <w:b/>
                <w:sz w:val="20"/>
              </w:rPr>
            </w:pPr>
            <w:r>
              <w:rPr>
                <w:b/>
                <w:sz w:val="20"/>
              </w:rPr>
              <w:t>Arjun Agarwal</w:t>
            </w:r>
          </w:p>
        </w:tc>
      </w:tr>
      <w:tr>
        <w:trPr/>
        <w:tc>
          <w:tcPr>
            <w:tcW w:w="212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left"/>
              <w:rPr>
                <w:sz w:val="20"/>
              </w:rPr>
            </w:pPr>
            <w:r>
              <w:rPr>
                <w:b/>
                <w:sz w:val="20"/>
              </w:rPr>
              <w:t>Senior Vice President, Finance and Treasurer</w:t>
            </w:r>
            <w:r>
              <w:rPr>
                <w:sz w:val="20"/>
              </w:rPr>
              <w:br/>
            </w:r>
            <w:r>
              <w:rPr>
                <w:i/>
                <w:sz w:val="20"/>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signed original of this written statement required by §906 has been provided to Oruka Therapeutics, Inc. and will be retained by Oruka Therapeutics, Inc. and furnished to the Securities and Exchange Commission or its staff upon request.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7654/000119312524085437/d794675dex21.htm" TargetMode="External"/><Relationship Id="rId3" Type="http://schemas.openxmlformats.org/officeDocument/2006/relationships/hyperlink" Target="http://www.sec.gov/Archives/edgar/data/907654/000121390024076184/ea021319301ex3-5_oruka.htm" TargetMode="External"/><Relationship Id="rId4" Type="http://schemas.openxmlformats.org/officeDocument/2006/relationships/hyperlink" Target="http://www.sec.gov/Archives/edgar/data/907654/000121390024076184/ea021319301ex3-6_oruka.htm" TargetMode="External"/><Relationship Id="rId5" Type="http://schemas.openxmlformats.org/officeDocument/2006/relationships/hyperlink" Target="http://www.sec.gov/Archives/edgar/data/907654/000119312513233692/d507513dex31b.htm" TargetMode="External"/><Relationship Id="rId6" Type="http://schemas.openxmlformats.org/officeDocument/2006/relationships/hyperlink" Target="http://www.sec.gov/Archives/edgar/data/907654/000121390024076184/ea021319301ex3-8_oruka.htm" TargetMode="External"/><Relationship Id="rId7" Type="http://schemas.openxmlformats.org/officeDocument/2006/relationships/hyperlink" Target="http://www.sec.gov/Archives/edgar/data/907654/000121390024076184/ea021319301ex3-9_oruka.htm" TargetMode="External"/><Relationship Id="rId8" Type="http://schemas.openxmlformats.org/officeDocument/2006/relationships/hyperlink" Target="http://www.sec.gov/Archives/edgar/data/907654/000121390024078549/ea021443901ex3-1_oruka.htm" TargetMode="External"/><Relationship Id="rId9" Type="http://schemas.openxmlformats.org/officeDocument/2006/relationships/hyperlink" Target="https://www.sec.gov/Archives/edgar/data/907654/000121390025021165/ea023044501ex4-1_orukathe.htm" TargetMode="External"/><Relationship Id="rId10" Type="http://schemas.openxmlformats.org/officeDocument/2006/relationships/hyperlink" Target="https://www.sec.gov/Archives/edgar/data/907654/000121390025021165/ea023044501ex4-3_orukathe.htm" TargetMode="External"/><Relationship Id="rId11" Type="http://schemas.openxmlformats.org/officeDocument/2006/relationships/hyperlink" Target="http://www.sec.gov/Archives/edgar/data/907654/000121390024078549/ea021443901ex4-1_oruka.htm" TargetMode="External"/><Relationship Id="rId12" Type="http://schemas.openxmlformats.org/officeDocument/2006/relationships/hyperlink" Target="https://www.sec.gov/Archives/edgar/data/907654/000121390025090129/ea025786501ex4-1_oruka.htm" TargetMode="External"/><Relationship Id="rId13" Type="http://schemas.openxmlformats.org/officeDocument/2006/relationships/hyperlink" Target="http://www.sec.gov/Archives/edgar/data/907654/000121390025043279/ea023989801ex4-5_oruka.htm" TargetMode="External"/><Relationship Id="rId14" Type="http://schemas.openxmlformats.org/officeDocument/2006/relationships/hyperlink" Target="https://www.sec.gov/Archives/edgar/data/907654/000121390025090129/ea025786501ex10-1_oruka.htm" TargetMode="External"/><Relationship Id="rId15" Type="http://schemas.openxmlformats.org/officeDocument/2006/relationships/hyperlink" Target="https://www.sec.gov/Archives/edgar/data/907654/000121390025090129/ea025786501ex10-2_oruka.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46061</Words>
  <Characters>258671</Characters>
  <CharactersWithSpaces>307439</CharactersWithSpaces>
  <Paragraphs>8827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