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87752-10q_oruka.htm"/>
      <w:bookmarkStart w:id="1" w:name="ksea028775210q_oruka"/>
      <w:bookmarkEnd w:id="0"/>
      <w:bookmarkEnd w:id="1"/>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 to 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000-22873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Oruka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10" w:type="dxa"/>
        <w:jc w:val="left"/>
        <w:tblInd w:w="0" w:type="dxa"/>
        <w:tblLayout w:type="fixed"/>
        <w:tblCellMar>
          <w:top w:w="0" w:type="dxa"/>
          <w:left w:w="0" w:type="dxa"/>
          <w:bottom w:w="28" w:type="dxa"/>
          <w:right w:w="0" w:type="dxa"/>
        </w:tblCellMar>
      </w:tblPr>
      <w:tblGrid>
        <w:gridCol w:w="2525"/>
        <w:gridCol w:w="90"/>
        <w:gridCol w:w="1595"/>
      </w:tblGrid>
      <w:tr>
        <w:trPr/>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9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36-3855489</w:t>
            </w:r>
          </w:p>
        </w:tc>
      </w:tr>
      <w:tr>
        <w:trPr/>
        <w:tc>
          <w:tcPr>
            <w:tcW w:w="25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3245"/>
        <w:gridCol w:w="90"/>
        <w:gridCol w:w="980"/>
      </w:tblGrid>
      <w:tr>
        <w:trPr/>
        <w:tc>
          <w:tcPr>
            <w:tcW w:w="32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855 Oak Grove Avenue</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r>
      <w:tr>
        <w:trPr/>
        <w:tc>
          <w:tcPr>
            <w:tcW w:w="32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Suite 100</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r>
      <w:tr>
        <w:trPr/>
        <w:tc>
          <w:tcPr>
            <w:tcW w:w="324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Menlo Park, California</w:t>
            </w:r>
          </w:p>
        </w:tc>
        <w:tc>
          <w:tcPr>
            <w:tcW w:w="90" w:type="dxa"/>
            <w:tcBorders/>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94025</w:t>
            </w:r>
          </w:p>
        </w:tc>
      </w:tr>
      <w:tr>
        <w:trPr/>
        <w:tc>
          <w:tcPr>
            <w:tcW w:w="3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 606-7910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10" w:type="dxa"/>
        <w:jc w:val="left"/>
        <w:tblInd w:w="0" w:type="dxa"/>
        <w:tblLayout w:type="fixed"/>
        <w:tblCellMar>
          <w:top w:w="0" w:type="dxa"/>
          <w:left w:w="0" w:type="dxa"/>
          <w:bottom w:w="28" w:type="dxa"/>
          <w:right w:w="0" w:type="dxa"/>
        </w:tblCellMar>
      </w:tblPr>
      <w:tblGrid>
        <w:gridCol w:w="3515"/>
        <w:gridCol w:w="90"/>
        <w:gridCol w:w="1565"/>
        <w:gridCol w:w="90"/>
        <w:gridCol w:w="3650"/>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90" w:type="dxa"/>
            <w:tcBorders/>
            <w:tcMar>
              <w:bottom w:w="0" w:type="dxa"/>
            </w:tcMar>
            <w:vAlign w:val="center"/>
          </w:tcPr>
          <w:p>
            <w:pPr>
              <w:pStyle w:val="TableContents"/>
              <w:bidi w:val="0"/>
              <w:spacing w:before="0" w:after="283"/>
              <w:jc w:val="center"/>
              <w:rPr/>
            </w:pPr>
            <w:r>
              <w:rPr/>
              <w:t> </w:t>
            </w:r>
          </w:p>
        </w:tc>
        <w:tc>
          <w:tcPr>
            <w:tcW w:w="365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$0.001 per share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ORKA</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6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65"/>
        <w:gridCol w:w="260"/>
        <w:gridCol w:w="2255"/>
        <w:gridCol w:w="30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there were 60,312,101 shares of the registrant’s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8925" w:type="dxa"/>
        <w:jc w:val="left"/>
        <w:tblInd w:w="0" w:type="dxa"/>
        <w:tblLayout w:type="fixed"/>
        <w:tblCellMar>
          <w:top w:w="0" w:type="dxa"/>
          <w:left w:w="0" w:type="dxa"/>
          <w:bottom w:w="0" w:type="dxa"/>
          <w:right w:w="0" w:type="dxa"/>
        </w:tblCellMar>
      </w:tblPr>
      <w:tblGrid>
        <w:gridCol w:w="755"/>
        <w:gridCol w:w="7655"/>
        <w:gridCol w:w="515"/>
      </w:tblGrid>
      <w:tr>
        <w:trPr/>
        <w:tc>
          <w:tcPr>
            <w:tcW w:w="755"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755" w:type="dxa"/>
            <w:tcBorders/>
            <w:shd w:fill="CCEEFF" w:val="clear"/>
            <w:vAlign w:val="center"/>
          </w:tcPr>
          <w:p>
            <w:pPr>
              <w:pStyle w:val="TableContents"/>
              <w:bidi w:val="0"/>
              <w:spacing w:before="0" w:after="283"/>
              <w:jc w:val="left"/>
              <w:rPr/>
            </w:pPr>
            <w:r>
              <w:rPr/>
              <w:t> </w:t>
            </w:r>
          </w:p>
        </w:tc>
        <w:tc>
          <w:tcPr>
            <w:tcW w:w="7655"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sz w:val="20"/>
                </w:rPr>
                <w:t>PART I. Financial Information</w:t>
              </w:r>
            </w:hyperlink>
          </w:p>
        </w:tc>
        <w:tc>
          <w:tcPr>
            <w:tcW w:w="515" w:type="dxa"/>
            <w:tcBorders/>
            <w:shd w:fill="CCEEFF" w:val="clear"/>
            <w:vAlign w:val="center"/>
          </w:tcPr>
          <w:p>
            <w:pPr>
              <w:pStyle w:val="TableContents"/>
              <w:bidi w:val="0"/>
              <w:spacing w:before="0" w:after="283"/>
              <w:jc w:val="center"/>
              <w:rPr/>
            </w:pPr>
            <w:r>
              <w:rPr/>
              <w:t> </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7655"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Financial Statements (Unaudited)</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55" w:type="dxa"/>
            <w:tcBorders/>
            <w:shd w:fill="CCEEFF" w:val="clear"/>
            <w:vAlign w:val="center"/>
          </w:tcPr>
          <w:p>
            <w:pPr>
              <w:pStyle w:val="TableContents"/>
              <w:bidi w:val="0"/>
              <w:spacing w:before="0" w:after="283"/>
              <w:jc w:val="left"/>
              <w:rPr/>
            </w:pPr>
            <w:r>
              <w:rPr/>
              <w:t> </w:t>
            </w:r>
          </w:p>
        </w:tc>
        <w:tc>
          <w:tcPr>
            <w:tcW w:w="765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Condensed Consolidated Balance Sheets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55"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 xml:space="preserve">Condensed Consolidated Statements of Operations </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755" w:type="dxa"/>
            <w:tcBorders/>
            <w:shd w:fill="CCEEFF" w:val="clear"/>
            <w:vAlign w:val="center"/>
          </w:tcPr>
          <w:p>
            <w:pPr>
              <w:pStyle w:val="TableContents"/>
              <w:bidi w:val="0"/>
              <w:spacing w:before="0" w:after="283"/>
              <w:jc w:val="left"/>
              <w:rPr/>
            </w:pPr>
            <w:r>
              <w:rPr/>
              <w:t> </w:t>
            </w:r>
          </w:p>
        </w:tc>
        <w:tc>
          <w:tcPr>
            <w:tcW w:w="765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Condensed Consolidated Statements of Comprehensive Loss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755"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Condensed Consolidated Statements of Convertible Preferred Stock and Stockholders’ Equity</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755" w:type="dxa"/>
            <w:tcBorders/>
            <w:shd w:fill="CCEEFF" w:val="clear"/>
            <w:vAlign w:val="center"/>
          </w:tcPr>
          <w:p>
            <w:pPr>
              <w:pStyle w:val="TableContents"/>
              <w:bidi w:val="0"/>
              <w:spacing w:before="0" w:after="283"/>
              <w:jc w:val="left"/>
              <w:rPr/>
            </w:pPr>
            <w:r>
              <w:rPr/>
              <w:t> </w:t>
            </w:r>
          </w:p>
        </w:tc>
        <w:tc>
          <w:tcPr>
            <w:tcW w:w="765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Condensed Consolidated Statements of Cash Flows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755"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Notes to Unaudited Condensed Consolidated Financial Statements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765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Management’s Discussion and Analysis of Financial Condition and Results of Operations</w:t>
              </w:r>
            </w:hyperlink>
          </w:p>
        </w:tc>
        <w:tc>
          <w:tcPr>
            <w:tcW w:w="515" w:type="dxa"/>
            <w:tcBorders/>
            <w:shd w:fill="CCEEFF" w:val="clear"/>
            <w:vAlign w:val="center"/>
          </w:tcPr>
          <w:p>
            <w:pPr>
              <w:pStyle w:val="TableContents"/>
              <w:bidi w:val="0"/>
              <w:spacing w:before="0" w:after="283"/>
              <w:jc w:val="center"/>
              <w:rPr/>
            </w:pPr>
            <w:r>
              <w:rPr/>
              <w:t>23</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7655"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Quantitative and Qualitative Disclosures About Market Risk</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765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Controls and Procedures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755"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center"/>
              <w:rPr/>
            </w:pPr>
            <w:hyperlink w:anchor="a_012">
              <w:r>
                <w:rPr>
                  <w:rStyle w:val="InternetLink"/>
                  <w:rFonts w:ascii="Times New Roman;Times;Serif" w:hAnsi="Times New Roman;Times;Serif"/>
                  <w:sz w:val="20"/>
                </w:rPr>
                <w:t>PART II. Other Information</w:t>
              </w:r>
            </w:hyperlink>
          </w:p>
        </w:tc>
        <w:tc>
          <w:tcPr>
            <w:tcW w:w="515" w:type="dxa"/>
            <w:tcBorders/>
            <w:vAlign w:val="center"/>
          </w:tcPr>
          <w:p>
            <w:pPr>
              <w:pStyle w:val="TableContents"/>
              <w:bidi w:val="0"/>
              <w:spacing w:before="0" w:after="283"/>
              <w:jc w:val="center"/>
              <w:rPr/>
            </w:pPr>
            <w:r>
              <w:rPr/>
              <w:t> </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765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Legal Proceedings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1A.</w:t>
            </w:r>
          </w:p>
        </w:tc>
        <w:tc>
          <w:tcPr>
            <w:tcW w:w="7655"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Risk Factors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765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Unregistered Sales of Equity Securities and Use of Proceeds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7655"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Defaults Upon Senior Securities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765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Mine Safety Disclosures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7655" w:type="dxa"/>
            <w:tcBorders/>
            <w:vAlign w:val="center"/>
          </w:tcPr>
          <w:p>
            <w:pPr>
              <w:pStyle w:val="TableContents"/>
              <w:bidi w:val="0"/>
              <w:spacing w:before="0" w:after="283"/>
              <w:jc w:val="left"/>
              <w:rPr/>
            </w:pPr>
            <w:hyperlink w:anchor="a_018">
              <w:r>
                <w:rPr>
                  <w:rStyle w:val="InternetLink"/>
                  <w:rFonts w:ascii="Times New Roman;Times;Serif" w:hAnsi="Times New Roman;Times;Serif"/>
                  <w:sz w:val="20"/>
                </w:rPr>
                <w:t>Other Information</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w:t>
            </w:r>
          </w:p>
        </w:tc>
        <w:tc>
          <w:tcPr>
            <w:tcW w:w="765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Exhibits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r>
      <w:tr>
        <w:trPr/>
        <w:tc>
          <w:tcPr>
            <w:tcW w:w="8410" w:type="dxa"/>
            <w:gridSpan w:val="2"/>
            <w:tcBorders/>
            <w:vAlign w:val="center"/>
          </w:tcPr>
          <w:p>
            <w:pPr>
              <w:pStyle w:val="TableContents"/>
              <w:bidi w:val="0"/>
              <w:spacing w:before="0" w:after="283"/>
              <w:jc w:val="left"/>
              <w:rPr/>
            </w:pPr>
            <w:hyperlink w:anchor="a_020">
              <w:r>
                <w:rPr>
                  <w:rStyle w:val="InternetLink"/>
                  <w:rFonts w:ascii="Times New Roman;Times;Serif" w:hAnsi="Times New Roman;Times;Serif"/>
                  <w:sz w:val="20"/>
                </w:rPr>
                <w:t>Signatures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ORUKA THERAPEUTICS, INC.</w:t>
        <w:br/>
        <w:t>CONDENSED CONSOLIDATED BALANCE SHEETS</w:t>
        <w:br/>
        <w:t>(UNAUDITED)</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71"/>
        <w:gridCol w:w="90"/>
        <w:gridCol w:w="170"/>
        <w:gridCol w:w="910"/>
        <w:gridCol w:w="125"/>
        <w:gridCol w:w="90"/>
        <w:gridCol w:w="221"/>
        <w:gridCol w:w="1180"/>
        <w:gridCol w:w="148"/>
      </w:tblGrid>
      <w:tr>
        <w:trPr/>
        <w:tc>
          <w:tcPr>
            <w:tcW w:w="727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80" w:type="dxa"/>
            <w:gridSpan w:val="2"/>
            <w:tcBorders/>
            <w:vAlign w:val="center"/>
          </w:tcPr>
          <w:p>
            <w:pPr>
              <w:pStyle w:val="TableContents"/>
              <w:bidi w:val="0"/>
              <w:spacing w:before="0" w:after="283"/>
              <w:jc w:val="center"/>
              <w:rPr>
                <w:b/>
              </w:rPr>
            </w:pPr>
            <w:r>
              <w:rPr>
                <w:b/>
              </w:rP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center"/>
              <w:rPr>
                <w:b/>
              </w:rPr>
            </w:pPr>
            <w:r>
              <w:rPr>
                <w:b/>
              </w:rPr>
              <w:t>December 31,</w:t>
            </w:r>
          </w:p>
        </w:tc>
        <w:tc>
          <w:tcPr>
            <w:tcW w:w="148" w:type="dxa"/>
            <w:tcBorders/>
            <w:vAlign w:val="center"/>
          </w:tcPr>
          <w:p>
            <w:pPr>
              <w:pStyle w:val="TableContents"/>
              <w:bidi w:val="0"/>
              <w:spacing w:before="0" w:after="283"/>
              <w:jc w:val="left"/>
              <w:rPr/>
            </w:pPr>
            <w:r>
              <w:rPr/>
              <w:t> </w:t>
            </w:r>
          </w:p>
        </w:tc>
      </w:tr>
      <w:tr>
        <w:trPr/>
        <w:tc>
          <w:tcPr>
            <w:tcW w:w="727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8" w:type="dxa"/>
            <w:tcBorders/>
            <w:vAlign w:val="center"/>
          </w:tcPr>
          <w:p>
            <w:pPr>
              <w:pStyle w:val="TableContents"/>
              <w:bidi w:val="0"/>
              <w:spacing w:before="0" w:after="283"/>
              <w:jc w:val="left"/>
              <w:rPr/>
            </w:pPr>
            <w:r>
              <w:rPr/>
              <w:t> </w:t>
            </w:r>
          </w:p>
        </w:tc>
      </w:tr>
      <w:tr>
        <w:trPr/>
        <w:tc>
          <w:tcPr>
            <w:tcW w:w="7271"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08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r>
      <w:tr>
        <w:trPr/>
        <w:tc>
          <w:tcPr>
            <w:tcW w:w="7271"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08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7271"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49,520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46,935</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1" w:type="dxa"/>
            <w:tcBorders/>
            <w:vAlign w:val="center"/>
          </w:tcPr>
          <w:p>
            <w:pPr>
              <w:pStyle w:val="TableContents"/>
              <w:bidi w:val="0"/>
              <w:spacing w:before="0" w:after="283"/>
              <w:jc w:val="left"/>
              <w:rPr/>
            </w:pPr>
            <w:r>
              <w:rPr/>
              <w:t>Marketable securities, current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339,309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290,109</w:t>
            </w:r>
          </w:p>
        </w:tc>
        <w:tc>
          <w:tcPr>
            <w:tcW w:w="148" w:type="dxa"/>
            <w:tcBorders/>
            <w:vAlign w:val="center"/>
          </w:tcPr>
          <w:p>
            <w:pPr>
              <w:pStyle w:val="TableContents"/>
              <w:bidi w:val="0"/>
              <w:spacing w:before="0" w:after="283"/>
              <w:ind w:left="0" w:right="0" w:hanging="180"/>
              <w:jc w:val="left"/>
              <w:rPr/>
            </w:pPr>
            <w:r>
              <w:rPr/>
              <w:t> </w:t>
            </w:r>
          </w:p>
        </w:tc>
      </w:tr>
      <w:tr>
        <w:trPr/>
        <w:tc>
          <w:tcPr>
            <w:tcW w:w="7271"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6,420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6,813</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1"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395,249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343,857</w:t>
            </w:r>
          </w:p>
        </w:tc>
        <w:tc>
          <w:tcPr>
            <w:tcW w:w="148" w:type="dxa"/>
            <w:tcBorders/>
            <w:vAlign w:val="center"/>
          </w:tcPr>
          <w:p>
            <w:pPr>
              <w:pStyle w:val="TableContents"/>
              <w:bidi w:val="0"/>
              <w:spacing w:before="0" w:after="283"/>
              <w:ind w:left="0" w:right="0" w:hanging="180"/>
              <w:jc w:val="left"/>
              <w:rPr/>
            </w:pPr>
            <w:r>
              <w:rPr/>
              <w:t> </w:t>
            </w:r>
          </w:p>
        </w:tc>
      </w:tr>
      <w:tr>
        <w:trPr/>
        <w:tc>
          <w:tcPr>
            <w:tcW w:w="7271"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107,123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142,539</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1" w:type="dxa"/>
            <w:tcBorders/>
            <w:vAlign w:val="center"/>
          </w:tcPr>
          <w:p>
            <w:pPr>
              <w:pStyle w:val="TableContents"/>
              <w:bidi w:val="0"/>
              <w:spacing w:before="0" w:after="283"/>
              <w:jc w:val="left"/>
              <w:rPr/>
            </w:pPr>
            <w:r>
              <w:rPr/>
              <w:t>Property and equipment,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318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288</w:t>
            </w:r>
          </w:p>
        </w:tc>
        <w:tc>
          <w:tcPr>
            <w:tcW w:w="148" w:type="dxa"/>
            <w:tcBorders/>
            <w:vAlign w:val="center"/>
          </w:tcPr>
          <w:p>
            <w:pPr>
              <w:pStyle w:val="TableContents"/>
              <w:bidi w:val="0"/>
              <w:spacing w:before="0" w:after="283"/>
              <w:ind w:left="0" w:right="0" w:hanging="180"/>
              <w:jc w:val="left"/>
              <w:rPr/>
            </w:pPr>
            <w:r>
              <w:rPr/>
              <w:t> </w:t>
            </w:r>
          </w:p>
        </w:tc>
      </w:tr>
      <w:tr>
        <w:trPr/>
        <w:tc>
          <w:tcPr>
            <w:tcW w:w="7271" w:type="dxa"/>
            <w:tcBorders/>
            <w:shd w:fill="CCEEFF" w:val="clear"/>
            <w:vAlign w:val="center"/>
          </w:tcPr>
          <w:p>
            <w:pPr>
              <w:pStyle w:val="TableContents"/>
              <w:bidi w:val="0"/>
              <w:spacing w:before="0" w:after="283"/>
              <w:jc w:val="left"/>
              <w:rPr/>
            </w:pPr>
            <w:r>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1,687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1,830</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1"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tcMar>
              <w:bottom w:w="28" w:type="dxa"/>
            </w:tcMar>
            <w:vAlign w:val="center"/>
          </w:tcPr>
          <w:p>
            <w:pPr>
              <w:pStyle w:val="TableContents"/>
              <w:bidi w:val="0"/>
              <w:spacing w:before="0" w:after="283"/>
              <w:jc w:val="right"/>
              <w:rPr/>
            </w:pPr>
            <w:r>
              <w:rPr/>
              <w:t>103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tcMar>
              <w:bottom w:w="28" w:type="dxa"/>
            </w:tcMar>
            <w:vAlign w:val="center"/>
          </w:tcPr>
          <w:p>
            <w:pPr>
              <w:pStyle w:val="TableContents"/>
              <w:bidi w:val="0"/>
              <w:spacing w:before="0" w:after="283"/>
              <w:jc w:val="right"/>
              <w:rPr/>
            </w:pPr>
            <w:r>
              <w:rPr/>
              <w:t>103</w:t>
            </w:r>
          </w:p>
        </w:tc>
        <w:tc>
          <w:tcPr>
            <w:tcW w:w="148" w:type="dxa"/>
            <w:tcBorders/>
            <w:vAlign w:val="center"/>
          </w:tcPr>
          <w:p>
            <w:pPr>
              <w:pStyle w:val="TableContents"/>
              <w:bidi w:val="0"/>
              <w:spacing w:before="0" w:after="283"/>
              <w:ind w:left="0" w:right="0" w:hanging="180"/>
              <w:jc w:val="left"/>
              <w:rPr/>
            </w:pPr>
            <w:r>
              <w:rPr/>
              <w:t> </w:t>
            </w:r>
          </w:p>
        </w:tc>
      </w:tr>
      <w:tr>
        <w:trPr/>
        <w:tc>
          <w:tcPr>
            <w:tcW w:w="7271"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0" w:type="dxa"/>
            <w:tcBorders>
              <w:bottom w:val="double" w:sz="10" w:space="0" w:color="000000"/>
            </w:tcBorders>
            <w:shd w:fill="CCEEFF" w:val="clear"/>
            <w:tcMar>
              <w:bottom w:w="28" w:type="dxa"/>
            </w:tcMar>
            <w:vAlign w:val="center"/>
          </w:tcPr>
          <w:p>
            <w:pPr>
              <w:pStyle w:val="TableContents"/>
              <w:bidi w:val="0"/>
              <w:spacing w:before="0" w:after="283"/>
              <w:jc w:val="right"/>
              <w:rPr/>
            </w:pPr>
            <w:r>
              <w:rPr/>
              <w:t>504,480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488,617</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1" w:type="dxa"/>
            <w:tcBorders/>
            <w:vAlign w:val="center"/>
          </w:tcPr>
          <w:p>
            <w:pPr>
              <w:pStyle w:val="TableContents"/>
              <w:bidi w:val="0"/>
              <w:spacing w:before="0" w:after="283"/>
              <w:jc w:val="left"/>
              <w:rPr>
                <w:b/>
              </w:rPr>
            </w:pPr>
            <w:r>
              <w:rPr>
                <w:b/>
              </w:rPr>
              <w:t>Liabilities and 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7271"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1"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0" w:type="dxa"/>
            <w:tcBorders/>
            <w:vAlign w:val="center"/>
          </w:tcPr>
          <w:p>
            <w:pPr>
              <w:pStyle w:val="TableContents"/>
              <w:bidi w:val="0"/>
              <w:spacing w:before="0" w:after="283"/>
              <w:jc w:val="right"/>
              <w:rPr/>
            </w:pPr>
            <w:r>
              <w:rPr/>
              <w:t>3,662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4,155</w:t>
            </w:r>
          </w:p>
        </w:tc>
        <w:tc>
          <w:tcPr>
            <w:tcW w:w="148" w:type="dxa"/>
            <w:tcBorders/>
            <w:vAlign w:val="center"/>
          </w:tcPr>
          <w:p>
            <w:pPr>
              <w:pStyle w:val="TableContents"/>
              <w:bidi w:val="0"/>
              <w:spacing w:before="0" w:after="283"/>
              <w:ind w:left="0" w:right="0" w:hanging="180"/>
              <w:jc w:val="left"/>
              <w:rPr/>
            </w:pPr>
            <w:r>
              <w:rPr/>
              <w:t> </w:t>
            </w:r>
          </w:p>
        </w:tc>
      </w:tr>
      <w:tr>
        <w:trPr/>
        <w:tc>
          <w:tcPr>
            <w:tcW w:w="7271"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9,287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10,591</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1" w:type="dxa"/>
            <w:tcBorders/>
            <w:vAlign w:val="center"/>
          </w:tcPr>
          <w:p>
            <w:pPr>
              <w:pStyle w:val="TableContents"/>
              <w:bidi w:val="0"/>
              <w:spacing w:before="0" w:after="283"/>
              <w:jc w:val="left"/>
              <w:rPr/>
            </w:pPr>
            <w:r>
              <w:rPr/>
              <w:t>Operating lease liability, current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680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619</w:t>
            </w:r>
          </w:p>
        </w:tc>
        <w:tc>
          <w:tcPr>
            <w:tcW w:w="148" w:type="dxa"/>
            <w:tcBorders/>
            <w:vAlign w:val="center"/>
          </w:tcPr>
          <w:p>
            <w:pPr>
              <w:pStyle w:val="TableContents"/>
              <w:bidi w:val="0"/>
              <w:spacing w:before="0" w:after="283"/>
              <w:ind w:left="0" w:right="0" w:hanging="180"/>
              <w:jc w:val="left"/>
              <w:rPr/>
            </w:pPr>
            <w:r>
              <w:rPr/>
              <w:t> </w:t>
            </w:r>
          </w:p>
        </w:tc>
      </w:tr>
      <w:tr>
        <w:trPr/>
        <w:tc>
          <w:tcPr>
            <w:tcW w:w="7271" w:type="dxa"/>
            <w:tcBorders/>
            <w:shd w:fill="CCEEFF" w:val="clear"/>
            <w:vAlign w:val="center"/>
          </w:tcPr>
          <w:p>
            <w:pPr>
              <w:pStyle w:val="TableContents"/>
              <w:bidi w:val="0"/>
              <w:spacing w:before="0" w:after="283"/>
              <w:jc w:val="left"/>
              <w:rPr/>
            </w:pPr>
            <w:r>
              <w:rPr/>
              <w:t>Related party accounts payable and other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3,004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1"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16,633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15,374</w:t>
            </w:r>
          </w:p>
        </w:tc>
        <w:tc>
          <w:tcPr>
            <w:tcW w:w="148" w:type="dxa"/>
            <w:tcBorders/>
            <w:vAlign w:val="center"/>
          </w:tcPr>
          <w:p>
            <w:pPr>
              <w:pStyle w:val="TableContents"/>
              <w:bidi w:val="0"/>
              <w:spacing w:before="0" w:after="283"/>
              <w:ind w:left="0" w:right="0" w:hanging="180"/>
              <w:jc w:val="left"/>
              <w:rPr/>
            </w:pPr>
            <w:r>
              <w:rPr/>
              <w:t> </w:t>
            </w:r>
          </w:p>
        </w:tc>
      </w:tr>
      <w:tr>
        <w:trPr/>
        <w:tc>
          <w:tcPr>
            <w:tcW w:w="7271" w:type="dxa"/>
            <w:tcBorders/>
            <w:shd w:fill="CCEEFF" w:val="clear"/>
            <w:vAlign w:val="center"/>
          </w:tcPr>
          <w:p>
            <w:pPr>
              <w:pStyle w:val="TableContents"/>
              <w:bidi w:val="0"/>
              <w:spacing w:before="0" w:after="283"/>
              <w:jc w:val="left"/>
              <w:rPr/>
            </w:pPr>
            <w:r>
              <w:rPr/>
              <w:t>Operating lease liability, non-current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1,127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1,313</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1"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tcMar>
              <w:bottom w:w="28" w:type="dxa"/>
            </w:tcMar>
            <w:vAlign w:val="center"/>
          </w:tcPr>
          <w:p>
            <w:pPr>
              <w:pStyle w:val="TableContents"/>
              <w:bidi w:val="0"/>
              <w:spacing w:before="0" w:after="283"/>
              <w:jc w:val="right"/>
              <w:rPr/>
            </w:pPr>
            <w:r>
              <w:rPr/>
              <w:t>17,760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tcMar>
              <w:bottom w:w="28" w:type="dxa"/>
            </w:tcMar>
            <w:vAlign w:val="center"/>
          </w:tcPr>
          <w:p>
            <w:pPr>
              <w:pStyle w:val="TableContents"/>
              <w:bidi w:val="0"/>
              <w:spacing w:before="0" w:after="283"/>
              <w:jc w:val="right"/>
              <w:rPr/>
            </w:pPr>
            <w:r>
              <w:rPr/>
              <w:t>16,687</w:t>
            </w:r>
          </w:p>
        </w:tc>
        <w:tc>
          <w:tcPr>
            <w:tcW w:w="148" w:type="dxa"/>
            <w:tcBorders/>
            <w:vAlign w:val="center"/>
          </w:tcPr>
          <w:p>
            <w:pPr>
              <w:pStyle w:val="TableContents"/>
              <w:bidi w:val="0"/>
              <w:spacing w:before="0" w:after="283"/>
              <w:ind w:left="0" w:right="0" w:hanging="180"/>
              <w:jc w:val="left"/>
              <w:rPr/>
            </w:pPr>
            <w:r>
              <w:rPr/>
              <w:t> </w:t>
            </w:r>
          </w:p>
        </w:tc>
      </w:tr>
      <w:tr>
        <w:trPr/>
        <w:tc>
          <w:tcPr>
            <w:tcW w:w="7271" w:type="dxa"/>
            <w:tcBorders/>
            <w:shd w:fill="CCEEFF" w:val="clear"/>
            <w:vAlign w:val="center"/>
          </w:tcPr>
          <w:p>
            <w:pPr>
              <w:pStyle w:val="TableContents"/>
              <w:bidi w:val="0"/>
              <w:spacing w:before="0" w:after="283"/>
              <w:jc w:val="left"/>
              <w:rPr/>
            </w:pPr>
            <w:r>
              <w:rPr/>
              <w:t>Commitments and contingencies (Note 11)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0"/>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1" w:type="dxa"/>
            <w:tcBorders/>
            <w:vAlign w:val="center"/>
          </w:tcPr>
          <w:p>
            <w:pPr>
              <w:pStyle w:val="TableContents"/>
              <w:bidi w:val="0"/>
              <w:spacing w:before="0" w:after="283"/>
              <w:jc w:val="left"/>
              <w:rPr/>
            </w:pPr>
            <w:r>
              <w:rPr/>
              <w:t>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7271" w:type="dxa"/>
            <w:tcBorders/>
            <w:shd w:fill="CCEEFF" w:val="clear"/>
            <w:vAlign w:val="center"/>
          </w:tcPr>
          <w:p>
            <w:pPr>
              <w:pStyle w:val="TableContents"/>
              <w:bidi w:val="0"/>
              <w:spacing w:before="0" w:after="283"/>
              <w:jc w:val="left"/>
              <w:rPr/>
            </w:pPr>
            <w:r>
              <w:rPr/>
              <w:t>Series B non-voting convertible preferred stock, $0.001 par value; 251,504 shares authorized as of March 31, 2026 and December 31, 2025; 137,138 shares issued and outstanding as of March 31, 2026 and December 31, 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2,931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2,931</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1" w:type="dxa"/>
            <w:tcBorders/>
            <w:vAlign w:val="center"/>
          </w:tcPr>
          <w:p>
            <w:pPr>
              <w:pStyle w:val="TableContents"/>
              <w:bidi w:val="0"/>
              <w:spacing w:before="0" w:after="283"/>
              <w:jc w:val="left"/>
              <w:rPr/>
            </w:pPr>
            <w:r>
              <w:rPr/>
              <w:t>Common stock, $0.001 par value; 545,000,000 shares authorized as of March 31, 2026 and December 31, 2025; 50,167,623 and 48,722,309 shares issued and outstanding as of March 31, 2026 and December 31, 2025,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49</w:t>
            </w:r>
          </w:p>
        </w:tc>
        <w:tc>
          <w:tcPr>
            <w:tcW w:w="148" w:type="dxa"/>
            <w:tcBorders/>
            <w:vAlign w:val="center"/>
          </w:tcPr>
          <w:p>
            <w:pPr>
              <w:pStyle w:val="TableContents"/>
              <w:bidi w:val="0"/>
              <w:spacing w:before="0" w:after="283"/>
              <w:ind w:left="0" w:right="0" w:hanging="180"/>
              <w:jc w:val="left"/>
              <w:rPr/>
            </w:pPr>
            <w:r>
              <w:rPr/>
              <w:t> </w:t>
            </w:r>
          </w:p>
        </w:tc>
      </w:tr>
      <w:tr>
        <w:trPr/>
        <w:tc>
          <w:tcPr>
            <w:tcW w:w="7271" w:type="dxa"/>
            <w:tcBorders/>
            <w:shd w:fill="CCEEFF" w:val="clear"/>
            <w:vAlign w:val="center"/>
          </w:tcPr>
          <w:p>
            <w:pPr>
              <w:pStyle w:val="TableContents"/>
              <w:bidi w:val="0"/>
              <w:spacing w:before="0" w:after="283"/>
              <w:jc w:val="left"/>
              <w:rPr/>
            </w:pPr>
            <w:r>
              <w:rPr/>
              <w:t>Additional paid-in capital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705,196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657,561</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7271" w:type="dxa"/>
            <w:tcBorders/>
            <w:vAlign w:val="center"/>
          </w:tcPr>
          <w:p>
            <w:pPr>
              <w:pStyle w:val="TableContents"/>
              <w:bidi w:val="0"/>
              <w:spacing w:before="0" w:after="283"/>
              <w:jc w:val="left"/>
              <w:rPr/>
            </w:pPr>
            <w:r>
              <w:rPr/>
              <w:t>Accumulated other comprehensive income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(480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546</w:t>
            </w:r>
          </w:p>
        </w:tc>
        <w:tc>
          <w:tcPr>
            <w:tcW w:w="148" w:type="dxa"/>
            <w:tcBorders/>
            <w:vAlign w:val="center"/>
          </w:tcPr>
          <w:p>
            <w:pPr>
              <w:pStyle w:val="TableContents"/>
              <w:bidi w:val="0"/>
              <w:spacing w:before="0" w:after="283"/>
              <w:ind w:left="0" w:right="0" w:hanging="180"/>
              <w:jc w:val="left"/>
              <w:rPr/>
            </w:pPr>
            <w:r>
              <w:rPr/>
              <w:t> </w:t>
            </w:r>
          </w:p>
        </w:tc>
      </w:tr>
      <w:tr>
        <w:trPr/>
        <w:tc>
          <w:tcPr>
            <w:tcW w:w="7271" w:type="dxa"/>
            <w:tcBorders/>
            <w:shd w:fill="CCEEFF" w:val="clear"/>
            <w:vAlign w:val="center"/>
          </w:tcPr>
          <w:p>
            <w:pPr>
              <w:pStyle w:val="TableContents"/>
              <w:bidi w:val="0"/>
              <w:spacing w:before="0" w:after="283"/>
              <w:jc w:val="left"/>
              <w:rPr/>
            </w:pPr>
            <w:r>
              <w:rPr/>
              <w:t>Accumulated deficit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(220,977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(189,157</w:t>
            </w:r>
          </w:p>
        </w:tc>
        <w:tc>
          <w:tcPr>
            <w:tcW w:w="148" w:type="dxa"/>
            <w:tcBorders/>
            <w:shd w:fill="CCEEFF" w:val="clear"/>
            <w:vAlign w:val="center"/>
          </w:tcPr>
          <w:p>
            <w:pPr>
              <w:pStyle w:val="TableContents"/>
              <w:bidi w:val="0"/>
              <w:spacing w:before="0" w:after="283"/>
              <w:ind w:left="0" w:right="0" w:hanging="180"/>
              <w:jc w:val="left"/>
              <w:rPr/>
            </w:pPr>
            <w:r>
              <w:rPr/>
              <w:t>)</w:t>
            </w:r>
          </w:p>
        </w:tc>
      </w:tr>
      <w:tr>
        <w:trPr/>
        <w:tc>
          <w:tcPr>
            <w:tcW w:w="7271" w:type="dxa"/>
            <w:tcBorders/>
            <w:vAlign w:val="center"/>
          </w:tcPr>
          <w:p>
            <w:pPr>
              <w:pStyle w:val="TableContents"/>
              <w:bidi w:val="0"/>
              <w:spacing w:before="0" w:after="283"/>
              <w:jc w:val="left"/>
              <w:rPr/>
            </w:pPr>
            <w:r>
              <w:rPr/>
              <w:t>Total stockholders’ equity</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tcMar>
              <w:bottom w:w="28" w:type="dxa"/>
            </w:tcMar>
            <w:vAlign w:val="center"/>
          </w:tcPr>
          <w:p>
            <w:pPr>
              <w:pStyle w:val="TableContents"/>
              <w:bidi w:val="0"/>
              <w:spacing w:before="0" w:after="283"/>
              <w:jc w:val="right"/>
              <w:rPr/>
            </w:pPr>
            <w:r>
              <w:rPr/>
              <w:t>486,720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tcMar>
              <w:bottom w:w="28" w:type="dxa"/>
            </w:tcMar>
            <w:vAlign w:val="center"/>
          </w:tcPr>
          <w:p>
            <w:pPr>
              <w:pStyle w:val="TableContents"/>
              <w:bidi w:val="0"/>
              <w:spacing w:before="0" w:after="283"/>
              <w:jc w:val="right"/>
              <w:rPr/>
            </w:pPr>
            <w:r>
              <w:rPr/>
              <w:t>471,930</w:t>
            </w:r>
          </w:p>
        </w:tc>
        <w:tc>
          <w:tcPr>
            <w:tcW w:w="148" w:type="dxa"/>
            <w:tcBorders/>
            <w:vAlign w:val="center"/>
          </w:tcPr>
          <w:p>
            <w:pPr>
              <w:pStyle w:val="TableContents"/>
              <w:bidi w:val="0"/>
              <w:spacing w:before="0" w:after="283"/>
              <w:ind w:left="0" w:right="0" w:hanging="180"/>
              <w:jc w:val="left"/>
              <w:rPr/>
            </w:pPr>
            <w:r>
              <w:rPr/>
              <w:t> </w:t>
            </w:r>
          </w:p>
        </w:tc>
      </w:tr>
      <w:tr>
        <w:trPr/>
        <w:tc>
          <w:tcPr>
            <w:tcW w:w="7271" w:type="dxa"/>
            <w:tcBorders/>
            <w:shd w:fill="CCEEFF" w:val="clear"/>
            <w:vAlign w:val="center"/>
          </w:tcPr>
          <w:p>
            <w:pPr>
              <w:pStyle w:val="TableContents"/>
              <w:bidi w:val="0"/>
              <w:spacing w:before="0" w:after="283"/>
              <w:jc w:val="left"/>
              <w:rPr/>
            </w:pPr>
            <w:r>
              <w:rPr/>
              <w:t>Total 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0" w:type="dxa"/>
            <w:tcBorders>
              <w:bottom w:val="double" w:sz="10" w:space="0" w:color="000000"/>
            </w:tcBorders>
            <w:shd w:fill="CCEEFF" w:val="clear"/>
            <w:tcMar>
              <w:bottom w:w="28" w:type="dxa"/>
            </w:tcMar>
            <w:vAlign w:val="center"/>
          </w:tcPr>
          <w:p>
            <w:pPr>
              <w:pStyle w:val="TableContents"/>
              <w:bidi w:val="0"/>
              <w:spacing w:before="0" w:after="283"/>
              <w:jc w:val="right"/>
              <w:rPr/>
            </w:pPr>
            <w:r>
              <w:rPr/>
              <w:t>504,480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488,617</w:t>
            </w:r>
          </w:p>
        </w:tc>
        <w:tc>
          <w:tcPr>
            <w:tcW w:w="14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ORUKA THERAPEUTICS, INC.</w:t>
        <w:br/>
        <w:t>CONDENSED CONSOLIDATED STATEMENTS OF OPERATIONS</w:t>
        <w:br/>
        <w:t>(UNAUDITED)</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31"/>
        <w:gridCol w:w="90"/>
        <w:gridCol w:w="184"/>
        <w:gridCol w:w="1225"/>
        <w:gridCol w:w="125"/>
        <w:gridCol w:w="90"/>
        <w:gridCol w:w="184"/>
        <w:gridCol w:w="1225"/>
        <w:gridCol w:w="151"/>
      </w:tblGrid>
      <w:tr>
        <w:trPr/>
        <w:tc>
          <w:tcPr>
            <w:tcW w:w="69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w:t>
              <w:br/>
              <w:t xml:space="preserve">Ended </w:t>
              <w:br/>
              <w:t xml:space="preserve">March 31, </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w:t>
              <w:br/>
              <w:t xml:space="preserve">Ended </w:t>
              <w:br/>
              <w:t xml:space="preserve">March 31, </w:t>
              <w:br/>
              <w:t>2025</w:t>
            </w:r>
          </w:p>
        </w:tc>
        <w:tc>
          <w:tcPr>
            <w:tcW w:w="151" w:type="dxa"/>
            <w:tcBorders/>
            <w:vAlign w:val="center"/>
          </w:tcPr>
          <w:p>
            <w:pPr>
              <w:pStyle w:val="TableContents"/>
              <w:bidi w:val="0"/>
              <w:spacing w:before="0" w:after="283"/>
              <w:jc w:val="left"/>
              <w:rPr/>
            </w:pPr>
            <w:r>
              <w:rPr/>
              <w:t> </w:t>
            </w:r>
          </w:p>
        </w:tc>
      </w:tr>
      <w:tr>
        <w:trPr/>
        <w:tc>
          <w:tcPr>
            <w:tcW w:w="6931"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409"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9" w:type="dxa"/>
            <w:gridSpan w:val="2"/>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69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29,145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19,925</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9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tcMar>
              <w:bottom w:w="28" w:type="dxa"/>
            </w:tcMar>
            <w:vAlign w:val="center"/>
          </w:tcPr>
          <w:p>
            <w:pPr>
              <w:pStyle w:val="TableContents"/>
              <w:bidi w:val="0"/>
              <w:spacing w:before="0" w:after="283"/>
              <w:jc w:val="right"/>
              <w:rPr/>
            </w:pPr>
            <w:r>
              <w:rPr/>
              <w:t>7,289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tcMar>
              <w:bottom w:w="28" w:type="dxa"/>
            </w:tcMar>
            <w:vAlign w:val="center"/>
          </w:tcPr>
          <w:p>
            <w:pPr>
              <w:pStyle w:val="TableContents"/>
              <w:bidi w:val="0"/>
              <w:spacing w:before="0" w:after="283"/>
              <w:jc w:val="right"/>
              <w:rPr/>
            </w:pPr>
            <w:r>
              <w:rPr/>
              <w:t>5,161</w:t>
            </w:r>
          </w:p>
        </w:tc>
        <w:tc>
          <w:tcPr>
            <w:tcW w:w="151" w:type="dxa"/>
            <w:tcBorders/>
            <w:vAlign w:val="center"/>
          </w:tcPr>
          <w:p>
            <w:pPr>
              <w:pStyle w:val="TableContents"/>
              <w:bidi w:val="0"/>
              <w:spacing w:before="0" w:after="283"/>
              <w:ind w:left="0" w:right="0" w:hanging="180"/>
              <w:jc w:val="left"/>
              <w:rPr/>
            </w:pPr>
            <w:r>
              <w:rPr/>
              <w:t> </w:t>
            </w:r>
          </w:p>
        </w:tc>
      </w:tr>
      <w:tr>
        <w:trPr/>
        <w:tc>
          <w:tcPr>
            <w:tcW w:w="6931"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36,434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25,086</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931"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(36,434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(25,086</w:t>
            </w:r>
          </w:p>
        </w:tc>
        <w:tc>
          <w:tcPr>
            <w:tcW w:w="151" w:type="dxa"/>
            <w:tcBorders/>
            <w:vAlign w:val="center"/>
          </w:tcPr>
          <w:p>
            <w:pPr>
              <w:pStyle w:val="TableContents"/>
              <w:bidi w:val="0"/>
              <w:spacing w:before="0" w:after="283"/>
              <w:ind w:left="0" w:right="0" w:hanging="180"/>
              <w:jc w:val="left"/>
              <w:rPr/>
            </w:pPr>
            <w:r>
              <w:rPr/>
              <w:t>)</w:t>
            </w:r>
          </w:p>
        </w:tc>
      </w:tr>
      <w:tr>
        <w:trPr/>
        <w:tc>
          <w:tcPr>
            <w:tcW w:w="6931" w:type="dxa"/>
            <w:tcBorders/>
            <w:shd w:fill="CCEEFF" w:val="clear"/>
            <w:vAlign w:val="center"/>
          </w:tcPr>
          <w:p>
            <w:pPr>
              <w:pStyle w:val="TableContents"/>
              <w:bidi w:val="0"/>
              <w:spacing w:before="0" w:after="283"/>
              <w:jc w:val="left"/>
              <w:rPr/>
            </w:pPr>
            <w:r>
              <w:rPr/>
              <w:t>Other income (expense):</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931"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4,606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4,092</w:t>
            </w:r>
          </w:p>
        </w:tc>
        <w:tc>
          <w:tcPr>
            <w:tcW w:w="151" w:type="dxa"/>
            <w:tcBorders/>
            <w:vAlign w:val="center"/>
          </w:tcPr>
          <w:p>
            <w:pPr>
              <w:pStyle w:val="TableContents"/>
              <w:bidi w:val="0"/>
              <w:spacing w:before="0" w:after="283"/>
              <w:ind w:left="0" w:right="0" w:hanging="180"/>
              <w:jc w:val="left"/>
              <w:rPr/>
            </w:pPr>
            <w:r>
              <w:rPr/>
              <w:t> </w:t>
            </w:r>
          </w:p>
        </w:tc>
      </w:tr>
      <w:tr>
        <w:trPr/>
        <w:tc>
          <w:tcPr>
            <w:tcW w:w="6931" w:type="dxa"/>
            <w:tcBorders/>
            <w:shd w:fill="CCEEFF" w:val="clear"/>
            <w:vAlign w:val="center"/>
          </w:tcPr>
          <w:p>
            <w:pPr>
              <w:pStyle w:val="TableContents"/>
              <w:bidi w:val="0"/>
              <w:spacing w:before="0" w:after="283"/>
              <w:jc w:val="left"/>
              <w:rPr/>
            </w:pPr>
            <w:r>
              <w:rPr/>
              <w:t>Other income (expense), net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151" w:type="dxa"/>
            <w:tcBorders/>
            <w:shd w:fill="CCEEFF" w:val="clear"/>
            <w:vAlign w:val="center"/>
          </w:tcPr>
          <w:p>
            <w:pPr>
              <w:pStyle w:val="TableContents"/>
              <w:bidi w:val="0"/>
              <w:spacing w:before="0" w:after="283"/>
              <w:ind w:left="0" w:right="0" w:hanging="180"/>
              <w:jc w:val="left"/>
              <w:rPr/>
            </w:pPr>
            <w:r>
              <w:rPr/>
              <w:t>)</w:t>
            </w:r>
          </w:p>
        </w:tc>
      </w:tr>
      <w:tr>
        <w:trPr/>
        <w:tc>
          <w:tcPr>
            <w:tcW w:w="6931" w:type="dxa"/>
            <w:tcBorders/>
            <w:vAlign w:val="center"/>
          </w:tcPr>
          <w:p>
            <w:pPr>
              <w:pStyle w:val="TableContents"/>
              <w:bidi w:val="0"/>
              <w:spacing w:before="0" w:after="283"/>
              <w:jc w:val="left"/>
              <w:rPr/>
            </w:pPr>
            <w:r>
              <w:rPr/>
              <w:t>Total other income, net</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tcMar>
              <w:bottom w:w="28" w:type="dxa"/>
            </w:tcMar>
            <w:vAlign w:val="center"/>
          </w:tcPr>
          <w:p>
            <w:pPr>
              <w:pStyle w:val="TableContents"/>
              <w:bidi w:val="0"/>
              <w:spacing w:before="0" w:after="283"/>
              <w:jc w:val="right"/>
              <w:rPr/>
            </w:pPr>
            <w:r>
              <w:rPr/>
              <w:t>4,614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tcMar>
              <w:bottom w:w="28" w:type="dxa"/>
            </w:tcMar>
            <w:vAlign w:val="center"/>
          </w:tcPr>
          <w:p>
            <w:pPr>
              <w:pStyle w:val="TableContents"/>
              <w:bidi w:val="0"/>
              <w:spacing w:before="0" w:after="283"/>
              <w:jc w:val="right"/>
              <w:rPr/>
            </w:pPr>
            <w:r>
              <w:rPr/>
              <w:t>4,087</w:t>
            </w:r>
          </w:p>
        </w:tc>
        <w:tc>
          <w:tcPr>
            <w:tcW w:w="151" w:type="dxa"/>
            <w:tcBorders/>
            <w:vAlign w:val="center"/>
          </w:tcPr>
          <w:p>
            <w:pPr>
              <w:pStyle w:val="TableContents"/>
              <w:bidi w:val="0"/>
              <w:spacing w:before="0" w:after="283"/>
              <w:ind w:left="0" w:right="0" w:hanging="180"/>
              <w:jc w:val="left"/>
              <w:rPr/>
            </w:pPr>
            <w:r>
              <w:rPr/>
              <w:t> </w:t>
            </w:r>
          </w:p>
        </w:tc>
      </w:tr>
      <w:tr>
        <w:trPr/>
        <w:tc>
          <w:tcPr>
            <w:tcW w:w="6931"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pPr>
            <w:r>
              <w:rPr/>
              <w:t>(31,820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pPr>
            <w:r>
              <w:rPr/>
              <w:t>(20,999</w:t>
            </w:r>
          </w:p>
        </w:tc>
        <w:tc>
          <w:tcPr>
            <w:tcW w:w="151" w:type="dxa"/>
            <w:tcBorders/>
            <w:shd w:fill="CCEEFF" w:val="clear"/>
            <w:vAlign w:val="center"/>
          </w:tcPr>
          <w:p>
            <w:pPr>
              <w:pStyle w:val="TableContents"/>
              <w:bidi w:val="0"/>
              <w:spacing w:before="0" w:after="283"/>
              <w:ind w:left="0" w:right="0" w:hanging="180"/>
              <w:jc w:val="left"/>
              <w:rPr/>
            </w:pPr>
            <w:r>
              <w:rPr/>
              <w:t>)</w:t>
            </w:r>
          </w:p>
        </w:tc>
      </w:tr>
      <w:tr>
        <w:trPr/>
        <w:tc>
          <w:tcPr>
            <w:tcW w:w="69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6931" w:type="dxa"/>
            <w:tcBorders/>
            <w:shd w:fill="CCEEFF" w:val="clear"/>
            <w:vAlign w:val="center"/>
          </w:tcPr>
          <w:p>
            <w:pPr>
              <w:pStyle w:val="TableContents"/>
              <w:bidi w:val="0"/>
              <w:spacing w:before="0" w:after="283"/>
              <w:jc w:val="left"/>
              <w:rPr/>
            </w:pPr>
            <w:r>
              <w:rPr/>
              <w:t>Net loss per share attributable to common stockholders, basic and diluted</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pPr>
            <w:r>
              <w:rPr/>
              <w:t>(0.48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pPr>
            <w:r>
              <w:rPr/>
              <w:t>(0.40</w:t>
            </w:r>
          </w:p>
        </w:tc>
        <w:tc>
          <w:tcPr>
            <w:tcW w:w="151" w:type="dxa"/>
            <w:tcBorders/>
            <w:shd w:fill="CCEEFF" w:val="clear"/>
            <w:vAlign w:val="center"/>
          </w:tcPr>
          <w:p>
            <w:pPr>
              <w:pStyle w:val="TableContents"/>
              <w:bidi w:val="0"/>
              <w:spacing w:before="0" w:after="283"/>
              <w:ind w:left="0" w:right="0" w:hanging="180"/>
              <w:jc w:val="left"/>
              <w:rPr/>
            </w:pPr>
            <w:r>
              <w:rPr/>
              <w:t>)</w:t>
            </w:r>
          </w:p>
        </w:tc>
      </w:tr>
      <w:tr>
        <w:trPr/>
        <w:tc>
          <w:tcPr>
            <w:tcW w:w="6931" w:type="dxa"/>
            <w:tcBorders/>
            <w:vAlign w:val="center"/>
          </w:tcPr>
          <w:p>
            <w:pPr>
              <w:pStyle w:val="TableContents"/>
              <w:bidi w:val="0"/>
              <w:spacing w:before="0" w:after="283"/>
              <w:jc w:val="left"/>
              <w:rPr/>
            </w:pPr>
            <w:r>
              <w:rPr/>
              <w:t>Net loss per share attributable to Series B non-voting convertible preferred stockholders, basic and diluted</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tcMar>
              <w:bottom w:w="28" w:type="dxa"/>
            </w:tcMar>
            <w:vAlign w:val="center"/>
          </w:tcPr>
          <w:p>
            <w:pPr>
              <w:pStyle w:val="TableContents"/>
              <w:bidi w:val="0"/>
              <w:spacing w:before="0" w:after="283"/>
              <w:jc w:val="right"/>
              <w:rPr/>
            </w:pPr>
            <w:r>
              <w:rPr/>
              <w:t>(39.81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tcMar>
              <w:bottom w:w="28" w:type="dxa"/>
            </w:tcMar>
            <w:vAlign w:val="center"/>
          </w:tcPr>
          <w:p>
            <w:pPr>
              <w:pStyle w:val="TableContents"/>
              <w:bidi w:val="0"/>
              <w:spacing w:before="0" w:after="283"/>
              <w:jc w:val="right"/>
              <w:rPr/>
            </w:pPr>
            <w:r>
              <w:rPr/>
              <w:t>(32.95</w:t>
            </w:r>
          </w:p>
        </w:tc>
        <w:tc>
          <w:tcPr>
            <w:tcW w:w="151" w:type="dxa"/>
            <w:tcBorders/>
            <w:vAlign w:val="center"/>
          </w:tcPr>
          <w:p>
            <w:pPr>
              <w:pStyle w:val="TableContents"/>
              <w:bidi w:val="0"/>
              <w:spacing w:before="0" w:after="283"/>
              <w:ind w:left="0" w:right="0" w:hanging="180"/>
              <w:jc w:val="left"/>
              <w:rPr/>
            </w:pPr>
            <w:r>
              <w:rPr/>
              <w:t>)</w:t>
            </w:r>
          </w:p>
        </w:tc>
      </w:tr>
      <w:tr>
        <w:trPr/>
        <w:tc>
          <w:tcPr>
            <w:tcW w:w="693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931" w:type="dxa"/>
            <w:tcBorders/>
            <w:vAlign w:val="center"/>
          </w:tcPr>
          <w:p>
            <w:pPr>
              <w:pStyle w:val="TableContents"/>
              <w:bidi w:val="0"/>
              <w:spacing w:before="0" w:after="283"/>
              <w:jc w:val="left"/>
              <w:rPr/>
            </w:pPr>
            <w:r>
              <w:rPr/>
              <w:t>Weighted-average shares used in computing net loss per share attributable to common stockholders, basic and diluted</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 </w:t>
            </w:r>
          </w:p>
        </w:tc>
        <w:tc>
          <w:tcPr>
            <w:tcW w:w="1225" w:type="dxa"/>
            <w:tcBorders>
              <w:bottom w:val="double" w:sz="10" w:space="0" w:color="000000"/>
            </w:tcBorders>
            <w:tcMar>
              <w:bottom w:w="28" w:type="dxa"/>
            </w:tcMar>
            <w:vAlign w:val="center"/>
          </w:tcPr>
          <w:p>
            <w:pPr>
              <w:pStyle w:val="TableContents"/>
              <w:bidi w:val="0"/>
              <w:spacing w:before="0" w:after="283"/>
              <w:jc w:val="right"/>
              <w:rPr/>
            </w:pPr>
            <w:r>
              <w:rPr/>
              <w:t>55,172,410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 </w:t>
            </w:r>
          </w:p>
        </w:tc>
        <w:tc>
          <w:tcPr>
            <w:tcW w:w="1225" w:type="dxa"/>
            <w:tcBorders>
              <w:bottom w:val="double" w:sz="10" w:space="0" w:color="000000"/>
            </w:tcBorders>
            <w:tcMar>
              <w:bottom w:w="28" w:type="dxa"/>
            </w:tcMar>
            <w:vAlign w:val="center"/>
          </w:tcPr>
          <w:p>
            <w:pPr>
              <w:pStyle w:val="TableContents"/>
              <w:bidi w:val="0"/>
              <w:spacing w:before="0" w:after="283"/>
              <w:jc w:val="right"/>
              <w:rPr/>
            </w:pPr>
            <w:r>
              <w:rPr/>
              <w:t>41,679,560</w:t>
            </w:r>
          </w:p>
        </w:tc>
        <w:tc>
          <w:tcPr>
            <w:tcW w:w="151" w:type="dxa"/>
            <w:tcBorders/>
            <w:vAlign w:val="center"/>
          </w:tcPr>
          <w:p>
            <w:pPr>
              <w:pStyle w:val="TableContents"/>
              <w:bidi w:val="0"/>
              <w:spacing w:before="0" w:after="283"/>
              <w:ind w:left="0" w:right="0" w:hanging="180"/>
              <w:jc w:val="left"/>
              <w:rPr/>
            </w:pPr>
            <w:r>
              <w:rPr/>
              <w:t> </w:t>
            </w:r>
          </w:p>
        </w:tc>
      </w:tr>
      <w:tr>
        <w:trPr/>
        <w:tc>
          <w:tcPr>
            <w:tcW w:w="6931" w:type="dxa"/>
            <w:tcBorders/>
            <w:shd w:fill="CCEEFF" w:val="clear"/>
            <w:vAlign w:val="center"/>
          </w:tcPr>
          <w:p>
            <w:pPr>
              <w:pStyle w:val="TableContents"/>
              <w:bidi w:val="0"/>
              <w:spacing w:before="0" w:after="283"/>
              <w:jc w:val="left"/>
              <w:rPr/>
            </w:pPr>
            <w:r>
              <w:rPr/>
              <w:t>Weighted-average shares used in computing net loss per share attributable to Series B non-voting convertible preferred stockholders, basic and diluted</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pPr>
            <w:r>
              <w:rPr/>
              <w:t>137,138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pPr>
            <w:r>
              <w:rPr/>
              <w:t>137,138</w:t>
            </w:r>
          </w:p>
        </w:tc>
        <w:tc>
          <w:tcPr>
            <w:tcW w:w="15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8"/>
        <w:gridCol w:w="9829"/>
      </w:tblGrid>
      <w:tr>
        <w:trPr/>
        <w:tc>
          <w:tcPr>
            <w:tcW w:w="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(1)</w:t>
            </w:r>
          </w:p>
        </w:tc>
        <w:tc>
          <w:tcPr>
            <w:tcW w:w="9829" w:type="dxa"/>
            <w:tcBorders/>
            <w:vAlign w:val="center"/>
          </w:tcPr>
          <w:p>
            <w:pPr>
              <w:pStyle w:val="TableContents"/>
              <w:bidi w:val="0"/>
              <w:spacing w:before="0" w:after="283"/>
              <w:jc w:val="both"/>
              <w:rPr/>
            </w:pPr>
            <w:r>
              <w:rPr/>
              <w:t>Includes related party amounts of $3,000 and $2,122 for the three months ended March 31, 2026 and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2"/>
        <w:gridCol w:w="9825"/>
      </w:tblGrid>
      <w:tr>
        <w:trPr/>
        <w:tc>
          <w:tcPr>
            <w:tcW w:w="6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(2)</w:t>
            </w:r>
          </w:p>
        </w:tc>
        <w:tc>
          <w:tcPr>
            <w:tcW w:w="9825" w:type="dxa"/>
            <w:tcBorders/>
            <w:vAlign w:val="center"/>
          </w:tcPr>
          <w:p>
            <w:pPr>
              <w:pStyle w:val="TableContents"/>
              <w:bidi w:val="0"/>
              <w:spacing w:before="0" w:after="283"/>
              <w:jc w:val="both"/>
              <w:rPr/>
            </w:pPr>
            <w:r>
              <w:rPr/>
              <w:t>Includes related party amounts of $4 and $110 for the three months ended March 31, 2026 and 2025,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ORUKA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8348" w:type="dxa"/>
        <w:jc w:val="left"/>
        <w:tblInd w:w="0" w:type="dxa"/>
        <w:tblLayout w:type="fixed"/>
        <w:tblCellMar>
          <w:top w:w="0" w:type="dxa"/>
          <w:left w:w="0" w:type="dxa"/>
          <w:bottom w:w="0" w:type="dxa"/>
          <w:right w:w="0" w:type="dxa"/>
        </w:tblCellMar>
      </w:tblPr>
      <w:tblGrid>
        <w:gridCol w:w="4745"/>
        <w:gridCol w:w="90"/>
        <w:gridCol w:w="278"/>
        <w:gridCol w:w="1286"/>
        <w:gridCol w:w="125"/>
        <w:gridCol w:w="90"/>
        <w:gridCol w:w="278"/>
        <w:gridCol w:w="1286"/>
        <w:gridCol w:w="170"/>
      </w:tblGrid>
      <w:tr>
        <w:trPr/>
        <w:tc>
          <w:tcPr>
            <w:tcW w:w="4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w:t>
              <w:br/>
              <w:t xml:space="preserve">Ended </w:t>
              <w:br/>
              <w:t xml:space="preserve">March 31, </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w:t>
              <w:br/>
              <w:t xml:space="preserve">Ended </w:t>
              <w:br/>
              <w:t xml:space="preserve">March 31, </w:t>
              <w:br/>
              <w:t>2025</w:t>
            </w:r>
          </w:p>
        </w:tc>
        <w:tc>
          <w:tcPr>
            <w:tcW w:w="17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286" w:type="dxa"/>
            <w:tcBorders/>
            <w:shd w:fill="CCEEFF" w:val="clear"/>
            <w:vAlign w:val="center"/>
          </w:tcPr>
          <w:p>
            <w:pPr>
              <w:pStyle w:val="TableContents"/>
              <w:bidi w:val="0"/>
              <w:spacing w:before="0" w:after="283"/>
              <w:jc w:val="right"/>
              <w:rPr/>
            </w:pPr>
            <w:r>
              <w:rPr/>
              <w:t>(31,820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286" w:type="dxa"/>
            <w:tcBorders/>
            <w:shd w:fill="CCEEFF" w:val="clear"/>
            <w:vAlign w:val="center"/>
          </w:tcPr>
          <w:p>
            <w:pPr>
              <w:pStyle w:val="TableContents"/>
              <w:bidi w:val="0"/>
              <w:spacing w:before="0" w:after="283"/>
              <w:jc w:val="right"/>
              <w:rPr/>
            </w:pPr>
            <w:r>
              <w:rPr/>
              <w:t>(20,999</w:t>
            </w:r>
          </w:p>
        </w:tc>
        <w:tc>
          <w:tcPr>
            <w:tcW w:w="170" w:type="dxa"/>
            <w:tcBorders/>
            <w:shd w:fill="CCEEFF" w:val="clear"/>
            <w:vAlign w:val="center"/>
          </w:tcPr>
          <w:p>
            <w:pPr>
              <w:pStyle w:val="TableContents"/>
              <w:bidi w:val="0"/>
              <w:spacing w:before="0" w:after="283"/>
              <w:jc w:val="left"/>
              <w:rPr/>
            </w:pPr>
            <w:r>
              <w:rPr/>
              <w:t>)</w:t>
            </w:r>
          </w:p>
        </w:tc>
      </w:tr>
      <w:tr>
        <w:trPr/>
        <w:tc>
          <w:tcPr>
            <w:tcW w:w="4745" w:type="dxa"/>
            <w:tcBorders/>
            <w:vAlign w:val="center"/>
          </w:tcPr>
          <w:p>
            <w:pPr>
              <w:pStyle w:val="TableContents"/>
              <w:bidi w:val="0"/>
              <w:spacing w:before="0" w:after="283"/>
              <w:jc w:val="left"/>
              <w:rPr/>
            </w:pPr>
            <w:r>
              <w:rPr/>
              <w:t>Other comprehensive income (loss):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Unrealized gains (losses) on marketable securities</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CCEEFF" w:val="clear"/>
            <w:tcMar>
              <w:bottom w:w="28" w:type="dxa"/>
            </w:tcMar>
            <w:vAlign w:val="center"/>
          </w:tcPr>
          <w:p>
            <w:pPr>
              <w:pStyle w:val="TableContents"/>
              <w:bidi w:val="0"/>
              <w:spacing w:before="0" w:after="283"/>
              <w:jc w:val="right"/>
              <w:rPr/>
            </w:pPr>
            <w:r>
              <w:rPr/>
              <w:t>(1,026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CCEEFF" w:val="clear"/>
            <w:tcMar>
              <w:bottom w:w="28" w:type="dxa"/>
            </w:tcMar>
            <w:vAlign w:val="center"/>
          </w:tcPr>
          <w:p>
            <w:pPr>
              <w:pStyle w:val="TableContents"/>
              <w:bidi w:val="0"/>
              <w:spacing w:before="0" w:after="283"/>
              <w:jc w:val="right"/>
              <w:rPr/>
            </w:pPr>
            <w:r>
              <w:rPr/>
              <w:t>35</w:t>
            </w:r>
          </w:p>
        </w:tc>
        <w:tc>
          <w:tcPr>
            <w:tcW w:w="17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Total comprehensive loss</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286" w:type="dxa"/>
            <w:tcBorders>
              <w:bottom w:val="double" w:sz="10" w:space="0" w:color="000000"/>
            </w:tcBorders>
            <w:tcMar>
              <w:bottom w:w="28" w:type="dxa"/>
            </w:tcMar>
            <w:vAlign w:val="center"/>
          </w:tcPr>
          <w:p>
            <w:pPr>
              <w:pStyle w:val="TableContents"/>
              <w:bidi w:val="0"/>
              <w:spacing w:before="0" w:after="283"/>
              <w:jc w:val="right"/>
              <w:rPr/>
            </w:pPr>
            <w:r>
              <w:rPr/>
              <w:t>(32,846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286" w:type="dxa"/>
            <w:tcBorders>
              <w:bottom w:val="double" w:sz="10" w:space="0" w:color="000000"/>
            </w:tcBorders>
            <w:tcMar>
              <w:bottom w:w="28" w:type="dxa"/>
            </w:tcMar>
            <w:vAlign w:val="center"/>
          </w:tcPr>
          <w:p>
            <w:pPr>
              <w:pStyle w:val="TableContents"/>
              <w:bidi w:val="0"/>
              <w:spacing w:before="0" w:after="283"/>
              <w:jc w:val="right"/>
              <w:rPr/>
            </w:pPr>
            <w:r>
              <w:rPr/>
              <w:t>(20,964</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ORUKA THERAPEUTICS, INC.</w:t>
        <w:br/>
        <w:t>CONDENSED CONSOLIDATED STATEMENTS OF CONVERTIBLE PREFERRED STOCK AND STOCKHOLDERS’ EQUITY</w:t>
        <w:br/>
        <w:t>(UNAUDITED)</w:t>
        <w:b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2385" w:type="dxa"/>
        <w:jc w:val="left"/>
        <w:tblInd w:w="0" w:type="dxa"/>
        <w:tblLayout w:type="fixed"/>
        <w:tblCellMar>
          <w:top w:w="0" w:type="dxa"/>
          <w:left w:w="0" w:type="dxa"/>
          <w:bottom w:w="0" w:type="dxa"/>
          <w:right w:w="0" w:type="dxa"/>
        </w:tblCellMar>
      </w:tblPr>
      <w:tblGrid>
        <w:gridCol w:w="1370"/>
        <w:gridCol w:w="90"/>
        <w:gridCol w:w="90"/>
        <w:gridCol w:w="830"/>
        <w:gridCol w:w="90"/>
        <w:gridCol w:w="90"/>
        <w:gridCol w:w="199"/>
        <w:gridCol w:w="691"/>
        <w:gridCol w:w="90"/>
        <w:gridCol w:w="90"/>
        <w:gridCol w:w="90"/>
        <w:gridCol w:w="1130"/>
        <w:gridCol w:w="90"/>
        <w:gridCol w:w="90"/>
        <w:gridCol w:w="328"/>
        <w:gridCol w:w="562"/>
        <w:gridCol w:w="90"/>
        <w:gridCol w:w="90"/>
        <w:gridCol w:w="192"/>
        <w:gridCol w:w="938"/>
        <w:gridCol w:w="90"/>
        <w:gridCol w:w="90"/>
        <w:gridCol w:w="333"/>
        <w:gridCol w:w="1307"/>
        <w:gridCol w:w="125"/>
        <w:gridCol w:w="90"/>
        <w:gridCol w:w="221"/>
        <w:gridCol w:w="1179"/>
        <w:gridCol w:w="125"/>
        <w:gridCol w:w="90"/>
        <w:gridCol w:w="232"/>
        <w:gridCol w:w="1138"/>
        <w:gridCol w:w="135"/>
      </w:tblGrid>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Series B</w:t>
              <w:br/>
              <w:t>Non-Voting</w:t>
              <w:br/>
              <w:t>Convertible</w:t>
              <w:br/>
              <w:t>Preferred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Additional</w:t>
              <w:b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Accumulated</w:t>
              <w:br/>
              <w:t>Other</w:t>
              <w:br/>
              <w:t>Comprehensive</w:t>
              <w:br/>
              <w:t>Income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br/>
              <w:t>Stockholders’</w:t>
            </w:r>
          </w:p>
        </w:tc>
        <w:tc>
          <w:tcPr>
            <w:tcW w:w="13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Balances as of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137,138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2,931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48,722,309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657,561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546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(189,157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471,930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Issuance of common stock upon exercise of stock options and employee warrants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195,596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1,766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1,766</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Issuance of common stock under the at-the-market (“ATM”) offering program, net of commissions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1,167,895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38,901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38,902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Issuance of common stock upon vesting of restricted stock units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24,611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Issuance of common stock upon exercise of prefunded warrants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57,212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Stock-based compensation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6,968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6,968</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Unrealized gains (losses) on marketable securities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(1,026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(1,026</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single" w:sz="12" w:space="0" w:color="000000"/>
            </w:tcBorders>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tcMar>
              <w:bottom w:w="28" w:type="dxa"/>
            </w:tcMar>
            <w:vAlign w:val="center"/>
          </w:tcPr>
          <w:p>
            <w:pPr>
              <w:pStyle w:val="TableContents"/>
              <w:bidi w:val="0"/>
              <w:spacing w:before="0" w:after="283"/>
              <w:jc w:val="right"/>
              <w:rPr/>
            </w:pPr>
            <w:r>
              <w:rPr/>
              <w:t>(31,820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tcMar>
              <w:bottom w:w="28" w:type="dxa"/>
            </w:tcMar>
            <w:vAlign w:val="center"/>
          </w:tcPr>
          <w:p>
            <w:pPr>
              <w:pStyle w:val="TableContents"/>
              <w:bidi w:val="0"/>
              <w:spacing w:before="0" w:after="283"/>
              <w:jc w:val="right"/>
              <w:rPr/>
            </w:pPr>
            <w:r>
              <w:rPr/>
              <w:t>(31,820</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b/>
              </w:rPr>
            </w:pPr>
            <w:r>
              <w:rPr>
                <w:b/>
              </w:rPr>
              <w:t>Balances as of March 31, 2026</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137,138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1" w:type="dxa"/>
            <w:tcBorders>
              <w:bottom w:val="double" w:sz="10" w:space="0" w:color="000000"/>
            </w:tcBorders>
            <w:shd w:fill="CCEEFF" w:val="clear"/>
            <w:tcMar>
              <w:bottom w:w="28" w:type="dxa"/>
            </w:tcMar>
            <w:vAlign w:val="center"/>
          </w:tcPr>
          <w:p>
            <w:pPr>
              <w:pStyle w:val="TableContents"/>
              <w:bidi w:val="0"/>
              <w:spacing w:before="0" w:after="283"/>
              <w:jc w:val="right"/>
              <w:rPr/>
            </w:pPr>
            <w:r>
              <w:rPr/>
              <w:t>2,931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50,167,623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2" w:type="dxa"/>
            <w:tcBorders>
              <w:bottom w:val="double" w:sz="10" w:space="0" w:color="000000"/>
            </w:tcBorders>
            <w:shd w:fill="CCEEFF" w:val="clear"/>
            <w:tcMar>
              <w:bottom w:w="28" w:type="dxa"/>
            </w:tcMar>
            <w:vAlign w:val="center"/>
          </w:tcPr>
          <w:p>
            <w:pPr>
              <w:pStyle w:val="TableContents"/>
              <w:bidi w:val="0"/>
              <w:spacing w:before="0" w:after="283"/>
              <w:jc w:val="right"/>
              <w:rPr/>
            </w:pPr>
            <w:r>
              <w:rPr/>
              <w:t>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38" w:type="dxa"/>
            <w:tcBorders>
              <w:bottom w:val="double" w:sz="10" w:space="0" w:color="000000"/>
            </w:tcBorders>
            <w:shd w:fill="CCEEFF" w:val="clear"/>
            <w:tcMar>
              <w:bottom w:w="28" w:type="dxa"/>
            </w:tcMar>
            <w:vAlign w:val="center"/>
          </w:tcPr>
          <w:p>
            <w:pPr>
              <w:pStyle w:val="TableContents"/>
              <w:bidi w:val="0"/>
              <w:spacing w:before="0" w:after="283"/>
              <w:jc w:val="right"/>
              <w:rPr/>
            </w:pPr>
            <w:r>
              <w:rPr/>
              <w:t>705,196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7" w:type="dxa"/>
            <w:tcBorders>
              <w:bottom w:val="double" w:sz="10" w:space="0" w:color="000000"/>
            </w:tcBorders>
            <w:shd w:fill="CCEEFF" w:val="clear"/>
            <w:tcMar>
              <w:bottom w:w="28" w:type="dxa"/>
            </w:tcMar>
            <w:vAlign w:val="center"/>
          </w:tcPr>
          <w:p>
            <w:pPr>
              <w:pStyle w:val="TableContents"/>
              <w:bidi w:val="0"/>
              <w:spacing w:before="0" w:after="283"/>
              <w:jc w:val="right"/>
              <w:rPr/>
            </w:pPr>
            <w:r>
              <w:rPr/>
              <w:t>(480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9" w:type="dxa"/>
            <w:tcBorders>
              <w:bottom w:val="double" w:sz="10" w:space="0" w:color="000000"/>
            </w:tcBorders>
            <w:shd w:fill="CCEEFF" w:val="clear"/>
            <w:tcMar>
              <w:bottom w:w="28" w:type="dxa"/>
            </w:tcMar>
            <w:vAlign w:val="center"/>
          </w:tcPr>
          <w:p>
            <w:pPr>
              <w:pStyle w:val="TableContents"/>
              <w:bidi w:val="0"/>
              <w:spacing w:before="0" w:after="283"/>
              <w:jc w:val="right"/>
              <w:rPr/>
            </w:pPr>
            <w:r>
              <w:rPr/>
              <w:t>(220,977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8" w:type="dxa"/>
            <w:tcBorders>
              <w:bottom w:val="double" w:sz="10" w:space="0" w:color="000000"/>
            </w:tcBorders>
            <w:shd w:fill="CCEEFF" w:val="clear"/>
            <w:tcMar>
              <w:bottom w:w="28" w:type="dxa"/>
            </w:tcMar>
            <w:vAlign w:val="center"/>
          </w:tcPr>
          <w:p>
            <w:pPr>
              <w:pStyle w:val="TableContents"/>
              <w:bidi w:val="0"/>
              <w:spacing w:before="0" w:after="283"/>
              <w:jc w:val="right"/>
              <w:rPr/>
            </w:pPr>
            <w:r>
              <w:rPr/>
              <w:t>486,720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2255" w:type="dxa"/>
        <w:jc w:val="left"/>
        <w:tblInd w:w="0" w:type="dxa"/>
        <w:tblLayout w:type="fixed"/>
        <w:tblCellMar>
          <w:top w:w="0" w:type="dxa"/>
          <w:left w:w="0" w:type="dxa"/>
          <w:bottom w:w="0" w:type="dxa"/>
          <w:right w:w="0" w:type="dxa"/>
        </w:tblCellMar>
      </w:tblPr>
      <w:tblGrid>
        <w:gridCol w:w="1370"/>
        <w:gridCol w:w="90"/>
        <w:gridCol w:w="90"/>
        <w:gridCol w:w="830"/>
        <w:gridCol w:w="90"/>
        <w:gridCol w:w="90"/>
        <w:gridCol w:w="199"/>
        <w:gridCol w:w="691"/>
        <w:gridCol w:w="90"/>
        <w:gridCol w:w="90"/>
        <w:gridCol w:w="90"/>
        <w:gridCol w:w="1130"/>
        <w:gridCol w:w="90"/>
        <w:gridCol w:w="90"/>
        <w:gridCol w:w="328"/>
        <w:gridCol w:w="562"/>
        <w:gridCol w:w="90"/>
        <w:gridCol w:w="90"/>
        <w:gridCol w:w="170"/>
        <w:gridCol w:w="830"/>
        <w:gridCol w:w="90"/>
        <w:gridCol w:w="90"/>
        <w:gridCol w:w="521"/>
        <w:gridCol w:w="1119"/>
        <w:gridCol w:w="125"/>
        <w:gridCol w:w="90"/>
        <w:gridCol w:w="221"/>
        <w:gridCol w:w="1179"/>
        <w:gridCol w:w="125"/>
        <w:gridCol w:w="90"/>
        <w:gridCol w:w="232"/>
        <w:gridCol w:w="1138"/>
        <w:gridCol w:w="135"/>
      </w:tblGrid>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Series B</w:t>
              <w:br/>
              <w:t>Non-Voting</w:t>
              <w:br/>
              <w:t>Convertible</w:t>
              <w:br/>
              <w:t>Preferred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Paid-In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 xml:space="preserve">Accumulated </w:t>
              <w:br/>
              <w:t xml:space="preserve">Other </w:t>
              <w:br/>
              <w:t>Comprehensive</w:t>
              <w:br/>
              <w:t>Income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br/>
              <w:t>Stockholders’</w:t>
            </w:r>
          </w:p>
        </w:tc>
        <w:tc>
          <w:tcPr>
            <w:tcW w:w="13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Balances as of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137,138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2,931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37,440,510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463,018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w:t>
            </w:r>
          </w:p>
        </w:tc>
        <w:tc>
          <w:tcPr>
            <w:tcW w:w="1119" w:type="dxa"/>
            <w:tcBorders/>
            <w:shd w:fill="CCEEFF" w:val="clear"/>
            <w:vAlign w:val="center"/>
          </w:tcPr>
          <w:p>
            <w:pPr>
              <w:pStyle w:val="TableContents"/>
              <w:bidi w:val="0"/>
              <w:spacing w:before="0" w:after="283"/>
              <w:jc w:val="right"/>
              <w:rPr/>
            </w:pPr>
            <w:r>
              <w:rPr/>
              <w:t>(41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(83,724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382,221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Stock-based compensation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3,468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3,468</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Unrealized gains (losses) on marketable securities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35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single" w:sz="12" w:space="0" w:color="000000"/>
            </w:tcBorders>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tcMar>
              <w:bottom w:w="28" w:type="dxa"/>
            </w:tcMar>
            <w:vAlign w:val="center"/>
          </w:tcPr>
          <w:p>
            <w:pPr>
              <w:pStyle w:val="TableContents"/>
              <w:bidi w:val="0"/>
              <w:spacing w:before="0" w:after="283"/>
              <w:jc w:val="right"/>
              <w:rPr/>
            </w:pPr>
            <w:r>
              <w:rPr/>
              <w:t>(20,999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tcMar>
              <w:bottom w:w="28" w:type="dxa"/>
            </w:tcMar>
            <w:vAlign w:val="center"/>
          </w:tcPr>
          <w:p>
            <w:pPr>
              <w:pStyle w:val="TableContents"/>
              <w:bidi w:val="0"/>
              <w:spacing w:before="0" w:after="283"/>
              <w:jc w:val="right"/>
              <w:rPr/>
            </w:pPr>
            <w:r>
              <w:rPr/>
              <w:t>(20,999</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b/>
              </w:rPr>
            </w:pPr>
            <w:r>
              <w:rPr>
                <w:b/>
              </w:rPr>
              <w:t>Balances as of March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137,138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1" w:type="dxa"/>
            <w:tcBorders>
              <w:bottom w:val="double" w:sz="10" w:space="0" w:color="000000"/>
            </w:tcBorders>
            <w:shd w:fill="CCEEFF" w:val="clear"/>
            <w:tcMar>
              <w:bottom w:w="28" w:type="dxa"/>
            </w:tcMar>
            <w:vAlign w:val="center"/>
          </w:tcPr>
          <w:p>
            <w:pPr>
              <w:pStyle w:val="TableContents"/>
              <w:bidi w:val="0"/>
              <w:spacing w:before="0" w:after="283"/>
              <w:jc w:val="right"/>
              <w:rPr/>
            </w:pPr>
            <w:r>
              <w:rPr/>
              <w:t>2,931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37,440,510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2" w:type="dxa"/>
            <w:tcBorders>
              <w:bottom w:val="double" w:sz="10" w:space="0" w:color="000000"/>
            </w:tcBorders>
            <w:shd w:fill="CCEEFF" w:val="clear"/>
            <w:tcMar>
              <w:bottom w:w="28" w:type="dxa"/>
            </w:tcMar>
            <w:vAlign w:val="center"/>
          </w:tcPr>
          <w:p>
            <w:pPr>
              <w:pStyle w:val="TableContents"/>
              <w:bidi w:val="0"/>
              <w:spacing w:before="0" w:after="283"/>
              <w:jc w:val="right"/>
              <w:rPr/>
            </w:pPr>
            <w:r>
              <w:rPr/>
              <w:t>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466,486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9" w:type="dxa"/>
            <w:tcBorders>
              <w:bottom w:val="double" w:sz="10" w:space="0" w:color="000000"/>
            </w:tcBorders>
            <w:shd w:fill="CCEEFF" w:val="clear"/>
            <w:tcMar>
              <w:bottom w:w="28" w:type="dxa"/>
            </w:tcMar>
            <w:vAlign w:val="center"/>
          </w:tcPr>
          <w:p>
            <w:pPr>
              <w:pStyle w:val="TableContents"/>
              <w:bidi w:val="0"/>
              <w:spacing w:before="0" w:after="283"/>
              <w:jc w:val="right"/>
              <w:rPr/>
            </w:pPr>
            <w:r>
              <w:rPr/>
              <w:t>(6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9" w:type="dxa"/>
            <w:tcBorders>
              <w:bottom w:val="double" w:sz="10" w:space="0" w:color="000000"/>
            </w:tcBorders>
            <w:shd w:fill="CCEEFF" w:val="clear"/>
            <w:tcMar>
              <w:bottom w:w="28" w:type="dxa"/>
            </w:tcMar>
            <w:vAlign w:val="center"/>
          </w:tcPr>
          <w:p>
            <w:pPr>
              <w:pStyle w:val="TableContents"/>
              <w:bidi w:val="0"/>
              <w:spacing w:before="0" w:after="283"/>
              <w:jc w:val="right"/>
              <w:rPr/>
            </w:pPr>
            <w:r>
              <w:rPr/>
              <w:t>(104,723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8" w:type="dxa"/>
            <w:tcBorders>
              <w:bottom w:val="double" w:sz="10" w:space="0" w:color="000000"/>
            </w:tcBorders>
            <w:shd w:fill="CCEEFF" w:val="clear"/>
            <w:tcMar>
              <w:bottom w:w="28" w:type="dxa"/>
            </w:tcMar>
            <w:vAlign w:val="center"/>
          </w:tcPr>
          <w:p>
            <w:pPr>
              <w:pStyle w:val="TableContents"/>
              <w:bidi w:val="0"/>
              <w:spacing w:before="0" w:after="283"/>
              <w:jc w:val="right"/>
              <w:rPr/>
            </w:pPr>
            <w:r>
              <w:rPr/>
              <w:t>364,725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ORUKA THERAPEUTICS, INC.</w:t>
        <w:br/>
        <w:t>CONDENSED CONSOLIDATED STATEMENTS OF CASH FLOWS</w:t>
        <w:br/>
        <w:t>(UNAUDITED)</w:t>
        <w:b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50"/>
        <w:gridCol w:w="90"/>
        <w:gridCol w:w="247"/>
        <w:gridCol w:w="1142"/>
        <w:gridCol w:w="125"/>
        <w:gridCol w:w="90"/>
        <w:gridCol w:w="247"/>
        <w:gridCol w:w="1142"/>
        <w:gridCol w:w="172"/>
      </w:tblGrid>
      <w:tr>
        <w:trPr/>
        <w:tc>
          <w:tcPr>
            <w:tcW w:w="69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w:t>
              <w:br/>
              <w:t>Ended</w:t>
              <w:br/>
              <w:t xml:space="preserve">March 31, </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w:t>
              <w:br/>
              <w:t>Ended</w:t>
              <w:br/>
              <w:t xml:space="preserve">March 31, </w:t>
              <w:br/>
              <w:t>2025</w:t>
            </w:r>
          </w:p>
        </w:tc>
        <w:tc>
          <w:tcPr>
            <w:tcW w:w="172" w:type="dxa"/>
            <w:tcBorders/>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38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9"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42" w:type="dxa"/>
            <w:tcBorders/>
            <w:shd w:fill="CCEEFF" w:val="clear"/>
            <w:vAlign w:val="center"/>
          </w:tcPr>
          <w:p>
            <w:pPr>
              <w:pStyle w:val="TableContents"/>
              <w:bidi w:val="0"/>
              <w:spacing w:before="0" w:after="283"/>
              <w:jc w:val="right"/>
              <w:rPr/>
            </w:pPr>
            <w:r>
              <w:rPr/>
              <w:t>(31,820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42" w:type="dxa"/>
            <w:tcBorders/>
            <w:shd w:fill="CCEEFF" w:val="clear"/>
            <w:vAlign w:val="center"/>
          </w:tcPr>
          <w:p>
            <w:pPr>
              <w:pStyle w:val="TableContents"/>
              <w:bidi w:val="0"/>
              <w:spacing w:before="0" w:after="283"/>
              <w:jc w:val="right"/>
              <w:rPr/>
            </w:pPr>
            <w:r>
              <w:rPr/>
              <w:t>(20,999</w:t>
            </w:r>
          </w:p>
        </w:tc>
        <w:tc>
          <w:tcPr>
            <w:tcW w:w="172" w:type="dxa"/>
            <w:tcBorders/>
            <w:shd w:fill="CCEEFF" w:val="clear"/>
            <w:vAlign w:val="center"/>
          </w:tcPr>
          <w:p>
            <w:pPr>
              <w:pStyle w:val="TableContents"/>
              <w:bidi w:val="0"/>
              <w:spacing w:before="0" w:after="283"/>
              <w:jc w:val="left"/>
              <w:rPr/>
            </w:pPr>
            <w:r>
              <w:rPr/>
              <w:t>)</w:t>
            </w:r>
          </w:p>
        </w:tc>
      </w:tr>
      <w:tr>
        <w:trPr/>
        <w:tc>
          <w:tcPr>
            <w:tcW w:w="6950" w:type="dxa"/>
            <w:tcBorders/>
            <w:vAlign w:val="center"/>
          </w:tcPr>
          <w:p>
            <w:pPr>
              <w:pStyle w:val="TableContents"/>
              <w:bidi w:val="0"/>
              <w:spacing w:before="0" w:after="283"/>
              <w:jc w:val="left"/>
              <w:rPr/>
            </w:pPr>
            <w:r>
              <w:rPr/>
              <w:t>Adjustments to reconcile net loss to net cash used in operating activities:</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Stock-based compensation expense</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6,968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4,883</w:t>
            </w:r>
          </w:p>
        </w:tc>
        <w:tc>
          <w:tcPr>
            <w:tcW w:w="172"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pPr>
            <w:r>
              <w:rPr/>
              <w:t>Net accretion of premiums and discounts on marketable securities</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(446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(1,797</w:t>
            </w:r>
          </w:p>
        </w:tc>
        <w:tc>
          <w:tcPr>
            <w:tcW w:w="172" w:type="dxa"/>
            <w:tcBorders/>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pPr>
            <w:r>
              <w:rPr/>
              <w:t>Non-cash lease expense</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62</w:t>
            </w:r>
          </w:p>
        </w:tc>
        <w:tc>
          <w:tcPr>
            <w:tcW w:w="172"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pPr>
            <w:r>
              <w:rPr/>
              <w:t>Depreciation expense</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16</w:t>
            </w:r>
          </w:p>
        </w:tc>
        <w:tc>
          <w:tcPr>
            <w:tcW w:w="172"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461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(148</w:t>
            </w:r>
          </w:p>
        </w:tc>
        <w:tc>
          <w:tcPr>
            <w:tcW w:w="172" w:type="dxa"/>
            <w:tcBorders/>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(60</w:t>
            </w:r>
          </w:p>
        </w:tc>
        <w:tc>
          <w:tcPr>
            <w:tcW w:w="172" w:type="dxa"/>
            <w:tcBorders/>
            <w:shd w:fill="CCEEFF" w:val="clear"/>
            <w:vAlign w:val="center"/>
          </w:tcPr>
          <w:p>
            <w:pPr>
              <w:pStyle w:val="TableContents"/>
              <w:bidi w:val="0"/>
              <w:spacing w:before="0" w:after="283"/>
              <w:jc w:val="left"/>
              <w:rPr/>
            </w:pPr>
            <w:r>
              <w:rPr/>
              <w:t>)</w:t>
            </w:r>
          </w:p>
        </w:tc>
      </w:tr>
      <w:tr>
        <w:trPr/>
        <w:tc>
          <w:tcPr>
            <w:tcW w:w="6950"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(493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83</w:t>
            </w:r>
          </w:p>
        </w:tc>
        <w:tc>
          <w:tcPr>
            <w:tcW w:w="172"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(1,304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2,317</w:t>
            </w:r>
          </w:p>
        </w:tc>
        <w:tc>
          <w:tcPr>
            <w:tcW w:w="172"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pPr>
            <w:r>
              <w:rPr/>
              <w:t>Operating lease liability</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(125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(21</w:t>
            </w:r>
          </w:p>
        </w:tc>
        <w:tc>
          <w:tcPr>
            <w:tcW w:w="172" w:type="dxa"/>
            <w:tcBorders/>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pPr>
            <w:r>
              <w:rPr/>
              <w:t>Related party accounts payable and other current liabilities</w:t>
            </w:r>
          </w:p>
        </w:tc>
        <w:tc>
          <w:tcPr>
            <w:tcW w:w="9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CCEEFF" w:val="clear"/>
            <w:tcMar>
              <w:bottom w:w="28" w:type="dxa"/>
            </w:tcMar>
            <w:vAlign w:val="center"/>
          </w:tcPr>
          <w:p>
            <w:pPr>
              <w:pStyle w:val="TableContents"/>
              <w:bidi w:val="0"/>
              <w:spacing w:before="0" w:after="283"/>
              <w:jc w:val="right"/>
              <w:rPr/>
            </w:pPr>
            <w:r>
              <w:rPr/>
              <w:t>2,995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CCEEFF" w:val="clear"/>
            <w:tcMar>
              <w:bottom w:w="28" w:type="dxa"/>
            </w:tcMar>
            <w:vAlign w:val="center"/>
          </w:tcPr>
          <w:p>
            <w:pPr>
              <w:pStyle w:val="TableContents"/>
              <w:bidi w:val="0"/>
              <w:spacing w:before="0" w:after="283"/>
              <w:jc w:val="right"/>
              <w:rPr/>
            </w:pPr>
            <w:r>
              <w:rPr/>
              <w:t>(5,205</w:t>
            </w:r>
          </w:p>
        </w:tc>
        <w:tc>
          <w:tcPr>
            <w:tcW w:w="172" w:type="dxa"/>
            <w:tcBorders/>
            <w:shd w:fill="CCEEFF" w:val="clear"/>
            <w:vAlign w:val="center"/>
          </w:tcPr>
          <w:p>
            <w:pPr>
              <w:pStyle w:val="TableContents"/>
              <w:bidi w:val="0"/>
              <w:spacing w:before="0" w:after="283"/>
              <w:jc w:val="left"/>
              <w:rPr/>
            </w:pPr>
            <w:r>
              <w:rPr/>
              <w:t>)</w:t>
            </w:r>
          </w:p>
        </w:tc>
      </w:tr>
      <w:tr>
        <w:trPr/>
        <w:tc>
          <w:tcPr>
            <w:tcW w:w="6950" w:type="dxa"/>
            <w:tcBorders/>
            <w:vAlign w:val="center"/>
          </w:tcPr>
          <w:p>
            <w:pPr>
              <w:pStyle w:val="TableContents"/>
              <w:bidi w:val="0"/>
              <w:spacing w:before="0" w:after="283"/>
              <w:jc w:val="left"/>
              <w:rPr/>
            </w:pPr>
            <w:r>
              <w:rPr/>
              <w:t>Net cash used in operating activities</w:t>
            </w:r>
          </w:p>
        </w:tc>
        <w:tc>
          <w:tcPr>
            <w:tcW w:w="90" w:type="dxa"/>
            <w:tcBorders/>
            <w:vAlign w:val="center"/>
          </w:tcPr>
          <w:p>
            <w:pPr>
              <w:pStyle w:val="TableContents"/>
              <w:bidi w:val="0"/>
              <w:spacing w:before="0" w:after="283"/>
              <w:jc w:val="left"/>
              <w:rPr/>
            </w:pPr>
            <w:r>
              <w:rPr/>
              <w:t> </w:t>
            </w:r>
          </w:p>
        </w:tc>
        <w:tc>
          <w:tcPr>
            <w:tcW w:w="24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tcMar>
              <w:bottom w:w="28" w:type="dxa"/>
            </w:tcMar>
            <w:vAlign w:val="center"/>
          </w:tcPr>
          <w:p>
            <w:pPr>
              <w:pStyle w:val="TableContents"/>
              <w:bidi w:val="0"/>
              <w:spacing w:before="0" w:after="283"/>
              <w:jc w:val="right"/>
              <w:rPr/>
            </w:pPr>
            <w:r>
              <w:rPr/>
              <w:t>(23,578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tcMar>
              <w:bottom w:w="28" w:type="dxa"/>
            </w:tcMar>
            <w:vAlign w:val="center"/>
          </w:tcPr>
          <w:p>
            <w:pPr>
              <w:pStyle w:val="TableContents"/>
              <w:bidi w:val="0"/>
              <w:spacing w:before="0" w:after="283"/>
              <w:jc w:val="right"/>
              <w:rPr/>
            </w:pPr>
            <w:r>
              <w:rPr/>
              <w:t>(20,869</w:t>
            </w:r>
          </w:p>
        </w:tc>
        <w:tc>
          <w:tcPr>
            <w:tcW w:w="172" w:type="dxa"/>
            <w:tcBorders/>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b/>
              </w:rPr>
            </w:pPr>
            <w:r>
              <w:rPr>
                <w:b/>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pPr>
            <w:r>
              <w:rPr/>
              <w:t>Purchases of property and equipment</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(73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(13</w:t>
            </w:r>
          </w:p>
        </w:tc>
        <w:tc>
          <w:tcPr>
            <w:tcW w:w="172" w:type="dxa"/>
            <w:tcBorders/>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pPr>
            <w:r>
              <w:rPr/>
              <w:t>Purchases of marketable securities</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(90,834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(44,290</w:t>
            </w:r>
          </w:p>
        </w:tc>
        <w:tc>
          <w:tcPr>
            <w:tcW w:w="172" w:type="dxa"/>
            <w:tcBorders/>
            <w:shd w:fill="CCEEFF" w:val="clear"/>
            <w:vAlign w:val="center"/>
          </w:tcPr>
          <w:p>
            <w:pPr>
              <w:pStyle w:val="TableContents"/>
              <w:bidi w:val="0"/>
              <w:spacing w:before="0" w:after="283"/>
              <w:jc w:val="left"/>
              <w:rPr/>
            </w:pPr>
            <w:r>
              <w:rPr/>
              <w:t>)</w:t>
            </w:r>
          </w:p>
        </w:tc>
      </w:tr>
      <w:tr>
        <w:trPr/>
        <w:tc>
          <w:tcPr>
            <w:tcW w:w="6950" w:type="dxa"/>
            <w:tcBorders/>
            <w:vAlign w:val="center"/>
          </w:tcPr>
          <w:p>
            <w:pPr>
              <w:pStyle w:val="TableContents"/>
              <w:bidi w:val="0"/>
              <w:spacing w:before="0" w:after="283"/>
              <w:jc w:val="left"/>
              <w:rPr/>
            </w:pPr>
            <w:r>
              <w:rPr/>
              <w:t>Proceeds from maturities of marketable securities</w:t>
            </w:r>
          </w:p>
        </w:tc>
        <w:tc>
          <w:tcPr>
            <w:tcW w:w="90" w:type="dxa"/>
            <w:tcBorders/>
            <w:vAlign w:val="center"/>
          </w:tcPr>
          <w:p>
            <w:pPr>
              <w:pStyle w:val="TableContents"/>
              <w:bidi w:val="0"/>
              <w:spacing w:before="0" w:after="283"/>
              <w:jc w:val="left"/>
              <w:rPr/>
            </w:pPr>
            <w:r>
              <w:rPr/>
              <w:t> </w:t>
            </w:r>
          </w:p>
        </w:tc>
        <w:tc>
          <w:tcPr>
            <w:tcW w:w="24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tcMar>
              <w:bottom w:w="28" w:type="dxa"/>
            </w:tcMar>
            <w:vAlign w:val="center"/>
          </w:tcPr>
          <w:p>
            <w:pPr>
              <w:pStyle w:val="TableContents"/>
              <w:bidi w:val="0"/>
              <w:spacing w:before="0" w:after="283"/>
              <w:jc w:val="right"/>
              <w:rPr/>
            </w:pPr>
            <w:r>
              <w:rPr/>
              <w:t>76,470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tcMar>
              <w:bottom w:w="28" w:type="dxa"/>
            </w:tcMar>
            <w:vAlign w:val="center"/>
          </w:tcPr>
          <w:p>
            <w:pPr>
              <w:pStyle w:val="TableContents"/>
              <w:bidi w:val="0"/>
              <w:spacing w:before="0" w:after="283"/>
              <w:jc w:val="right"/>
              <w:rPr/>
            </w:pPr>
            <w:r>
              <w:rPr/>
              <w:t>87,169</w:t>
            </w:r>
          </w:p>
        </w:tc>
        <w:tc>
          <w:tcPr>
            <w:tcW w:w="172"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Net cash (used in) provided by investing activities</w:t>
            </w:r>
          </w:p>
        </w:tc>
        <w:tc>
          <w:tcPr>
            <w:tcW w:w="9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CCEEFF" w:val="clear"/>
            <w:tcMar>
              <w:bottom w:w="28" w:type="dxa"/>
            </w:tcMar>
            <w:vAlign w:val="center"/>
          </w:tcPr>
          <w:p>
            <w:pPr>
              <w:pStyle w:val="TableContents"/>
              <w:bidi w:val="0"/>
              <w:spacing w:before="0" w:after="283"/>
              <w:jc w:val="right"/>
              <w:rPr/>
            </w:pPr>
            <w:r>
              <w:rPr/>
              <w:t>(14,437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CCEEFF" w:val="clear"/>
            <w:tcMar>
              <w:bottom w:w="28" w:type="dxa"/>
            </w:tcMar>
            <w:vAlign w:val="center"/>
          </w:tcPr>
          <w:p>
            <w:pPr>
              <w:pStyle w:val="TableContents"/>
              <w:bidi w:val="0"/>
              <w:spacing w:before="0" w:after="283"/>
              <w:jc w:val="right"/>
              <w:rPr/>
            </w:pPr>
            <w:r>
              <w:rPr/>
              <w:t>42,866</w:t>
            </w:r>
          </w:p>
        </w:tc>
        <w:tc>
          <w:tcPr>
            <w:tcW w:w="172"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b/>
              </w:rPr>
            </w:pPr>
            <w:r>
              <w:rPr>
                <w:b/>
              </w:rPr>
              <w:t>Cash flows from financing activities:</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180"/>
              <w:jc w:val="left"/>
              <w:rPr/>
            </w:pPr>
            <w:r>
              <w:rPr/>
              <w:t> </w:t>
            </w:r>
          </w:p>
        </w:tc>
      </w:tr>
      <w:tr>
        <w:trPr/>
        <w:tc>
          <w:tcPr>
            <w:tcW w:w="6950" w:type="dxa"/>
            <w:tcBorders/>
            <w:shd w:fill="CCEEFF" w:val="clear"/>
            <w:vAlign w:val="center"/>
          </w:tcPr>
          <w:p>
            <w:pPr>
              <w:pStyle w:val="TableContents"/>
              <w:bidi w:val="0"/>
              <w:spacing w:before="0" w:after="283"/>
              <w:jc w:val="left"/>
              <w:rPr/>
            </w:pPr>
            <w:r>
              <w:rPr/>
              <w:t>Proceeds from issuance of common stock upon exercise of stock options and employee warrants</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1,698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50" w:type="dxa"/>
            <w:tcBorders/>
            <w:vAlign w:val="center"/>
          </w:tcPr>
          <w:p>
            <w:pPr>
              <w:pStyle w:val="TableContents"/>
              <w:bidi w:val="0"/>
              <w:spacing w:before="0" w:after="283"/>
              <w:jc w:val="left"/>
              <w:rPr/>
            </w:pPr>
            <w:r>
              <w:rPr/>
              <w:t>Proceeds from at-the-market offering, net of commissions</w:t>
            </w:r>
          </w:p>
        </w:tc>
        <w:tc>
          <w:tcPr>
            <w:tcW w:w="90" w:type="dxa"/>
            <w:tcBorders/>
            <w:vAlign w:val="center"/>
          </w:tcPr>
          <w:p>
            <w:pPr>
              <w:pStyle w:val="TableContents"/>
              <w:bidi w:val="0"/>
              <w:spacing w:before="0" w:after="283"/>
              <w:jc w:val="left"/>
              <w:rPr/>
            </w:pPr>
            <w:r>
              <w:rPr/>
              <w:t> </w:t>
            </w:r>
          </w:p>
        </w:tc>
        <w:tc>
          <w:tcPr>
            <w:tcW w:w="24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tcMar>
              <w:bottom w:w="28" w:type="dxa"/>
            </w:tcMar>
            <w:vAlign w:val="center"/>
          </w:tcPr>
          <w:p>
            <w:pPr>
              <w:pStyle w:val="TableContents"/>
              <w:bidi w:val="0"/>
              <w:spacing w:before="0" w:after="283"/>
              <w:jc w:val="right"/>
              <w:rPr/>
            </w:pPr>
            <w:r>
              <w:rPr/>
              <w:t>38,902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tcMar>
              <w:bottom w:w="28" w:type="dxa"/>
            </w:tcMar>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CCEEFF" w:val="clear"/>
            <w:tcMar>
              <w:bottom w:w="28" w:type="dxa"/>
            </w:tcMar>
            <w:vAlign w:val="center"/>
          </w:tcPr>
          <w:p>
            <w:pPr>
              <w:pStyle w:val="TableContents"/>
              <w:bidi w:val="0"/>
              <w:spacing w:before="0" w:after="283"/>
              <w:jc w:val="right"/>
              <w:rPr/>
            </w:pPr>
            <w:r>
              <w:rPr/>
              <w:t>40,600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b/>
              </w:rPr>
            </w:pPr>
            <w:r>
              <w:rPr>
                <w:b/>
              </w:rPr>
              <w:t>Net increase in cash and cash equivalents</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2,585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21,997</w:t>
            </w:r>
          </w:p>
        </w:tc>
        <w:tc>
          <w:tcPr>
            <w:tcW w:w="172"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Cash and cash equivalents at beginning of period</w:t>
            </w:r>
          </w:p>
        </w:tc>
        <w:tc>
          <w:tcPr>
            <w:tcW w:w="9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CCEEFF" w:val="clear"/>
            <w:tcMar>
              <w:bottom w:w="28" w:type="dxa"/>
            </w:tcMar>
            <w:vAlign w:val="center"/>
          </w:tcPr>
          <w:p>
            <w:pPr>
              <w:pStyle w:val="TableContents"/>
              <w:bidi w:val="0"/>
              <w:spacing w:before="0" w:after="283"/>
              <w:jc w:val="right"/>
              <w:rPr/>
            </w:pPr>
            <w:r>
              <w:rPr/>
              <w:t>46,935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CCEEFF" w:val="clear"/>
            <w:tcMar>
              <w:bottom w:w="28" w:type="dxa"/>
            </w:tcMar>
            <w:vAlign w:val="center"/>
          </w:tcPr>
          <w:p>
            <w:pPr>
              <w:pStyle w:val="TableContents"/>
              <w:bidi w:val="0"/>
              <w:spacing w:before="0" w:after="283"/>
              <w:jc w:val="right"/>
              <w:rPr/>
            </w:pPr>
            <w:r>
              <w:rPr/>
              <w:t>61,575</w:t>
            </w:r>
          </w:p>
        </w:tc>
        <w:tc>
          <w:tcPr>
            <w:tcW w:w="172" w:type="dxa"/>
            <w:tcBorders/>
            <w:shd w:fill="CCEEFF" w:val="clear"/>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pPr>
            <w:r>
              <w:rPr/>
              <w:t>Cash and cash equivalents at end of period</w:t>
            </w:r>
          </w:p>
        </w:tc>
        <w:tc>
          <w:tcPr>
            <w:tcW w:w="90" w:type="dxa"/>
            <w:tcBorders/>
            <w:vAlign w:val="center"/>
          </w:tcPr>
          <w:p>
            <w:pPr>
              <w:pStyle w:val="TableContents"/>
              <w:bidi w:val="0"/>
              <w:spacing w:before="0" w:after="283"/>
              <w:jc w:val="left"/>
              <w:rPr/>
            </w:pPr>
            <w:r>
              <w:rPr/>
              <w:t> </w:t>
            </w:r>
          </w:p>
        </w:tc>
        <w:tc>
          <w:tcPr>
            <w:tcW w:w="247" w:type="dxa"/>
            <w:tcBorders>
              <w:bottom w:val="double" w:sz="10" w:space="0" w:color="000000"/>
            </w:tcBorders>
            <w:tcMar>
              <w:bottom w:w="28" w:type="dxa"/>
            </w:tcMar>
            <w:vAlign w:val="center"/>
          </w:tcPr>
          <w:p>
            <w:pPr>
              <w:pStyle w:val="TableContents"/>
              <w:bidi w:val="0"/>
              <w:spacing w:before="0" w:after="283"/>
              <w:jc w:val="left"/>
              <w:rPr/>
            </w:pPr>
            <w:r>
              <w:rPr/>
              <w:t>$</w:t>
            </w:r>
          </w:p>
        </w:tc>
        <w:tc>
          <w:tcPr>
            <w:tcW w:w="1142" w:type="dxa"/>
            <w:tcBorders>
              <w:bottom w:val="double" w:sz="10" w:space="0" w:color="000000"/>
            </w:tcBorders>
            <w:tcMar>
              <w:bottom w:w="28" w:type="dxa"/>
            </w:tcMar>
            <w:vAlign w:val="center"/>
          </w:tcPr>
          <w:p>
            <w:pPr>
              <w:pStyle w:val="TableContents"/>
              <w:bidi w:val="0"/>
              <w:spacing w:before="0" w:after="283"/>
              <w:jc w:val="right"/>
              <w:rPr/>
            </w:pPr>
            <w:r>
              <w:rPr/>
              <w:t>49,520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bottom w:val="double" w:sz="10" w:space="0" w:color="000000"/>
            </w:tcBorders>
            <w:tcMar>
              <w:bottom w:w="28" w:type="dxa"/>
            </w:tcMar>
            <w:vAlign w:val="center"/>
          </w:tcPr>
          <w:p>
            <w:pPr>
              <w:pStyle w:val="TableContents"/>
              <w:bidi w:val="0"/>
              <w:spacing w:before="0" w:after="283"/>
              <w:jc w:val="left"/>
              <w:rPr/>
            </w:pPr>
            <w:r>
              <w:rPr/>
              <w:t>$</w:t>
            </w:r>
          </w:p>
        </w:tc>
        <w:tc>
          <w:tcPr>
            <w:tcW w:w="1142" w:type="dxa"/>
            <w:tcBorders>
              <w:bottom w:val="double" w:sz="10" w:space="0" w:color="000000"/>
            </w:tcBorders>
            <w:tcMar>
              <w:bottom w:w="28" w:type="dxa"/>
            </w:tcMar>
            <w:vAlign w:val="center"/>
          </w:tcPr>
          <w:p>
            <w:pPr>
              <w:pStyle w:val="TableContents"/>
              <w:bidi w:val="0"/>
              <w:spacing w:before="0" w:after="283"/>
              <w:jc w:val="right"/>
              <w:rPr/>
            </w:pPr>
            <w:r>
              <w:rPr/>
              <w:t>83,572</w:t>
            </w:r>
          </w:p>
        </w:tc>
        <w:tc>
          <w:tcPr>
            <w:tcW w:w="172"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b/>
              </w:rPr>
            </w:pPr>
            <w:r>
              <w:rPr>
                <w:b/>
              </w:rPr>
              <w:t>Supplemental disclosures of non-cash financing activities:</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50" w:type="dxa"/>
            <w:tcBorders/>
            <w:vAlign w:val="center"/>
          </w:tcPr>
          <w:p>
            <w:pPr>
              <w:pStyle w:val="TableContents"/>
              <w:bidi w:val="0"/>
              <w:spacing w:before="0" w:after="283"/>
              <w:jc w:val="left"/>
              <w:rPr/>
            </w:pPr>
            <w:r>
              <w:rPr/>
              <w:t>Amounts receivable related to exercise of stock options and employee warrants</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142" w:type="dxa"/>
            <w:tcBorders/>
            <w:vAlign w:val="center"/>
          </w:tcPr>
          <w:p>
            <w:pPr>
              <w:pStyle w:val="TableContents"/>
              <w:bidi w:val="0"/>
              <w:spacing w:before="0" w:after="283"/>
              <w:jc w:val="right"/>
              <w:rPr/>
            </w:pPr>
            <w:r>
              <w:rPr/>
              <w:t>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ORUKA THERAPEUTICS, INC.</w:t>
        <w:b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Nature of the Business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Background and Basis of Presentation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Oruka Therapeutics, Inc., together with its subsidiary (collectively, the “Company”), is a clinical-stage biopharmaceutical company. The Company is headquartered in Menlo Park, California. The Company is focused on developing novel monoclonal antibody therapeutics for psoriasis (“PsO”) and other inflammatory and immunology (“I&amp;I”) indications.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and accompanying notes reflect the operations of the Company and its wholly-owned subsidiary. Intercompany balances and transactions have been eliminated in consolidation. The condensed consolidated financial statements and accompanying notes have been prepared in accordance with United States (“U.S.”) generally accepted accounting principles (“GAAP”) for interim financial reporting and the rules and regulations of the U.S. Securities and Exchange Commission (the “SEC”) and therefore do not include all information and disclosures normally included in the annual consolidated financial statements. Certain information and footnote disclosures normally included in the financial statements prepared in accordance with U.S. GAAP have been condensed or omitted pursuant to such rules and regulations. Accordingly, these condensed consolidated financial statements should be read in conjunction with the audited financial statements and the related notes thereto, included in the Company’s Annual Report on Form 10-K for the year ended December 31, 2025 filed with the SEC on March 12, 2026 (the “Annual Report”). The information as of December 31, 2025, included in the condensed consolidated balance sheets was derived from the Company’s audited financial statements. These unaudited interim condensed consolidated financial statements have been prepared on the same basis as the Company’s annual consolidated financial statements, and in the opinion of the Company’s management, reflect all adjustments, which include only normal recurring adjustments necessary for a fair statement of the Company’s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for the three months ended March 31, 2026 are not necessarily indicative of results that may be expected for the year ending December 31, 2026 or for any other interim period or for any other future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cash, cash equivalents, and marketable securities of $496.0 million and an accumulated deficit of $221.0 million. The Company’s management expects that the existing cash, cash equivalents, and marketable securities will be sufficient to fund the Company’s operating plans for at least twelve months from the date these condensed consolidated financial statements were issued. Since its inception, the Company has devoted substantially all of its resources to advancing the development of its portfolio of programs, organizing and staffing the Company, business planning, raising capital, and providing general and administrative support for these operations. Current and future programs will require significant research and development efforts, including preclinical and clinical trials, and regulatory approvals to commercialization. Until such time as the Company can generate significant revenue from product sales, if ever, the Company expects to finance its operating activities through a combination of equity offerings and debt financings.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that its research and development and general and administrative costs will continue to increase significantly, including in connection with conducting future preclinical activities and clinical trials and manufacturing for its existing product candidates and any future product candidates to support commercialization and providing general and administrative support for its operations, including the costs associated with operating as a public company. The Company’s ability to access capital when needed is not assured and, if capital is not available to the Company when, and in the amounts needed, the Company may be required to significantly curtail, delay, or discontinue one or more of its research or development programs or the commercialization of any product candidate, or be unable to expand its operations or otherwise capitalize on the Company’s business opportunities, as desired, which could materially harm the Company’s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significant changes from the significant accounting policies and estimates disclosed in the Note titled “2. Summary of Significant Accounting Policies” of the Company’s Annual Report. The Company uses the same accounting policies in preparing its quarterly and annual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Use of Estimates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condensed consolidated financial statements in conformity with U.S. GAAP requires management to make estimates, assumptions, and judgments that affect the reported amounts of assets and liabilities and the disclosure of contingent liabilities at the date of the condensed consolidated financial statements and the reported amounts of income and expenses during the reporting periods. Significant estimates and assumptions reflected within these condensed consolidated financial statements include but are not limited to research and development expenses and related prepaid or accrued costs and the valuation of stock-based compensation awards and related expenses. The Company bases its estimates on known trends and other market-specific or other relevant factors that it believes to be reasonable under the circumstances. On an ongoing basis, management evaluates its estimates, as there are changes in circumstances, facts, and experience. Actual results could differ materially from those estimates or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recent accounting pronouncements or changes in accounting pronouncements adopted during the three months ended March 31, 2026 that are of significance or potential significance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This ASU requires more detailed disclosures, on an annual and interim basis,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This ASU may be applied either prospectively or retrospectively. The Company is currently evaluating the impact of the adoption of this ASU on its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ATM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2025, the Company entered into a Sales Agreement with TD Securities (USA) LLC (the “Sales Agreement”), as its sales agent, pursuant to which the Company may issue and sell, from time to time, shares of common stock for aggregate gross proceeds of up to $200.0 million under an at-the-market (“ATM”) equity offering program. The Company is not obligated to make any sales of shares under the Sales Agreement. During the three months ended March 31, 2026, the Company issued and sold an aggregate of 1,167,895 shares of common stock pursuant to the ATM offering program for total net proceeds of $38.9 million after deducting sales agents’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Company’s fair value hierarchy for financial assets measured as of March 31, 2026 and December 31, 2025 (in thousands):</w:t>
      </w:r>
    </w:p>
    <w:p>
      <w:pPr>
        <w:pStyle w:val="TextBody"/>
        <w:bidi w:val="0"/>
        <w:spacing w:before="0" w:after="0"/>
        <w:ind w:left="0" w:right="0" w:hanging="0"/>
        <w:jc w:val="left"/>
        <w:rPr>
          <w:caps w:val="false"/>
          <w:smallCaps w:val="false"/>
        </w:rPr>
      </w:pPr>
      <w:r>
        <w:rPr>
          <w:caps w:val="false"/>
          <w:smallCaps w:val="false"/>
        </w:rPr>
        <w:t> </w:t>
      </w:r>
    </w:p>
    <w:tbl>
      <w:tblPr>
        <w:tblW w:w="9200" w:type="dxa"/>
        <w:jc w:val="left"/>
        <w:tblInd w:w="0" w:type="dxa"/>
        <w:tblLayout w:type="fixed"/>
        <w:tblCellMar>
          <w:top w:w="0" w:type="dxa"/>
          <w:left w:w="0" w:type="dxa"/>
          <w:bottom w:w="0" w:type="dxa"/>
          <w:right w:w="0" w:type="dxa"/>
        </w:tblCellMar>
      </w:tblPr>
      <w:tblGrid>
        <w:gridCol w:w="4595"/>
        <w:gridCol w:w="90"/>
        <w:gridCol w:w="170"/>
        <w:gridCol w:w="710"/>
        <w:gridCol w:w="90"/>
        <w:gridCol w:w="90"/>
        <w:gridCol w:w="170"/>
        <w:gridCol w:w="830"/>
        <w:gridCol w:w="90"/>
        <w:gridCol w:w="90"/>
        <w:gridCol w:w="289"/>
        <w:gridCol w:w="495"/>
        <w:gridCol w:w="90"/>
        <w:gridCol w:w="90"/>
        <w:gridCol w:w="170"/>
        <w:gridCol w:w="830"/>
        <w:gridCol w:w="311"/>
      </w:tblGrid>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0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311"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311"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13,627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13,627</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31,787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31,787</w:t>
            </w:r>
          </w:p>
        </w:tc>
        <w:tc>
          <w:tcPr>
            <w:tcW w:w="311" w:type="dxa"/>
            <w:tcBorders/>
            <w:vAlign w:val="center"/>
          </w:tcPr>
          <w:p>
            <w:pPr>
              <w:pStyle w:val="TableContents"/>
              <w:bidi w:val="0"/>
              <w:spacing w:before="0" w:after="283"/>
              <w:ind w:left="0" w:right="0" w:firstLine="176"/>
              <w:jc w:val="left"/>
              <w:rPr/>
            </w:pPr>
            <w:r>
              <w:rPr/>
              <w:t> </w:t>
            </w:r>
          </w:p>
        </w:tc>
      </w:tr>
      <w:tr>
        <w:trPr/>
        <w:tc>
          <w:tcPr>
            <w:tcW w:w="4595" w:type="dxa"/>
            <w:tcBorders/>
            <w:shd w:fill="CCEEFF" w:val="clear"/>
            <w:vAlign w:val="center"/>
          </w:tcPr>
          <w:p>
            <w:pPr>
              <w:pStyle w:val="TableContents"/>
              <w:bidi w:val="0"/>
              <w:spacing w:before="0" w:after="283"/>
              <w:jc w:val="left"/>
              <w:rPr/>
            </w:pPr>
            <w:r>
              <w:rPr/>
              <w:t>Total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13,627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31,787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45,414</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193,747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193,747</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26,607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26,607</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18,979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18,979</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99,976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99,976</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Total marketable securities, current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339,309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339,309</w:t>
            </w:r>
          </w:p>
        </w:tc>
        <w:tc>
          <w:tcPr>
            <w:tcW w:w="311" w:type="dxa"/>
            <w:tcBorders/>
            <w:vAlign w:val="center"/>
          </w:tcPr>
          <w:p>
            <w:pPr>
              <w:pStyle w:val="TableContents"/>
              <w:bidi w:val="0"/>
              <w:spacing w:before="0" w:after="283"/>
              <w:ind w:left="0" w:right="0" w:firstLine="164"/>
              <w:jc w:val="left"/>
              <w:rPr/>
            </w:pPr>
            <w:r>
              <w:rPr/>
              <w:t> </w:t>
            </w:r>
          </w:p>
        </w:tc>
      </w:tr>
      <w:tr>
        <w:trPr/>
        <w:tc>
          <w:tcPr>
            <w:tcW w:w="4595"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75,332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75,332</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18,927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18,927</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government agency securities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12,864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12,864</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Total marketable securities, long-term</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107,123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107,123</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Total cash equivalents and marketable securities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13,627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478,219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10" w:space="0" w:color="000000"/>
            </w:tcBorders>
            <w:tcMar>
              <w:bottom w:w="28" w:type="dxa"/>
            </w:tcMar>
            <w:vAlign w:val="center"/>
          </w:tcPr>
          <w:p>
            <w:pPr>
              <w:pStyle w:val="TableContents"/>
              <w:bidi w:val="0"/>
              <w:spacing w:before="0" w:after="283"/>
              <w:jc w:val="left"/>
              <w:rPr/>
            </w:pPr>
            <w:r>
              <w:rPr/>
              <w:t>$</w:t>
            </w:r>
          </w:p>
        </w:tc>
        <w:tc>
          <w:tcPr>
            <w:tcW w:w="495"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491,846</w:t>
            </w:r>
          </w:p>
        </w:tc>
        <w:tc>
          <w:tcPr>
            <w:tcW w:w="31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in or out of Level 3 during the three months ended March 31, 2026.</w:t>
      </w:r>
    </w:p>
    <w:p>
      <w:pPr>
        <w:pStyle w:val="TextBody"/>
        <w:bidi w:val="0"/>
        <w:spacing w:before="0" w:after="0"/>
        <w:ind w:left="0" w:right="0" w:hanging="0"/>
        <w:jc w:val="left"/>
        <w:rPr>
          <w:caps w:val="false"/>
          <w:smallCaps w:val="false"/>
        </w:rPr>
      </w:pPr>
      <w:r>
        <w:rPr>
          <w:caps w:val="false"/>
          <w:smallCaps w:val="false"/>
        </w:rPr>
        <w:t> </w:t>
      </w:r>
    </w:p>
    <w:tbl>
      <w:tblPr>
        <w:tblW w:w="9200" w:type="dxa"/>
        <w:jc w:val="left"/>
        <w:tblInd w:w="0" w:type="dxa"/>
        <w:tblLayout w:type="fixed"/>
        <w:tblCellMar>
          <w:top w:w="0" w:type="dxa"/>
          <w:left w:w="0" w:type="dxa"/>
          <w:bottom w:w="0" w:type="dxa"/>
          <w:right w:w="0" w:type="dxa"/>
        </w:tblCellMar>
      </w:tblPr>
      <w:tblGrid>
        <w:gridCol w:w="4595"/>
        <w:gridCol w:w="90"/>
        <w:gridCol w:w="170"/>
        <w:gridCol w:w="710"/>
        <w:gridCol w:w="90"/>
        <w:gridCol w:w="90"/>
        <w:gridCol w:w="170"/>
        <w:gridCol w:w="830"/>
        <w:gridCol w:w="90"/>
        <w:gridCol w:w="90"/>
        <w:gridCol w:w="289"/>
        <w:gridCol w:w="495"/>
        <w:gridCol w:w="90"/>
        <w:gridCol w:w="90"/>
        <w:gridCol w:w="170"/>
        <w:gridCol w:w="830"/>
        <w:gridCol w:w="311"/>
      </w:tblGrid>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0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311"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311"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30,268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30,268</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14,483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14,483</w:t>
            </w:r>
          </w:p>
        </w:tc>
        <w:tc>
          <w:tcPr>
            <w:tcW w:w="311" w:type="dxa"/>
            <w:tcBorders/>
            <w:vAlign w:val="center"/>
          </w:tcPr>
          <w:p>
            <w:pPr>
              <w:pStyle w:val="TableContents"/>
              <w:bidi w:val="0"/>
              <w:spacing w:before="0" w:after="283"/>
              <w:ind w:left="0" w:right="0" w:firstLine="176"/>
              <w:jc w:val="left"/>
              <w:rPr/>
            </w:pPr>
            <w:r>
              <w:rPr/>
              <w:t> </w:t>
            </w:r>
          </w:p>
        </w:tc>
      </w:tr>
      <w:tr>
        <w:trPr/>
        <w:tc>
          <w:tcPr>
            <w:tcW w:w="4595" w:type="dxa"/>
            <w:tcBorders/>
            <w:shd w:fill="CCEEFF" w:val="clear"/>
            <w:vAlign w:val="center"/>
          </w:tcPr>
          <w:p>
            <w:pPr>
              <w:pStyle w:val="TableContents"/>
              <w:bidi w:val="0"/>
              <w:spacing w:before="0" w:after="283"/>
              <w:jc w:val="left"/>
              <w:rPr/>
            </w:pPr>
            <w:r>
              <w:rPr/>
              <w:t>Total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30,268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14,483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44,751</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195,915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195,915</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28,757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28,757</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21,241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21,241</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44,196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44,196</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Total marketable securities, current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290,109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290,109</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75,730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75,730</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54,998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54,998</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government agency securities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11,811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11,811</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Total marketable securities, long-term</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142,539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142,539</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Total cash equivalents and marketable securities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30,268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447,131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10" w:space="0" w:color="000000"/>
            </w:tcBorders>
            <w:tcMar>
              <w:bottom w:w="28" w:type="dxa"/>
            </w:tcMar>
            <w:vAlign w:val="center"/>
          </w:tcPr>
          <w:p>
            <w:pPr>
              <w:pStyle w:val="TableContents"/>
              <w:bidi w:val="0"/>
              <w:spacing w:before="0" w:after="283"/>
              <w:jc w:val="left"/>
              <w:rPr/>
            </w:pPr>
            <w:r>
              <w:rPr/>
              <w:t>$</w:t>
            </w:r>
          </w:p>
        </w:tc>
        <w:tc>
          <w:tcPr>
            <w:tcW w:w="495"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477,399</w:t>
            </w:r>
          </w:p>
        </w:tc>
        <w:tc>
          <w:tcPr>
            <w:tcW w:w="31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Cash Equivalents and Marketable Securities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cash equivalents and marketable securities, which are classified as available-for-sale as of March 31, 2026 and December 31, 2025 (in thousands):</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69"/>
        <w:gridCol w:w="90"/>
        <w:gridCol w:w="201"/>
        <w:gridCol w:w="985"/>
        <w:gridCol w:w="90"/>
        <w:gridCol w:w="90"/>
        <w:gridCol w:w="449"/>
        <w:gridCol w:w="767"/>
        <w:gridCol w:w="90"/>
        <w:gridCol w:w="90"/>
        <w:gridCol w:w="315"/>
        <w:gridCol w:w="901"/>
        <w:gridCol w:w="125"/>
        <w:gridCol w:w="90"/>
        <w:gridCol w:w="193"/>
        <w:gridCol w:w="945"/>
        <w:gridCol w:w="315"/>
      </w:tblGrid>
      <w:tr>
        <w:trPr/>
        <w:tc>
          <w:tcPr>
            <w:tcW w:w="446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31"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315" w:type="dxa"/>
            <w:tcBorders/>
            <w:vAlign w:val="center"/>
          </w:tcPr>
          <w:p>
            <w:pPr>
              <w:pStyle w:val="TableContents"/>
              <w:bidi w:val="0"/>
              <w:spacing w:before="0" w:after="283"/>
              <w:jc w:val="left"/>
              <w:rPr/>
            </w:pPr>
            <w:r>
              <w:rPr/>
              <w:t> </w:t>
            </w:r>
          </w:p>
        </w:tc>
      </w:tr>
      <w:tr>
        <w:trPr/>
        <w:tc>
          <w:tcPr>
            <w:tcW w:w="446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Amortized </w:t>
              <w:br/>
              <w:t>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Gains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315" w:type="dxa"/>
            <w:tcBorders/>
            <w:vAlign w:val="center"/>
          </w:tcPr>
          <w:p>
            <w:pPr>
              <w:pStyle w:val="TableContents"/>
              <w:bidi w:val="0"/>
              <w:spacing w:before="0" w:after="283"/>
              <w:jc w:val="left"/>
              <w:rPr/>
            </w:pPr>
            <w:r>
              <w:rPr/>
              <w:t> </w:t>
            </w:r>
          </w:p>
        </w:tc>
      </w:tr>
      <w:tr>
        <w:trPr/>
        <w:tc>
          <w:tcPr>
            <w:tcW w:w="4469"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1186"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6"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6"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8" w:type="dxa"/>
            <w:gridSpan w:val="2"/>
            <w:tcBorders/>
            <w:vAlign w:val="center"/>
          </w:tcPr>
          <w:p>
            <w:pPr>
              <w:pStyle w:val="TableContents"/>
              <w:bidi w:val="0"/>
              <w:spacing w:before="0" w:after="283"/>
              <w:jc w:val="right"/>
              <w:rPr/>
            </w:pPr>
            <w:r>
              <w:rPr/>
              <w:t> </w:t>
            </w:r>
          </w:p>
        </w:tc>
        <w:tc>
          <w:tcPr>
            <w:tcW w:w="315" w:type="dxa"/>
            <w:tcBorders/>
            <w:vAlign w:val="center"/>
          </w:tcPr>
          <w:p>
            <w:pPr>
              <w:pStyle w:val="TableContents"/>
              <w:bidi w:val="0"/>
              <w:spacing w:before="0" w:after="283"/>
              <w:jc w:val="left"/>
              <w:rPr/>
            </w:pPr>
            <w:r>
              <w:rPr/>
              <w:t> </w:t>
            </w:r>
          </w:p>
        </w:tc>
      </w:tr>
      <w:tr>
        <w:trPr/>
        <w:tc>
          <w:tcPr>
            <w:tcW w:w="4469"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85" w:type="dxa"/>
            <w:tcBorders/>
            <w:shd w:fill="CCEEFF" w:val="clear"/>
            <w:vAlign w:val="center"/>
          </w:tcPr>
          <w:p>
            <w:pPr>
              <w:pStyle w:val="TableContents"/>
              <w:bidi w:val="0"/>
              <w:spacing w:before="0" w:after="283"/>
              <w:jc w:val="right"/>
              <w:rPr/>
            </w:pPr>
            <w:r>
              <w:rPr/>
              <w:t>13,627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w:t>
            </w:r>
          </w:p>
        </w:tc>
        <w:tc>
          <w:tcPr>
            <w:tcW w:w="767"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90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13,627</w:t>
            </w:r>
          </w:p>
        </w:tc>
        <w:tc>
          <w:tcPr>
            <w:tcW w:w="315" w:type="dxa"/>
            <w:tcBorders/>
            <w:shd w:fill="CCEEFF" w:val="clear"/>
            <w:vAlign w:val="center"/>
          </w:tcPr>
          <w:p>
            <w:pPr>
              <w:pStyle w:val="TableContents"/>
              <w:bidi w:val="0"/>
              <w:spacing w:before="0" w:after="283"/>
              <w:jc w:val="left"/>
              <w:rPr/>
            </w:pPr>
            <w:r>
              <w:rPr/>
              <w:t> </w:t>
            </w:r>
          </w:p>
        </w:tc>
      </w:tr>
      <w:tr>
        <w:trPr/>
        <w:tc>
          <w:tcPr>
            <w:tcW w:w="4469"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tcMar>
              <w:bottom w:w="28" w:type="dxa"/>
            </w:tcMar>
            <w:vAlign w:val="center"/>
          </w:tcPr>
          <w:p>
            <w:pPr>
              <w:pStyle w:val="TableContents"/>
              <w:bidi w:val="0"/>
              <w:spacing w:before="0" w:after="283"/>
              <w:jc w:val="right"/>
              <w:rPr/>
            </w:pPr>
            <w:r>
              <w:rPr/>
              <w:t>31,792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tcMar>
              <w:bottom w:w="28" w:type="dxa"/>
            </w:tcMar>
            <w:vAlign w:val="center"/>
          </w:tcPr>
          <w:p>
            <w:pPr>
              <w:pStyle w:val="TableContents"/>
              <w:bidi w:val="0"/>
              <w:spacing w:before="0" w:after="283"/>
              <w:jc w:val="right"/>
              <w:rPr/>
            </w:pPr>
            <w:r>
              <w:rPr/>
              <w:t>(5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31,787</w:t>
            </w:r>
          </w:p>
        </w:tc>
        <w:tc>
          <w:tcPr>
            <w:tcW w:w="315" w:type="dxa"/>
            <w:tcBorders/>
            <w:vAlign w:val="center"/>
          </w:tcPr>
          <w:p>
            <w:pPr>
              <w:pStyle w:val="TableContents"/>
              <w:bidi w:val="0"/>
              <w:spacing w:before="0" w:after="283"/>
              <w:ind w:left="0" w:right="0" w:firstLine="176"/>
              <w:jc w:val="left"/>
              <w:rPr/>
            </w:pPr>
            <w:r>
              <w:rPr/>
              <w:t> </w:t>
            </w:r>
          </w:p>
        </w:tc>
      </w:tr>
      <w:tr>
        <w:trPr/>
        <w:tc>
          <w:tcPr>
            <w:tcW w:w="4469" w:type="dxa"/>
            <w:tcBorders/>
            <w:shd w:fill="CCEEFF" w:val="clear"/>
            <w:vAlign w:val="center"/>
          </w:tcPr>
          <w:p>
            <w:pPr>
              <w:pStyle w:val="TableContents"/>
              <w:bidi w:val="0"/>
              <w:spacing w:before="0" w:after="283"/>
              <w:jc w:val="left"/>
              <w:rPr/>
            </w:pPr>
            <w:r>
              <w:rPr/>
              <w:t>Total cash equivalents</w:t>
            </w:r>
          </w:p>
        </w:tc>
        <w:tc>
          <w:tcPr>
            <w:tcW w:w="9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CCEEFF" w:val="clear"/>
            <w:tcMar>
              <w:bottom w:w="28" w:type="dxa"/>
            </w:tcMar>
            <w:vAlign w:val="center"/>
          </w:tcPr>
          <w:p>
            <w:pPr>
              <w:pStyle w:val="TableContents"/>
              <w:bidi w:val="0"/>
              <w:spacing w:before="0" w:after="283"/>
              <w:jc w:val="right"/>
              <w:rPr/>
            </w:pPr>
            <w:r>
              <w:rPr/>
              <w:t>45,419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45,414</w:t>
            </w:r>
          </w:p>
        </w:tc>
        <w:tc>
          <w:tcPr>
            <w:tcW w:w="315" w:type="dxa"/>
            <w:tcBorders/>
            <w:shd w:fill="CCEEFF" w:val="clear"/>
            <w:vAlign w:val="center"/>
          </w:tcPr>
          <w:p>
            <w:pPr>
              <w:pStyle w:val="TableContents"/>
              <w:bidi w:val="0"/>
              <w:spacing w:before="0" w:after="283"/>
              <w:jc w:val="left"/>
              <w:rPr/>
            </w:pPr>
            <w:r>
              <w:rPr/>
              <w:t> </w:t>
            </w:r>
          </w:p>
        </w:tc>
      </w:tr>
      <w:tr>
        <w:trPr/>
        <w:tc>
          <w:tcPr>
            <w:tcW w:w="4469"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315" w:type="dxa"/>
            <w:tcBorders/>
            <w:vAlign w:val="center"/>
          </w:tcPr>
          <w:p>
            <w:pPr>
              <w:pStyle w:val="TableContents"/>
              <w:bidi w:val="0"/>
              <w:spacing w:before="0" w:after="283"/>
              <w:jc w:val="left"/>
              <w:rPr/>
            </w:pPr>
            <w:r>
              <w:rPr/>
              <w:t> </w:t>
            </w:r>
          </w:p>
        </w:tc>
      </w:tr>
      <w:tr>
        <w:trPr/>
        <w:tc>
          <w:tcPr>
            <w:tcW w:w="4469"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315" w:type="dxa"/>
            <w:tcBorders/>
            <w:shd w:fill="CCEEFF" w:val="clear"/>
            <w:vAlign w:val="center"/>
          </w:tcPr>
          <w:p>
            <w:pPr>
              <w:pStyle w:val="TableContents"/>
              <w:bidi w:val="0"/>
              <w:spacing w:before="0" w:after="283"/>
              <w:jc w:val="left"/>
              <w:rPr/>
            </w:pPr>
            <w:r>
              <w:rPr/>
              <w:t> </w:t>
            </w:r>
          </w:p>
        </w:tc>
      </w:tr>
      <w:tr>
        <w:trPr/>
        <w:tc>
          <w:tcPr>
            <w:tcW w:w="4469"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193,740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right"/>
              <w:rPr/>
            </w:pPr>
            <w:r>
              <w:rPr/>
              <w:t>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(54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193,747</w:t>
            </w:r>
          </w:p>
        </w:tc>
        <w:tc>
          <w:tcPr>
            <w:tcW w:w="315" w:type="dxa"/>
            <w:tcBorders/>
            <w:vAlign w:val="center"/>
          </w:tcPr>
          <w:p>
            <w:pPr>
              <w:pStyle w:val="TableContents"/>
              <w:bidi w:val="0"/>
              <w:spacing w:before="0" w:after="283"/>
              <w:jc w:val="left"/>
              <w:rPr/>
            </w:pPr>
            <w:r>
              <w:rPr/>
              <w:t> </w:t>
            </w:r>
          </w:p>
        </w:tc>
      </w:tr>
      <w:tr>
        <w:trPr/>
        <w:tc>
          <w:tcPr>
            <w:tcW w:w="4469"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26,606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26,607</w:t>
            </w:r>
          </w:p>
        </w:tc>
        <w:tc>
          <w:tcPr>
            <w:tcW w:w="315" w:type="dxa"/>
            <w:tcBorders/>
            <w:shd w:fill="CCEEFF" w:val="clear"/>
            <w:vAlign w:val="center"/>
          </w:tcPr>
          <w:p>
            <w:pPr>
              <w:pStyle w:val="TableContents"/>
              <w:bidi w:val="0"/>
              <w:spacing w:before="0" w:after="283"/>
              <w:jc w:val="left"/>
              <w:rPr/>
            </w:pPr>
            <w:r>
              <w:rPr/>
              <w:t> </w:t>
            </w:r>
          </w:p>
        </w:tc>
      </w:tr>
      <w:tr>
        <w:trPr/>
        <w:tc>
          <w:tcPr>
            <w:tcW w:w="4469"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18,996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18,979</w:t>
            </w:r>
          </w:p>
        </w:tc>
        <w:tc>
          <w:tcPr>
            <w:tcW w:w="315" w:type="dxa"/>
            <w:tcBorders/>
            <w:vAlign w:val="center"/>
          </w:tcPr>
          <w:p>
            <w:pPr>
              <w:pStyle w:val="TableContents"/>
              <w:bidi w:val="0"/>
              <w:spacing w:before="0" w:after="283"/>
              <w:jc w:val="left"/>
              <w:rPr/>
            </w:pPr>
            <w:r>
              <w:rPr/>
              <w:t> </w:t>
            </w:r>
          </w:p>
        </w:tc>
      </w:tr>
      <w:tr>
        <w:trPr/>
        <w:tc>
          <w:tcPr>
            <w:tcW w:w="4469"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CCEEFF" w:val="clear"/>
            <w:tcMar>
              <w:bottom w:w="28" w:type="dxa"/>
            </w:tcMar>
            <w:vAlign w:val="center"/>
          </w:tcPr>
          <w:p>
            <w:pPr>
              <w:pStyle w:val="TableContents"/>
              <w:bidi w:val="0"/>
              <w:spacing w:before="0" w:after="283"/>
              <w:jc w:val="right"/>
              <w:rPr/>
            </w:pPr>
            <w:r>
              <w:rPr/>
              <w:t>100,136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center"/>
          </w:tcPr>
          <w:p>
            <w:pPr>
              <w:pStyle w:val="TableContents"/>
              <w:bidi w:val="0"/>
              <w:spacing w:before="0" w:after="283"/>
              <w:jc w:val="right"/>
              <w:rPr/>
            </w:pPr>
            <w:r>
              <w:rPr/>
              <w:t>(163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99,976</w:t>
            </w:r>
          </w:p>
        </w:tc>
        <w:tc>
          <w:tcPr>
            <w:tcW w:w="315" w:type="dxa"/>
            <w:tcBorders/>
            <w:shd w:fill="CCEEFF" w:val="clear"/>
            <w:vAlign w:val="center"/>
          </w:tcPr>
          <w:p>
            <w:pPr>
              <w:pStyle w:val="TableContents"/>
              <w:bidi w:val="0"/>
              <w:spacing w:before="0" w:after="283"/>
              <w:jc w:val="left"/>
              <w:rPr/>
            </w:pPr>
            <w:r>
              <w:rPr/>
              <w:t> </w:t>
            </w:r>
          </w:p>
        </w:tc>
      </w:tr>
      <w:tr>
        <w:trPr/>
        <w:tc>
          <w:tcPr>
            <w:tcW w:w="4469" w:type="dxa"/>
            <w:tcBorders/>
            <w:vAlign w:val="center"/>
          </w:tcPr>
          <w:p>
            <w:pPr>
              <w:pStyle w:val="TableContents"/>
              <w:bidi w:val="0"/>
              <w:spacing w:before="0" w:after="283"/>
              <w:jc w:val="left"/>
              <w:rPr/>
            </w:pPr>
            <w:r>
              <w:rPr/>
              <w:t>Total marketable securities, current</w:t>
            </w:r>
          </w:p>
        </w:tc>
        <w:tc>
          <w:tcPr>
            <w:tcW w:w="90"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tcMar>
              <w:bottom w:w="28" w:type="dxa"/>
            </w:tcMar>
            <w:vAlign w:val="center"/>
          </w:tcPr>
          <w:p>
            <w:pPr>
              <w:pStyle w:val="TableContents"/>
              <w:bidi w:val="0"/>
              <w:spacing w:before="0" w:after="283"/>
              <w:jc w:val="right"/>
              <w:rPr/>
            </w:pPr>
            <w:r>
              <w:rPr/>
              <w:t>339,478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tcMar>
              <w:bottom w:w="28" w:type="dxa"/>
            </w:tcMar>
            <w:vAlign w:val="center"/>
          </w:tcPr>
          <w:p>
            <w:pPr>
              <w:pStyle w:val="TableContents"/>
              <w:bidi w:val="0"/>
              <w:spacing w:before="0" w:after="283"/>
              <w:jc w:val="right"/>
              <w:rPr/>
            </w:pPr>
            <w:r>
              <w:rPr/>
              <w:t>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tcMar>
              <w:bottom w:w="28" w:type="dxa"/>
            </w:tcMar>
            <w:vAlign w:val="center"/>
          </w:tcPr>
          <w:p>
            <w:pPr>
              <w:pStyle w:val="TableContents"/>
              <w:bidi w:val="0"/>
              <w:spacing w:before="0" w:after="283"/>
              <w:jc w:val="right"/>
              <w:rPr/>
            </w:pPr>
            <w:r>
              <w:rPr/>
              <w:t>(240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339,309</w:t>
            </w:r>
          </w:p>
        </w:tc>
        <w:tc>
          <w:tcPr>
            <w:tcW w:w="315" w:type="dxa"/>
            <w:tcBorders/>
            <w:vAlign w:val="center"/>
          </w:tcPr>
          <w:p>
            <w:pPr>
              <w:pStyle w:val="TableContents"/>
              <w:bidi w:val="0"/>
              <w:spacing w:before="0" w:after="283"/>
              <w:jc w:val="left"/>
              <w:rPr/>
            </w:pPr>
            <w:r>
              <w:rPr/>
              <w:t> </w:t>
            </w:r>
          </w:p>
        </w:tc>
      </w:tr>
      <w:tr>
        <w:trPr/>
        <w:tc>
          <w:tcPr>
            <w:tcW w:w="4469"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315" w:type="dxa"/>
            <w:tcBorders/>
            <w:shd w:fill="CCEEFF" w:val="clear"/>
            <w:vAlign w:val="center"/>
          </w:tcPr>
          <w:p>
            <w:pPr>
              <w:pStyle w:val="TableContents"/>
              <w:bidi w:val="0"/>
              <w:spacing w:before="0" w:after="283"/>
              <w:jc w:val="left"/>
              <w:rPr/>
            </w:pPr>
            <w:r>
              <w:rPr/>
              <w:t> </w:t>
            </w:r>
          </w:p>
        </w:tc>
      </w:tr>
      <w:tr>
        <w:trPr/>
        <w:tc>
          <w:tcPr>
            <w:tcW w:w="4469"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75,530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right"/>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75,332</w:t>
            </w:r>
          </w:p>
        </w:tc>
        <w:tc>
          <w:tcPr>
            <w:tcW w:w="315" w:type="dxa"/>
            <w:tcBorders/>
            <w:vAlign w:val="center"/>
          </w:tcPr>
          <w:p>
            <w:pPr>
              <w:pStyle w:val="TableContents"/>
              <w:bidi w:val="0"/>
              <w:spacing w:before="0" w:after="283"/>
              <w:jc w:val="left"/>
              <w:rPr/>
            </w:pPr>
            <w:r>
              <w:rPr/>
              <w:t> </w:t>
            </w:r>
          </w:p>
        </w:tc>
      </w:tr>
      <w:tr>
        <w:trPr/>
        <w:tc>
          <w:tcPr>
            <w:tcW w:w="4469"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18,994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18,927</w:t>
            </w:r>
          </w:p>
        </w:tc>
        <w:tc>
          <w:tcPr>
            <w:tcW w:w="315" w:type="dxa"/>
            <w:tcBorders/>
            <w:shd w:fill="CCEEFF" w:val="clear"/>
            <w:vAlign w:val="center"/>
          </w:tcPr>
          <w:p>
            <w:pPr>
              <w:pStyle w:val="TableContents"/>
              <w:bidi w:val="0"/>
              <w:spacing w:before="0" w:after="283"/>
              <w:jc w:val="left"/>
              <w:rPr/>
            </w:pPr>
            <w:r>
              <w:rPr/>
              <w:t> </w:t>
            </w:r>
          </w:p>
        </w:tc>
      </w:tr>
      <w:tr>
        <w:trPr/>
        <w:tc>
          <w:tcPr>
            <w:tcW w:w="4469" w:type="dxa"/>
            <w:tcBorders/>
            <w:vAlign w:val="center"/>
          </w:tcPr>
          <w:p>
            <w:pPr>
              <w:pStyle w:val="TableContents"/>
              <w:bidi w:val="0"/>
              <w:spacing w:before="0" w:after="283"/>
              <w:jc w:val="left"/>
              <w:rPr/>
            </w:pPr>
            <w:r>
              <w:rPr/>
              <w:t>U.S. government agency securities</w:t>
            </w:r>
          </w:p>
        </w:tc>
        <w:tc>
          <w:tcPr>
            <w:tcW w:w="90"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tcMar>
              <w:bottom w:w="28" w:type="dxa"/>
            </w:tcMar>
            <w:vAlign w:val="center"/>
          </w:tcPr>
          <w:p>
            <w:pPr>
              <w:pStyle w:val="TableContents"/>
              <w:bidi w:val="0"/>
              <w:spacing w:before="0" w:after="283"/>
              <w:jc w:val="right"/>
              <w:rPr/>
            </w:pPr>
            <w:r>
              <w:rPr/>
              <w:t>12,905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tcMar>
              <w:bottom w:w="28" w:type="dxa"/>
            </w:tcMar>
            <w:vAlign w:val="center"/>
          </w:tcPr>
          <w:p>
            <w:pPr>
              <w:pStyle w:val="TableContents"/>
              <w:bidi w:val="0"/>
              <w:spacing w:before="0" w:after="283"/>
              <w:jc w:val="right"/>
              <w:rPr/>
            </w:pPr>
            <w:r>
              <w:rPr/>
              <w:t>(41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12,864</w:t>
            </w:r>
          </w:p>
        </w:tc>
        <w:tc>
          <w:tcPr>
            <w:tcW w:w="315" w:type="dxa"/>
            <w:tcBorders/>
            <w:vAlign w:val="center"/>
          </w:tcPr>
          <w:p>
            <w:pPr>
              <w:pStyle w:val="TableContents"/>
              <w:bidi w:val="0"/>
              <w:spacing w:before="0" w:after="283"/>
              <w:jc w:val="left"/>
              <w:rPr/>
            </w:pPr>
            <w:r>
              <w:rPr/>
              <w:t> </w:t>
            </w:r>
          </w:p>
        </w:tc>
      </w:tr>
      <w:tr>
        <w:trPr/>
        <w:tc>
          <w:tcPr>
            <w:tcW w:w="4469" w:type="dxa"/>
            <w:tcBorders/>
            <w:shd w:fill="CCEEFF" w:val="clear"/>
            <w:vAlign w:val="center"/>
          </w:tcPr>
          <w:p>
            <w:pPr>
              <w:pStyle w:val="TableContents"/>
              <w:bidi w:val="0"/>
              <w:spacing w:before="0" w:after="283"/>
              <w:jc w:val="left"/>
              <w:rPr/>
            </w:pPr>
            <w:r>
              <w:rPr/>
              <w:t>Total marketable securities, long-term</w:t>
            </w:r>
          </w:p>
        </w:tc>
        <w:tc>
          <w:tcPr>
            <w:tcW w:w="9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CCEEFF" w:val="clear"/>
            <w:tcMar>
              <w:bottom w:w="28" w:type="dxa"/>
            </w:tcMar>
            <w:vAlign w:val="center"/>
          </w:tcPr>
          <w:p>
            <w:pPr>
              <w:pStyle w:val="TableContents"/>
              <w:bidi w:val="0"/>
              <w:spacing w:before="0" w:after="283"/>
              <w:jc w:val="right"/>
              <w:rPr/>
            </w:pPr>
            <w:r>
              <w:rPr/>
              <w:t>107,429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center"/>
          </w:tcPr>
          <w:p>
            <w:pPr>
              <w:pStyle w:val="TableContents"/>
              <w:bidi w:val="0"/>
              <w:spacing w:before="0" w:after="283"/>
              <w:jc w:val="right"/>
              <w:rPr/>
            </w:pPr>
            <w:r>
              <w:rPr/>
              <w:t>(308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107,123</w:t>
            </w:r>
          </w:p>
        </w:tc>
        <w:tc>
          <w:tcPr>
            <w:tcW w:w="315" w:type="dxa"/>
            <w:tcBorders/>
            <w:shd w:fill="CCEEFF" w:val="clear"/>
            <w:vAlign w:val="center"/>
          </w:tcPr>
          <w:p>
            <w:pPr>
              <w:pStyle w:val="TableContents"/>
              <w:bidi w:val="0"/>
              <w:spacing w:before="0" w:after="283"/>
              <w:jc w:val="left"/>
              <w:rPr/>
            </w:pPr>
            <w:r>
              <w:rPr/>
              <w:t> </w:t>
            </w:r>
          </w:p>
        </w:tc>
      </w:tr>
      <w:tr>
        <w:trPr/>
        <w:tc>
          <w:tcPr>
            <w:tcW w:w="4469" w:type="dxa"/>
            <w:tcBorders/>
            <w:vAlign w:val="center"/>
          </w:tcPr>
          <w:p>
            <w:pPr>
              <w:pStyle w:val="TableContents"/>
              <w:bidi w:val="0"/>
              <w:spacing w:before="0" w:after="283"/>
              <w:jc w:val="left"/>
              <w:rPr/>
            </w:pPr>
            <w:r>
              <w:rPr/>
              <w:t>Total cash equivalents and marketable securities</w:t>
            </w:r>
          </w:p>
        </w:tc>
        <w:tc>
          <w:tcPr>
            <w:tcW w:w="90" w:type="dxa"/>
            <w:tcBorders/>
            <w:vAlign w:val="center"/>
          </w:tcPr>
          <w:p>
            <w:pPr>
              <w:pStyle w:val="TableContents"/>
              <w:bidi w:val="0"/>
              <w:spacing w:before="0" w:after="283"/>
              <w:jc w:val="left"/>
              <w:rPr/>
            </w:pPr>
            <w:r>
              <w:rPr/>
              <w:t> </w:t>
            </w:r>
          </w:p>
        </w:tc>
        <w:tc>
          <w:tcPr>
            <w:tcW w:w="201" w:type="dxa"/>
            <w:tcBorders>
              <w:bottom w:val="double" w:sz="10" w:space="0" w:color="000000"/>
            </w:tcBorders>
            <w:tcMar>
              <w:bottom w:w="28" w:type="dxa"/>
            </w:tcMar>
            <w:vAlign w:val="center"/>
          </w:tcPr>
          <w:p>
            <w:pPr>
              <w:pStyle w:val="TableContents"/>
              <w:bidi w:val="0"/>
              <w:spacing w:before="0" w:after="283"/>
              <w:jc w:val="left"/>
              <w:rPr/>
            </w:pPr>
            <w:r>
              <w:rPr/>
              <w:t>$</w:t>
            </w:r>
          </w:p>
        </w:tc>
        <w:tc>
          <w:tcPr>
            <w:tcW w:w="985" w:type="dxa"/>
            <w:tcBorders>
              <w:bottom w:val="double" w:sz="10" w:space="0" w:color="000000"/>
            </w:tcBorders>
            <w:tcMar>
              <w:bottom w:w="28" w:type="dxa"/>
            </w:tcMar>
            <w:vAlign w:val="center"/>
          </w:tcPr>
          <w:p>
            <w:pPr>
              <w:pStyle w:val="TableContents"/>
              <w:bidi w:val="0"/>
              <w:spacing w:before="0" w:after="283"/>
              <w:jc w:val="right"/>
              <w:rPr/>
            </w:pPr>
            <w:r>
              <w:rPr/>
              <w:t>492,326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9" w:type="dxa"/>
            <w:tcBorders>
              <w:bottom w:val="double" w:sz="10" w:space="0" w:color="000000"/>
            </w:tcBorders>
            <w:tcMar>
              <w:bottom w:w="28" w:type="dxa"/>
            </w:tcMar>
            <w:vAlign w:val="center"/>
          </w:tcPr>
          <w:p>
            <w:pPr>
              <w:pStyle w:val="TableContents"/>
              <w:bidi w:val="0"/>
              <w:spacing w:before="0" w:after="283"/>
              <w:jc w:val="left"/>
              <w:rPr/>
            </w:pPr>
            <w:r>
              <w:rPr/>
              <w:t>$</w:t>
            </w:r>
          </w:p>
        </w:tc>
        <w:tc>
          <w:tcPr>
            <w:tcW w:w="767" w:type="dxa"/>
            <w:tcBorders>
              <w:bottom w:val="double" w:sz="10" w:space="0" w:color="000000"/>
            </w:tcBorders>
            <w:tcMar>
              <w:bottom w:w="28" w:type="dxa"/>
            </w:tcMar>
            <w:vAlign w:val="center"/>
          </w:tcPr>
          <w:p>
            <w:pPr>
              <w:pStyle w:val="TableContents"/>
              <w:bidi w:val="0"/>
              <w:spacing w:before="0" w:after="283"/>
              <w:jc w:val="right"/>
              <w:rPr/>
            </w:pPr>
            <w:r>
              <w:rPr/>
              <w:t>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 w:type="dxa"/>
            <w:tcBorders>
              <w:bottom w:val="double" w:sz="10" w:space="0" w:color="000000"/>
            </w:tcBorders>
            <w:tcMar>
              <w:bottom w:w="28" w:type="dxa"/>
            </w:tcMar>
            <w:vAlign w:val="center"/>
          </w:tcPr>
          <w:p>
            <w:pPr>
              <w:pStyle w:val="TableContents"/>
              <w:bidi w:val="0"/>
              <w:spacing w:before="0" w:after="283"/>
              <w:jc w:val="left"/>
              <w:rPr/>
            </w:pPr>
            <w:r>
              <w:rPr/>
              <w:t>$</w:t>
            </w:r>
          </w:p>
        </w:tc>
        <w:tc>
          <w:tcPr>
            <w:tcW w:w="901" w:type="dxa"/>
            <w:tcBorders>
              <w:bottom w:val="double" w:sz="10" w:space="0" w:color="000000"/>
            </w:tcBorders>
            <w:tcMar>
              <w:bottom w:w="28" w:type="dxa"/>
            </w:tcMar>
            <w:vAlign w:val="center"/>
          </w:tcPr>
          <w:p>
            <w:pPr>
              <w:pStyle w:val="TableContents"/>
              <w:bidi w:val="0"/>
              <w:spacing w:before="0" w:after="283"/>
              <w:jc w:val="right"/>
              <w:rPr/>
            </w:pPr>
            <w:r>
              <w:rPr/>
              <w:t>(553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3" w:type="dxa"/>
            <w:tcBorders>
              <w:bottom w:val="double" w:sz="10" w:space="0" w:color="000000"/>
            </w:tcBorders>
            <w:tcMar>
              <w:bottom w:w="28" w:type="dxa"/>
            </w:tcMar>
            <w:vAlign w:val="center"/>
          </w:tcPr>
          <w:p>
            <w:pPr>
              <w:pStyle w:val="TableContents"/>
              <w:bidi w:val="0"/>
              <w:spacing w:before="0" w:after="283"/>
              <w:jc w:val="left"/>
              <w:rPr/>
            </w:pPr>
            <w:r>
              <w:rPr/>
              <w:t>$</w:t>
            </w:r>
          </w:p>
        </w:tc>
        <w:tc>
          <w:tcPr>
            <w:tcW w:w="945" w:type="dxa"/>
            <w:tcBorders>
              <w:bottom w:val="double" w:sz="10" w:space="0" w:color="000000"/>
            </w:tcBorders>
            <w:tcMar>
              <w:bottom w:w="28" w:type="dxa"/>
            </w:tcMar>
            <w:vAlign w:val="center"/>
          </w:tcPr>
          <w:p>
            <w:pPr>
              <w:pStyle w:val="TableContents"/>
              <w:bidi w:val="0"/>
              <w:spacing w:before="0" w:after="283"/>
              <w:jc w:val="right"/>
              <w:rPr/>
            </w:pPr>
            <w:r>
              <w:rPr/>
              <w:t>491,846</w:t>
            </w:r>
          </w:p>
        </w:tc>
        <w:tc>
          <w:tcPr>
            <w:tcW w:w="315" w:type="dxa"/>
            <w:tcBorders/>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69"/>
        <w:gridCol w:w="90"/>
        <w:gridCol w:w="201"/>
        <w:gridCol w:w="985"/>
        <w:gridCol w:w="90"/>
        <w:gridCol w:w="90"/>
        <w:gridCol w:w="356"/>
        <w:gridCol w:w="860"/>
        <w:gridCol w:w="90"/>
        <w:gridCol w:w="90"/>
        <w:gridCol w:w="386"/>
        <w:gridCol w:w="830"/>
        <w:gridCol w:w="125"/>
        <w:gridCol w:w="90"/>
        <w:gridCol w:w="193"/>
        <w:gridCol w:w="945"/>
        <w:gridCol w:w="315"/>
      </w:tblGrid>
      <w:tr>
        <w:trPr/>
        <w:tc>
          <w:tcPr>
            <w:tcW w:w="446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31"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315" w:type="dxa"/>
            <w:tcBorders/>
            <w:vAlign w:val="center"/>
          </w:tcPr>
          <w:p>
            <w:pPr>
              <w:pStyle w:val="TableContents"/>
              <w:bidi w:val="0"/>
              <w:spacing w:before="0" w:after="283"/>
              <w:jc w:val="left"/>
              <w:rPr/>
            </w:pPr>
            <w:r>
              <w:rPr/>
              <w:t> </w:t>
            </w:r>
          </w:p>
        </w:tc>
      </w:tr>
      <w:tr>
        <w:trPr/>
        <w:tc>
          <w:tcPr>
            <w:tcW w:w="446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Amortized </w:t>
              <w:br/>
              <w:t>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Gains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315" w:type="dxa"/>
            <w:tcBorders/>
            <w:vAlign w:val="center"/>
          </w:tcPr>
          <w:p>
            <w:pPr>
              <w:pStyle w:val="TableContents"/>
              <w:bidi w:val="0"/>
              <w:spacing w:before="0" w:after="283"/>
              <w:jc w:val="left"/>
              <w:rPr/>
            </w:pPr>
            <w:r>
              <w:rPr/>
              <w:t> </w:t>
            </w:r>
          </w:p>
        </w:tc>
      </w:tr>
      <w:tr>
        <w:trPr/>
        <w:tc>
          <w:tcPr>
            <w:tcW w:w="4469"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1186"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6"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6"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8" w:type="dxa"/>
            <w:gridSpan w:val="2"/>
            <w:tcBorders/>
            <w:vAlign w:val="center"/>
          </w:tcPr>
          <w:p>
            <w:pPr>
              <w:pStyle w:val="TableContents"/>
              <w:bidi w:val="0"/>
              <w:spacing w:before="0" w:after="283"/>
              <w:jc w:val="right"/>
              <w:rPr/>
            </w:pPr>
            <w:r>
              <w:rPr/>
              <w:t> </w:t>
            </w:r>
          </w:p>
        </w:tc>
        <w:tc>
          <w:tcPr>
            <w:tcW w:w="315" w:type="dxa"/>
            <w:tcBorders/>
            <w:vAlign w:val="center"/>
          </w:tcPr>
          <w:p>
            <w:pPr>
              <w:pStyle w:val="TableContents"/>
              <w:bidi w:val="0"/>
              <w:spacing w:before="0" w:after="283"/>
              <w:jc w:val="left"/>
              <w:rPr/>
            </w:pPr>
            <w:r>
              <w:rPr/>
              <w:t> </w:t>
            </w:r>
          </w:p>
        </w:tc>
      </w:tr>
      <w:tr>
        <w:trPr/>
        <w:tc>
          <w:tcPr>
            <w:tcW w:w="4469"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85" w:type="dxa"/>
            <w:tcBorders/>
            <w:shd w:fill="CCEEFF" w:val="clear"/>
            <w:vAlign w:val="center"/>
          </w:tcPr>
          <w:p>
            <w:pPr>
              <w:pStyle w:val="TableContents"/>
              <w:bidi w:val="0"/>
              <w:spacing w:before="0" w:after="283"/>
              <w:jc w:val="right"/>
              <w:rPr/>
            </w:pPr>
            <w:r>
              <w:rPr/>
              <w:t>30,268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30,268</w:t>
            </w:r>
          </w:p>
        </w:tc>
        <w:tc>
          <w:tcPr>
            <w:tcW w:w="315" w:type="dxa"/>
            <w:tcBorders/>
            <w:shd w:fill="CCEEFF" w:val="clear"/>
            <w:vAlign w:val="center"/>
          </w:tcPr>
          <w:p>
            <w:pPr>
              <w:pStyle w:val="TableContents"/>
              <w:bidi w:val="0"/>
              <w:spacing w:before="0" w:after="283"/>
              <w:jc w:val="left"/>
              <w:rPr/>
            </w:pPr>
            <w:r>
              <w:rPr/>
              <w:t> </w:t>
            </w:r>
          </w:p>
        </w:tc>
      </w:tr>
      <w:tr>
        <w:trPr/>
        <w:tc>
          <w:tcPr>
            <w:tcW w:w="4469"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tcMar>
              <w:bottom w:w="28" w:type="dxa"/>
            </w:tcMar>
            <w:vAlign w:val="center"/>
          </w:tcPr>
          <w:p>
            <w:pPr>
              <w:pStyle w:val="TableContents"/>
              <w:bidi w:val="0"/>
              <w:spacing w:before="0" w:after="283"/>
              <w:jc w:val="right"/>
              <w:rPr/>
            </w:pPr>
            <w:r>
              <w:rPr/>
              <w:t>14,484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6"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6"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14,483</w:t>
            </w:r>
          </w:p>
        </w:tc>
        <w:tc>
          <w:tcPr>
            <w:tcW w:w="315" w:type="dxa"/>
            <w:tcBorders/>
            <w:vAlign w:val="center"/>
          </w:tcPr>
          <w:p>
            <w:pPr>
              <w:pStyle w:val="TableContents"/>
              <w:bidi w:val="0"/>
              <w:spacing w:before="0" w:after="283"/>
              <w:ind w:left="0" w:right="0" w:firstLine="176"/>
              <w:jc w:val="left"/>
              <w:rPr/>
            </w:pPr>
            <w:r>
              <w:rPr/>
              <w:t> </w:t>
            </w:r>
          </w:p>
        </w:tc>
      </w:tr>
      <w:tr>
        <w:trPr/>
        <w:tc>
          <w:tcPr>
            <w:tcW w:w="4469" w:type="dxa"/>
            <w:tcBorders/>
            <w:shd w:fill="CCEEFF" w:val="clear"/>
            <w:vAlign w:val="center"/>
          </w:tcPr>
          <w:p>
            <w:pPr>
              <w:pStyle w:val="TableContents"/>
              <w:bidi w:val="0"/>
              <w:spacing w:before="0" w:after="283"/>
              <w:jc w:val="left"/>
              <w:rPr/>
            </w:pPr>
            <w:r>
              <w:rPr/>
              <w:t>Total cash equivalents</w:t>
            </w:r>
          </w:p>
        </w:tc>
        <w:tc>
          <w:tcPr>
            <w:tcW w:w="9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CCEEFF" w:val="clear"/>
            <w:tcMar>
              <w:bottom w:w="28" w:type="dxa"/>
            </w:tcMar>
            <w:vAlign w:val="center"/>
          </w:tcPr>
          <w:p>
            <w:pPr>
              <w:pStyle w:val="TableContents"/>
              <w:bidi w:val="0"/>
              <w:spacing w:before="0" w:after="283"/>
              <w:jc w:val="right"/>
              <w:rPr/>
            </w:pPr>
            <w:r>
              <w:rPr/>
              <w:t>44,752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44,751</w:t>
            </w:r>
          </w:p>
        </w:tc>
        <w:tc>
          <w:tcPr>
            <w:tcW w:w="315" w:type="dxa"/>
            <w:tcBorders/>
            <w:shd w:fill="CCEEFF" w:val="clear"/>
            <w:vAlign w:val="center"/>
          </w:tcPr>
          <w:p>
            <w:pPr>
              <w:pStyle w:val="TableContents"/>
              <w:bidi w:val="0"/>
              <w:spacing w:before="0" w:after="283"/>
              <w:jc w:val="left"/>
              <w:rPr/>
            </w:pPr>
            <w:r>
              <w:rPr/>
              <w:t> </w:t>
            </w:r>
          </w:p>
        </w:tc>
      </w:tr>
      <w:tr>
        <w:trPr/>
        <w:tc>
          <w:tcPr>
            <w:tcW w:w="4469"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315" w:type="dxa"/>
            <w:tcBorders/>
            <w:vAlign w:val="center"/>
          </w:tcPr>
          <w:p>
            <w:pPr>
              <w:pStyle w:val="TableContents"/>
              <w:bidi w:val="0"/>
              <w:spacing w:before="0" w:after="283"/>
              <w:jc w:val="left"/>
              <w:rPr/>
            </w:pPr>
            <w:r>
              <w:rPr/>
              <w:t> </w:t>
            </w:r>
          </w:p>
        </w:tc>
      </w:tr>
      <w:tr>
        <w:trPr/>
        <w:tc>
          <w:tcPr>
            <w:tcW w:w="4469"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315" w:type="dxa"/>
            <w:tcBorders/>
            <w:shd w:fill="CCEEFF" w:val="clear"/>
            <w:vAlign w:val="center"/>
          </w:tcPr>
          <w:p>
            <w:pPr>
              <w:pStyle w:val="TableContents"/>
              <w:bidi w:val="0"/>
              <w:spacing w:before="0" w:after="283"/>
              <w:jc w:val="left"/>
              <w:rPr/>
            </w:pPr>
            <w:r>
              <w:rPr/>
              <w:t> </w:t>
            </w:r>
          </w:p>
        </w:tc>
      </w:tr>
      <w:tr>
        <w:trPr/>
        <w:tc>
          <w:tcPr>
            <w:tcW w:w="4469"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195,607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308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195,915</w:t>
            </w:r>
          </w:p>
        </w:tc>
        <w:tc>
          <w:tcPr>
            <w:tcW w:w="315" w:type="dxa"/>
            <w:tcBorders/>
            <w:vAlign w:val="center"/>
          </w:tcPr>
          <w:p>
            <w:pPr>
              <w:pStyle w:val="TableContents"/>
              <w:bidi w:val="0"/>
              <w:spacing w:before="0" w:after="283"/>
              <w:jc w:val="left"/>
              <w:rPr/>
            </w:pPr>
            <w:r>
              <w:rPr/>
              <w:t> </w:t>
            </w:r>
          </w:p>
        </w:tc>
      </w:tr>
      <w:tr>
        <w:trPr/>
        <w:tc>
          <w:tcPr>
            <w:tcW w:w="4469"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28,724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28,757</w:t>
            </w:r>
          </w:p>
        </w:tc>
        <w:tc>
          <w:tcPr>
            <w:tcW w:w="315" w:type="dxa"/>
            <w:tcBorders/>
            <w:shd w:fill="CCEEFF" w:val="clear"/>
            <w:vAlign w:val="center"/>
          </w:tcPr>
          <w:p>
            <w:pPr>
              <w:pStyle w:val="TableContents"/>
              <w:bidi w:val="0"/>
              <w:spacing w:before="0" w:after="283"/>
              <w:jc w:val="left"/>
              <w:rPr/>
            </w:pPr>
            <w:r>
              <w:rPr/>
              <w:t> </w:t>
            </w:r>
          </w:p>
        </w:tc>
      </w:tr>
      <w:tr>
        <w:trPr/>
        <w:tc>
          <w:tcPr>
            <w:tcW w:w="4469"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21,239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21,241</w:t>
            </w:r>
          </w:p>
        </w:tc>
        <w:tc>
          <w:tcPr>
            <w:tcW w:w="315" w:type="dxa"/>
            <w:tcBorders/>
            <w:vAlign w:val="center"/>
          </w:tcPr>
          <w:p>
            <w:pPr>
              <w:pStyle w:val="TableContents"/>
              <w:bidi w:val="0"/>
              <w:spacing w:before="0" w:after="283"/>
              <w:jc w:val="left"/>
              <w:rPr/>
            </w:pPr>
            <w:r>
              <w:rPr/>
              <w:t> </w:t>
            </w:r>
          </w:p>
        </w:tc>
      </w:tr>
      <w:tr>
        <w:trPr/>
        <w:tc>
          <w:tcPr>
            <w:tcW w:w="4469"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CCEEFF" w:val="clear"/>
            <w:tcMar>
              <w:bottom w:w="28" w:type="dxa"/>
            </w:tcMar>
            <w:vAlign w:val="center"/>
          </w:tcPr>
          <w:p>
            <w:pPr>
              <w:pStyle w:val="TableContents"/>
              <w:bidi w:val="0"/>
              <w:spacing w:before="0" w:after="283"/>
              <w:jc w:val="right"/>
              <w:rPr/>
            </w:pPr>
            <w:r>
              <w:rPr/>
              <w:t>44,173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pPr>
            <w:r>
              <w:rPr/>
              <w:t>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44,196</w:t>
            </w:r>
          </w:p>
        </w:tc>
        <w:tc>
          <w:tcPr>
            <w:tcW w:w="315" w:type="dxa"/>
            <w:tcBorders/>
            <w:shd w:fill="CCEEFF" w:val="clear"/>
            <w:vAlign w:val="center"/>
          </w:tcPr>
          <w:p>
            <w:pPr>
              <w:pStyle w:val="TableContents"/>
              <w:bidi w:val="0"/>
              <w:spacing w:before="0" w:after="283"/>
              <w:jc w:val="left"/>
              <w:rPr/>
            </w:pPr>
            <w:r>
              <w:rPr/>
              <w:t> </w:t>
            </w:r>
          </w:p>
        </w:tc>
      </w:tr>
      <w:tr>
        <w:trPr/>
        <w:tc>
          <w:tcPr>
            <w:tcW w:w="4469" w:type="dxa"/>
            <w:tcBorders/>
            <w:vAlign w:val="center"/>
          </w:tcPr>
          <w:p>
            <w:pPr>
              <w:pStyle w:val="TableContents"/>
              <w:bidi w:val="0"/>
              <w:spacing w:before="0" w:after="283"/>
              <w:jc w:val="left"/>
              <w:rPr/>
            </w:pPr>
            <w:r>
              <w:rPr/>
              <w:t>Total marketable securities, current</w:t>
            </w:r>
          </w:p>
        </w:tc>
        <w:tc>
          <w:tcPr>
            <w:tcW w:w="90"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tcMar>
              <w:bottom w:w="28" w:type="dxa"/>
            </w:tcMar>
            <w:vAlign w:val="center"/>
          </w:tcPr>
          <w:p>
            <w:pPr>
              <w:pStyle w:val="TableContents"/>
              <w:bidi w:val="0"/>
              <w:spacing w:before="0" w:after="283"/>
              <w:jc w:val="right"/>
              <w:rPr/>
            </w:pPr>
            <w:r>
              <w:rPr/>
              <w:t>289,743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6"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pPr>
            <w:r>
              <w:rPr/>
              <w:t>369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6"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290,109</w:t>
            </w:r>
          </w:p>
        </w:tc>
        <w:tc>
          <w:tcPr>
            <w:tcW w:w="315" w:type="dxa"/>
            <w:tcBorders/>
            <w:vAlign w:val="center"/>
          </w:tcPr>
          <w:p>
            <w:pPr>
              <w:pStyle w:val="TableContents"/>
              <w:bidi w:val="0"/>
              <w:spacing w:before="0" w:after="283"/>
              <w:jc w:val="left"/>
              <w:rPr/>
            </w:pPr>
            <w:r>
              <w:rPr/>
              <w:t> </w:t>
            </w:r>
          </w:p>
        </w:tc>
      </w:tr>
      <w:tr>
        <w:trPr/>
        <w:tc>
          <w:tcPr>
            <w:tcW w:w="4469"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315" w:type="dxa"/>
            <w:tcBorders/>
            <w:shd w:fill="CCEEFF" w:val="clear"/>
            <w:vAlign w:val="center"/>
          </w:tcPr>
          <w:p>
            <w:pPr>
              <w:pStyle w:val="TableContents"/>
              <w:bidi w:val="0"/>
              <w:spacing w:before="0" w:after="283"/>
              <w:jc w:val="left"/>
              <w:rPr/>
            </w:pPr>
            <w:r>
              <w:rPr/>
              <w:t> </w:t>
            </w:r>
          </w:p>
        </w:tc>
      </w:tr>
      <w:tr>
        <w:trPr/>
        <w:tc>
          <w:tcPr>
            <w:tcW w:w="4469"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75,612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75,730</w:t>
            </w:r>
          </w:p>
        </w:tc>
        <w:tc>
          <w:tcPr>
            <w:tcW w:w="315" w:type="dxa"/>
            <w:tcBorders/>
            <w:vAlign w:val="center"/>
          </w:tcPr>
          <w:p>
            <w:pPr>
              <w:pStyle w:val="TableContents"/>
              <w:bidi w:val="0"/>
              <w:spacing w:before="0" w:after="283"/>
              <w:jc w:val="left"/>
              <w:rPr/>
            </w:pPr>
            <w:r>
              <w:rPr/>
              <w:t> </w:t>
            </w:r>
          </w:p>
        </w:tc>
      </w:tr>
      <w:tr>
        <w:trPr/>
        <w:tc>
          <w:tcPr>
            <w:tcW w:w="4469"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54,949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54,998</w:t>
            </w:r>
          </w:p>
        </w:tc>
        <w:tc>
          <w:tcPr>
            <w:tcW w:w="315" w:type="dxa"/>
            <w:tcBorders/>
            <w:shd w:fill="CCEEFF" w:val="clear"/>
            <w:vAlign w:val="center"/>
          </w:tcPr>
          <w:p>
            <w:pPr>
              <w:pStyle w:val="TableContents"/>
              <w:bidi w:val="0"/>
              <w:spacing w:before="0" w:after="283"/>
              <w:jc w:val="left"/>
              <w:rPr/>
            </w:pPr>
            <w:r>
              <w:rPr/>
              <w:t> </w:t>
            </w:r>
          </w:p>
        </w:tc>
      </w:tr>
      <w:tr>
        <w:trPr/>
        <w:tc>
          <w:tcPr>
            <w:tcW w:w="4469" w:type="dxa"/>
            <w:tcBorders/>
            <w:vAlign w:val="center"/>
          </w:tcPr>
          <w:p>
            <w:pPr>
              <w:pStyle w:val="TableContents"/>
              <w:bidi w:val="0"/>
              <w:spacing w:before="0" w:after="283"/>
              <w:jc w:val="left"/>
              <w:rPr/>
            </w:pPr>
            <w:r>
              <w:rPr/>
              <w:t>U.S. government agency securities</w:t>
            </w:r>
          </w:p>
        </w:tc>
        <w:tc>
          <w:tcPr>
            <w:tcW w:w="90"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tcMar>
              <w:bottom w:w="28" w:type="dxa"/>
            </w:tcMar>
            <w:vAlign w:val="center"/>
          </w:tcPr>
          <w:p>
            <w:pPr>
              <w:pStyle w:val="TableContents"/>
              <w:bidi w:val="0"/>
              <w:spacing w:before="0" w:after="283"/>
              <w:jc w:val="right"/>
              <w:rPr/>
            </w:pPr>
            <w:r>
              <w:rPr/>
              <w:t>11,797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6"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pPr>
            <w:r>
              <w:rPr/>
              <w:t>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6"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11,811</w:t>
            </w:r>
          </w:p>
        </w:tc>
        <w:tc>
          <w:tcPr>
            <w:tcW w:w="315" w:type="dxa"/>
            <w:tcBorders/>
            <w:vAlign w:val="center"/>
          </w:tcPr>
          <w:p>
            <w:pPr>
              <w:pStyle w:val="TableContents"/>
              <w:bidi w:val="0"/>
              <w:spacing w:before="0" w:after="283"/>
              <w:jc w:val="left"/>
              <w:rPr/>
            </w:pPr>
            <w:r>
              <w:rPr/>
              <w:t> </w:t>
            </w:r>
          </w:p>
        </w:tc>
      </w:tr>
      <w:tr>
        <w:trPr/>
        <w:tc>
          <w:tcPr>
            <w:tcW w:w="4469" w:type="dxa"/>
            <w:tcBorders/>
            <w:shd w:fill="CCEEFF" w:val="clear"/>
            <w:vAlign w:val="center"/>
          </w:tcPr>
          <w:p>
            <w:pPr>
              <w:pStyle w:val="TableContents"/>
              <w:bidi w:val="0"/>
              <w:spacing w:before="0" w:after="283"/>
              <w:jc w:val="left"/>
              <w:rPr/>
            </w:pPr>
            <w:r>
              <w:rPr/>
              <w:t>Total marketable securities, long-term</w:t>
            </w:r>
          </w:p>
        </w:tc>
        <w:tc>
          <w:tcPr>
            <w:tcW w:w="9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CCEEFF" w:val="clear"/>
            <w:tcMar>
              <w:bottom w:w="28" w:type="dxa"/>
            </w:tcMar>
            <w:vAlign w:val="center"/>
          </w:tcPr>
          <w:p>
            <w:pPr>
              <w:pStyle w:val="TableContents"/>
              <w:bidi w:val="0"/>
              <w:spacing w:before="0" w:after="283"/>
              <w:jc w:val="right"/>
              <w:rPr/>
            </w:pPr>
            <w:r>
              <w:rPr/>
              <w:t>142,358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pPr>
            <w:r>
              <w:rPr/>
              <w:t>187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142,539</w:t>
            </w:r>
          </w:p>
        </w:tc>
        <w:tc>
          <w:tcPr>
            <w:tcW w:w="315" w:type="dxa"/>
            <w:tcBorders/>
            <w:shd w:fill="CCEEFF" w:val="clear"/>
            <w:vAlign w:val="center"/>
          </w:tcPr>
          <w:p>
            <w:pPr>
              <w:pStyle w:val="TableContents"/>
              <w:bidi w:val="0"/>
              <w:spacing w:before="0" w:after="283"/>
              <w:jc w:val="left"/>
              <w:rPr/>
            </w:pPr>
            <w:r>
              <w:rPr/>
              <w:t> </w:t>
            </w:r>
          </w:p>
        </w:tc>
      </w:tr>
      <w:tr>
        <w:trPr/>
        <w:tc>
          <w:tcPr>
            <w:tcW w:w="4469" w:type="dxa"/>
            <w:tcBorders/>
            <w:vAlign w:val="center"/>
          </w:tcPr>
          <w:p>
            <w:pPr>
              <w:pStyle w:val="TableContents"/>
              <w:bidi w:val="0"/>
              <w:spacing w:before="0" w:after="283"/>
              <w:jc w:val="left"/>
              <w:rPr/>
            </w:pPr>
            <w:r>
              <w:rPr/>
              <w:t>Total cash equivalents and marketable securities</w:t>
            </w:r>
          </w:p>
        </w:tc>
        <w:tc>
          <w:tcPr>
            <w:tcW w:w="90" w:type="dxa"/>
            <w:tcBorders/>
            <w:vAlign w:val="center"/>
          </w:tcPr>
          <w:p>
            <w:pPr>
              <w:pStyle w:val="TableContents"/>
              <w:bidi w:val="0"/>
              <w:spacing w:before="0" w:after="283"/>
              <w:jc w:val="left"/>
              <w:rPr/>
            </w:pPr>
            <w:r>
              <w:rPr/>
              <w:t> </w:t>
            </w:r>
          </w:p>
        </w:tc>
        <w:tc>
          <w:tcPr>
            <w:tcW w:w="201" w:type="dxa"/>
            <w:tcBorders>
              <w:bottom w:val="double" w:sz="10" w:space="0" w:color="000000"/>
            </w:tcBorders>
            <w:tcMar>
              <w:bottom w:w="28" w:type="dxa"/>
            </w:tcMar>
            <w:vAlign w:val="center"/>
          </w:tcPr>
          <w:p>
            <w:pPr>
              <w:pStyle w:val="TableContents"/>
              <w:bidi w:val="0"/>
              <w:spacing w:before="0" w:after="283"/>
              <w:jc w:val="left"/>
              <w:rPr/>
            </w:pPr>
            <w:r>
              <w:rPr/>
              <w:t>$</w:t>
            </w:r>
          </w:p>
        </w:tc>
        <w:tc>
          <w:tcPr>
            <w:tcW w:w="985" w:type="dxa"/>
            <w:tcBorders>
              <w:bottom w:val="double" w:sz="10" w:space="0" w:color="000000"/>
            </w:tcBorders>
            <w:tcMar>
              <w:bottom w:w="28" w:type="dxa"/>
            </w:tcMar>
            <w:vAlign w:val="center"/>
          </w:tcPr>
          <w:p>
            <w:pPr>
              <w:pStyle w:val="TableContents"/>
              <w:bidi w:val="0"/>
              <w:spacing w:before="0" w:after="283"/>
              <w:jc w:val="right"/>
              <w:rPr/>
            </w:pPr>
            <w:r>
              <w:rPr/>
              <w:t>476,853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6" w:type="dxa"/>
            <w:tcBorders>
              <w:bottom w:val="double" w:sz="10" w:space="0" w:color="000000"/>
            </w:tcBorders>
            <w:tcMar>
              <w:bottom w:w="28" w:type="dxa"/>
            </w:tcMar>
            <w:vAlign w:val="center"/>
          </w:tcPr>
          <w:p>
            <w:pPr>
              <w:pStyle w:val="TableContents"/>
              <w:bidi w:val="0"/>
              <w:spacing w:before="0" w:after="283"/>
              <w:jc w:val="left"/>
              <w:rPr/>
            </w:pPr>
            <w:r>
              <w:rPr/>
              <w:t>$</w:t>
            </w:r>
          </w:p>
        </w:tc>
        <w:tc>
          <w:tcPr>
            <w:tcW w:w="860" w:type="dxa"/>
            <w:tcBorders>
              <w:bottom w:val="double" w:sz="10" w:space="0" w:color="000000"/>
            </w:tcBorders>
            <w:tcMar>
              <w:bottom w:w="28" w:type="dxa"/>
            </w:tcMar>
            <w:vAlign w:val="center"/>
          </w:tcPr>
          <w:p>
            <w:pPr>
              <w:pStyle w:val="TableContents"/>
              <w:bidi w:val="0"/>
              <w:spacing w:before="0" w:after="283"/>
              <w:jc w:val="right"/>
              <w:rPr/>
            </w:pPr>
            <w:r>
              <w:rPr/>
              <w:t>556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6"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3" w:type="dxa"/>
            <w:tcBorders>
              <w:bottom w:val="double" w:sz="10" w:space="0" w:color="000000"/>
            </w:tcBorders>
            <w:tcMar>
              <w:bottom w:w="28" w:type="dxa"/>
            </w:tcMar>
            <w:vAlign w:val="center"/>
          </w:tcPr>
          <w:p>
            <w:pPr>
              <w:pStyle w:val="TableContents"/>
              <w:bidi w:val="0"/>
              <w:spacing w:before="0" w:after="283"/>
              <w:jc w:val="left"/>
              <w:rPr/>
            </w:pPr>
            <w:r>
              <w:rPr/>
              <w:t>$</w:t>
            </w:r>
          </w:p>
        </w:tc>
        <w:tc>
          <w:tcPr>
            <w:tcW w:w="945" w:type="dxa"/>
            <w:tcBorders>
              <w:bottom w:val="double" w:sz="10" w:space="0" w:color="000000"/>
            </w:tcBorders>
            <w:tcMar>
              <w:bottom w:w="28" w:type="dxa"/>
            </w:tcMar>
            <w:vAlign w:val="center"/>
          </w:tcPr>
          <w:p>
            <w:pPr>
              <w:pStyle w:val="TableContents"/>
              <w:bidi w:val="0"/>
              <w:spacing w:before="0" w:after="283"/>
              <w:jc w:val="right"/>
              <w:rPr/>
            </w:pPr>
            <w:r>
              <w:rPr/>
              <w:t>477,399</w:t>
            </w:r>
          </w:p>
        </w:tc>
        <w:tc>
          <w:tcPr>
            <w:tcW w:w="31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available-for-sale securities in an unrealized loss position, aggregated by major security type and length of time in a continuous unrealized loss position, for which an allowance for credit losses was not recorded as of March 31, 2026 and December 31, 2025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2"/>
        <w:gridCol w:w="90"/>
        <w:gridCol w:w="183"/>
        <w:gridCol w:w="897"/>
        <w:gridCol w:w="97"/>
        <w:gridCol w:w="97"/>
        <w:gridCol w:w="308"/>
        <w:gridCol w:w="881"/>
        <w:gridCol w:w="125"/>
        <w:gridCol w:w="90"/>
        <w:gridCol w:w="373"/>
        <w:gridCol w:w="525"/>
        <w:gridCol w:w="130"/>
        <w:gridCol w:w="130"/>
        <w:gridCol w:w="439"/>
        <w:gridCol w:w="750"/>
        <w:gridCol w:w="90"/>
        <w:gridCol w:w="90"/>
        <w:gridCol w:w="182"/>
        <w:gridCol w:w="890"/>
        <w:gridCol w:w="90"/>
        <w:gridCol w:w="90"/>
        <w:gridCol w:w="308"/>
        <w:gridCol w:w="881"/>
        <w:gridCol w:w="177"/>
      </w:tblGrid>
      <w:tr>
        <w:trPr/>
        <w:tc>
          <w:tcPr>
            <w:tcW w:w="22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46"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177" w:type="dxa"/>
            <w:tcBorders/>
            <w:vAlign w:val="center"/>
          </w:tcPr>
          <w:p>
            <w:pPr>
              <w:pStyle w:val="TableContents"/>
              <w:bidi w:val="0"/>
              <w:spacing w:before="0" w:after="283"/>
              <w:jc w:val="left"/>
              <w:rPr/>
            </w:pPr>
            <w:r>
              <w:rPr/>
              <w:t> </w:t>
            </w:r>
          </w:p>
        </w:tc>
      </w:tr>
      <w:tr>
        <w:trPr/>
        <w:tc>
          <w:tcPr>
            <w:tcW w:w="22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Less than 12 months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12 months or longer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7" w:type="dxa"/>
            <w:tcBorders/>
            <w:vAlign w:val="center"/>
          </w:tcPr>
          <w:p>
            <w:pPr>
              <w:pStyle w:val="TableContents"/>
              <w:bidi w:val="0"/>
              <w:spacing w:before="0" w:after="283"/>
              <w:jc w:val="left"/>
              <w:rPr/>
            </w:pPr>
            <w:r>
              <w:rPr/>
              <w:t> </w:t>
            </w:r>
          </w:p>
        </w:tc>
      </w:tr>
      <w:tr>
        <w:trPr/>
        <w:tc>
          <w:tcPr>
            <w:tcW w:w="22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Unrealized </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Unrealized </w:t>
              <w:br/>
              <w:t>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Unrealized </w:t>
              <w:br/>
              <w:t>Losses</w:t>
            </w:r>
          </w:p>
        </w:tc>
        <w:tc>
          <w:tcPr>
            <w:tcW w:w="177" w:type="dxa"/>
            <w:tcBorders/>
            <w:vAlign w:val="center"/>
          </w:tcPr>
          <w:p>
            <w:pPr>
              <w:pStyle w:val="TableContents"/>
              <w:bidi w:val="0"/>
              <w:spacing w:before="0" w:after="283"/>
              <w:jc w:val="left"/>
              <w:rPr/>
            </w:pPr>
            <w:r>
              <w:rPr/>
              <w:t> </w:t>
            </w:r>
          </w:p>
        </w:tc>
      </w:tr>
      <w:tr>
        <w:trPr/>
        <w:tc>
          <w:tcPr>
            <w:tcW w:w="2292"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1080"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8" w:type="dxa"/>
            <w:gridSpan w:val="2"/>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2"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r>
      <w:tr>
        <w:trPr/>
        <w:tc>
          <w:tcPr>
            <w:tcW w:w="2292" w:type="dxa"/>
            <w:tcBorders/>
            <w:shd w:fill="CCEEFF" w:val="clear"/>
            <w:vAlign w:val="center"/>
          </w:tcPr>
          <w:p>
            <w:pPr>
              <w:pStyle w:val="TableContents"/>
              <w:bidi w:val="0"/>
              <w:spacing w:before="0" w:after="283"/>
              <w:jc w:val="left"/>
              <w:rPr/>
            </w:pPr>
            <w:r>
              <w:rPr/>
              <w:t>Commercial papers</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31,787</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881" w:type="dxa"/>
            <w:tcBorders/>
            <w:shd w:fill="CCEEFF" w:val="clear"/>
            <w:vAlign w:val="center"/>
          </w:tcPr>
          <w:p>
            <w:pPr>
              <w:pStyle w:val="TableContents"/>
              <w:bidi w:val="0"/>
              <w:spacing w:before="0" w:after="283"/>
              <w:jc w:val="right"/>
              <w:rPr/>
            </w:pPr>
            <w:r>
              <w:rPr/>
              <w:t>(5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w:t>
            </w:r>
          </w:p>
        </w:tc>
        <w:tc>
          <w:tcPr>
            <w:tcW w:w="525" w:type="dxa"/>
            <w:tcBorders/>
            <w:shd w:fill="CCEEFF" w:val="clear"/>
            <w:vAlign w:val="center"/>
          </w:tcPr>
          <w:p>
            <w:pPr>
              <w:pStyle w:val="TableContents"/>
              <w:bidi w:val="0"/>
              <w:spacing w:before="0" w:after="0"/>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31,787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881" w:type="dxa"/>
            <w:tcBorders/>
            <w:shd w:fill="CCEEFF" w:val="clear"/>
            <w:vAlign w:val="center"/>
          </w:tcPr>
          <w:p>
            <w:pPr>
              <w:pStyle w:val="TableContents"/>
              <w:bidi w:val="0"/>
              <w:spacing w:before="0" w:after="283"/>
              <w:jc w:val="right"/>
              <w:rPr/>
            </w:pPr>
            <w:r>
              <w:rPr/>
              <w:t>(5</w:t>
            </w:r>
          </w:p>
        </w:tc>
        <w:tc>
          <w:tcPr>
            <w:tcW w:w="177" w:type="dxa"/>
            <w:tcBorders/>
            <w:shd w:fill="CCEEFF" w:val="clear"/>
            <w:vAlign w:val="center"/>
          </w:tcPr>
          <w:p>
            <w:pPr>
              <w:pStyle w:val="TableContents"/>
              <w:bidi w:val="0"/>
              <w:spacing w:before="0" w:after="283"/>
              <w:jc w:val="left"/>
              <w:rPr/>
            </w:pPr>
            <w:r>
              <w:rPr/>
              <w:t>)</w:t>
            </w:r>
          </w:p>
        </w:tc>
      </w:tr>
      <w:tr>
        <w:trPr/>
        <w:tc>
          <w:tcPr>
            <w:tcW w:w="2292"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r>
      <w:tr>
        <w:trPr/>
        <w:tc>
          <w:tcPr>
            <w:tcW w:w="2292"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2292"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89,012</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(54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0"/>
              <w:jc w:val="right"/>
              <w:rPr/>
            </w:pPr>
            <w:r>
              <w:rPr/>
              <w:t>—</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89,012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(54</w:t>
            </w:r>
          </w:p>
        </w:tc>
        <w:tc>
          <w:tcPr>
            <w:tcW w:w="177" w:type="dxa"/>
            <w:tcBorders/>
            <w:vAlign w:val="center"/>
          </w:tcPr>
          <w:p>
            <w:pPr>
              <w:pStyle w:val="TableContents"/>
              <w:bidi w:val="0"/>
              <w:spacing w:before="0" w:after="283"/>
              <w:jc w:val="left"/>
              <w:rPr/>
            </w:pPr>
            <w:r>
              <w:rPr/>
              <w:t>)</w:t>
            </w:r>
          </w:p>
        </w:tc>
      </w:tr>
      <w:tr>
        <w:trPr/>
        <w:tc>
          <w:tcPr>
            <w:tcW w:w="2292"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12,454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0"/>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12,454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(6</w:t>
            </w:r>
          </w:p>
        </w:tc>
        <w:tc>
          <w:tcPr>
            <w:tcW w:w="177" w:type="dxa"/>
            <w:tcBorders/>
            <w:shd w:fill="CCEEFF" w:val="clear"/>
            <w:vAlign w:val="center"/>
          </w:tcPr>
          <w:p>
            <w:pPr>
              <w:pStyle w:val="TableContents"/>
              <w:bidi w:val="0"/>
              <w:spacing w:before="0" w:after="283"/>
              <w:jc w:val="left"/>
              <w:rPr/>
            </w:pPr>
            <w:r>
              <w:rPr/>
              <w:t>)</w:t>
            </w:r>
          </w:p>
        </w:tc>
      </w:tr>
      <w:tr>
        <w:trPr/>
        <w:tc>
          <w:tcPr>
            <w:tcW w:w="2292"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18,979</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0"/>
              <w:jc w:val="right"/>
              <w:rPr/>
            </w:pPr>
            <w:r>
              <w:rPr/>
              <w:t>—</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18,979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(17</w:t>
            </w:r>
          </w:p>
        </w:tc>
        <w:tc>
          <w:tcPr>
            <w:tcW w:w="177" w:type="dxa"/>
            <w:tcBorders/>
            <w:vAlign w:val="center"/>
          </w:tcPr>
          <w:p>
            <w:pPr>
              <w:pStyle w:val="TableContents"/>
              <w:bidi w:val="0"/>
              <w:spacing w:before="0" w:after="283"/>
              <w:jc w:val="left"/>
              <w:rPr/>
            </w:pPr>
            <w:r>
              <w:rPr/>
              <w:t>)</w:t>
            </w:r>
          </w:p>
        </w:tc>
      </w:tr>
      <w:tr>
        <w:trPr/>
        <w:tc>
          <w:tcPr>
            <w:tcW w:w="2292"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91,371</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(163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0"/>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91,371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(163</w:t>
            </w:r>
          </w:p>
        </w:tc>
        <w:tc>
          <w:tcPr>
            <w:tcW w:w="177" w:type="dxa"/>
            <w:tcBorders/>
            <w:shd w:fill="CCEEFF" w:val="clear"/>
            <w:vAlign w:val="center"/>
          </w:tcPr>
          <w:p>
            <w:pPr>
              <w:pStyle w:val="TableContents"/>
              <w:bidi w:val="0"/>
              <w:spacing w:before="0" w:after="283"/>
              <w:jc w:val="left"/>
              <w:rPr/>
            </w:pPr>
            <w:r>
              <w:rPr/>
              <w:t>)</w:t>
            </w:r>
          </w:p>
        </w:tc>
      </w:tr>
      <w:tr>
        <w:trPr/>
        <w:tc>
          <w:tcPr>
            <w:tcW w:w="2292" w:type="dxa"/>
            <w:tcBorders/>
            <w:vAlign w:val="center"/>
          </w:tcPr>
          <w:p>
            <w:pPr>
              <w:pStyle w:val="TableContents"/>
              <w:bidi w:val="0"/>
              <w:spacing w:before="0" w:after="283"/>
              <w:jc w:val="left"/>
              <w:rPr/>
            </w:pPr>
            <w:r>
              <w:rPr/>
              <w:t>Marketable securities, long-term</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r>
      <w:tr>
        <w:trPr/>
        <w:tc>
          <w:tcPr>
            <w:tcW w:w="2292" w:type="dxa"/>
            <w:tcBorders/>
            <w:shd w:fill="CCEEFF" w:val="clear"/>
            <w:vAlign w:val="center"/>
          </w:tcPr>
          <w:p>
            <w:pPr>
              <w:pStyle w:val="TableContents"/>
              <w:bidi w:val="0"/>
              <w:spacing w:before="0" w:after="283"/>
              <w:jc w:val="left"/>
              <w:rPr/>
            </w:pPr>
            <w:r>
              <w:rPr/>
              <w:t>U.S. treasury securities</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73,325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(200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0"/>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73,325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(200</w:t>
            </w:r>
          </w:p>
        </w:tc>
        <w:tc>
          <w:tcPr>
            <w:tcW w:w="177" w:type="dxa"/>
            <w:tcBorders/>
            <w:shd w:fill="CCEEFF" w:val="clear"/>
            <w:vAlign w:val="center"/>
          </w:tcPr>
          <w:p>
            <w:pPr>
              <w:pStyle w:val="TableContents"/>
              <w:bidi w:val="0"/>
              <w:spacing w:before="0" w:after="283"/>
              <w:jc w:val="left"/>
              <w:rPr/>
            </w:pPr>
            <w:r>
              <w:rPr/>
              <w:t>)</w:t>
            </w:r>
          </w:p>
        </w:tc>
      </w:tr>
      <w:tr>
        <w:trPr/>
        <w:tc>
          <w:tcPr>
            <w:tcW w:w="2292" w:type="dxa"/>
            <w:tcBorders/>
            <w:vAlign w:val="center"/>
          </w:tcPr>
          <w:p>
            <w:pPr>
              <w:pStyle w:val="TableContents"/>
              <w:bidi w:val="0"/>
              <w:spacing w:before="0" w:after="283"/>
              <w:jc w:val="left"/>
              <w:rPr/>
            </w:pPr>
            <w:r>
              <w:rPr/>
              <w:t>Corporate debt securities</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18,927</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(67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0"/>
              <w:jc w:val="right"/>
              <w:rPr/>
            </w:pPr>
            <w:r>
              <w:rPr/>
              <w:t>—</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18,927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(67</w:t>
            </w:r>
          </w:p>
        </w:tc>
        <w:tc>
          <w:tcPr>
            <w:tcW w:w="177" w:type="dxa"/>
            <w:tcBorders/>
            <w:vAlign w:val="center"/>
          </w:tcPr>
          <w:p>
            <w:pPr>
              <w:pStyle w:val="TableContents"/>
              <w:bidi w:val="0"/>
              <w:spacing w:before="0" w:after="283"/>
              <w:jc w:val="left"/>
              <w:rPr/>
            </w:pPr>
            <w:r>
              <w:rPr/>
              <w:t>)</w:t>
            </w:r>
          </w:p>
        </w:tc>
      </w:tr>
      <w:tr>
        <w:trPr/>
        <w:tc>
          <w:tcPr>
            <w:tcW w:w="2292"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12,864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3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1" w:type="dxa"/>
            <w:tcBorders>
              <w:bottom w:val="single" w:sz="12" w:space="0" w:color="000000"/>
            </w:tcBorders>
            <w:shd w:fill="CCEEFF" w:val="clear"/>
            <w:tcMar>
              <w:bottom w:w="28" w:type="dxa"/>
            </w:tcMar>
            <w:vAlign w:val="center"/>
          </w:tcPr>
          <w:p>
            <w:pPr>
              <w:pStyle w:val="TableContents"/>
              <w:bidi w:val="0"/>
              <w:spacing w:before="0" w:after="283"/>
              <w:jc w:val="right"/>
              <w:rPr/>
            </w:pPr>
            <w:r>
              <w:rPr/>
              <w:t>(41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12,864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1" w:type="dxa"/>
            <w:tcBorders>
              <w:bottom w:val="single" w:sz="12" w:space="0" w:color="000000"/>
            </w:tcBorders>
            <w:shd w:fill="CCEEFF" w:val="clear"/>
            <w:tcMar>
              <w:bottom w:w="28" w:type="dxa"/>
            </w:tcMar>
            <w:vAlign w:val="center"/>
          </w:tcPr>
          <w:p>
            <w:pPr>
              <w:pStyle w:val="TableContents"/>
              <w:bidi w:val="0"/>
              <w:spacing w:before="0" w:after="283"/>
              <w:jc w:val="right"/>
              <w:rPr/>
            </w:pPr>
            <w:r>
              <w:rPr/>
              <w:t>(41</w:t>
            </w:r>
          </w:p>
        </w:tc>
        <w:tc>
          <w:tcPr>
            <w:tcW w:w="177" w:type="dxa"/>
            <w:tcBorders/>
            <w:shd w:fill="CCEEFF" w:val="clear"/>
            <w:vAlign w:val="center"/>
          </w:tcPr>
          <w:p>
            <w:pPr>
              <w:pStyle w:val="TableContents"/>
              <w:bidi w:val="0"/>
              <w:spacing w:before="0" w:after="283"/>
              <w:jc w:val="left"/>
              <w:rPr/>
            </w:pPr>
            <w:r>
              <w:rPr/>
              <w:t>)</w:t>
            </w:r>
          </w:p>
        </w:tc>
      </w:tr>
      <w:tr>
        <w:trPr/>
        <w:tc>
          <w:tcPr>
            <w:tcW w:w="2292"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83" w:type="dxa"/>
            <w:tcBorders>
              <w:bottom w:val="double" w:sz="10" w:space="0" w:color="000000"/>
            </w:tcBorders>
            <w:tcMar>
              <w:bottom w:w="28" w:type="dxa"/>
            </w:tcMar>
            <w:vAlign w:val="center"/>
          </w:tcPr>
          <w:p>
            <w:pPr>
              <w:pStyle w:val="TableContents"/>
              <w:bidi w:val="0"/>
              <w:spacing w:before="0" w:after="283"/>
              <w:jc w:val="left"/>
              <w:rPr/>
            </w:pPr>
            <w:r>
              <w:rPr/>
              <w:t>$</w:t>
            </w:r>
          </w:p>
        </w:tc>
        <w:tc>
          <w:tcPr>
            <w:tcW w:w="897" w:type="dxa"/>
            <w:tcBorders>
              <w:bottom w:val="double" w:sz="10" w:space="0" w:color="000000"/>
            </w:tcBorders>
            <w:tcMar>
              <w:bottom w:w="28" w:type="dxa"/>
            </w:tcMar>
            <w:vAlign w:val="center"/>
          </w:tcPr>
          <w:p>
            <w:pPr>
              <w:pStyle w:val="TableContents"/>
              <w:bidi w:val="0"/>
              <w:spacing w:before="0" w:after="283"/>
              <w:jc w:val="right"/>
              <w:rPr/>
            </w:pPr>
            <w:r>
              <w:rPr/>
              <w:t>348,719</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308" w:type="dxa"/>
            <w:tcBorders>
              <w:bottom w:val="double" w:sz="10" w:space="0" w:color="000000"/>
            </w:tcBorders>
            <w:tcMar>
              <w:bottom w:w="28" w:type="dxa"/>
            </w:tcMar>
            <w:vAlign w:val="center"/>
          </w:tcPr>
          <w:p>
            <w:pPr>
              <w:pStyle w:val="TableContents"/>
              <w:bidi w:val="0"/>
              <w:spacing w:before="0" w:after="283"/>
              <w:jc w:val="left"/>
              <w:rPr/>
            </w:pPr>
            <w:r>
              <w:rPr/>
              <w:t>$</w:t>
            </w:r>
          </w:p>
        </w:tc>
        <w:tc>
          <w:tcPr>
            <w:tcW w:w="881" w:type="dxa"/>
            <w:tcBorders>
              <w:bottom w:val="double" w:sz="10" w:space="0" w:color="000000"/>
            </w:tcBorders>
            <w:tcMar>
              <w:bottom w:w="28" w:type="dxa"/>
            </w:tcMar>
            <w:vAlign w:val="center"/>
          </w:tcPr>
          <w:p>
            <w:pPr>
              <w:pStyle w:val="TableContents"/>
              <w:bidi w:val="0"/>
              <w:spacing w:before="0" w:after="283"/>
              <w:jc w:val="right"/>
              <w:rPr/>
            </w:pPr>
            <w:r>
              <w:rPr/>
              <w:t>(553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73" w:type="dxa"/>
            <w:tcBorders>
              <w:bottom w:val="double" w:sz="10" w:space="0" w:color="000000"/>
            </w:tcBorders>
            <w:tcMar>
              <w:bottom w:w="28" w:type="dxa"/>
            </w:tcMar>
            <w:vAlign w:val="center"/>
          </w:tcPr>
          <w:p>
            <w:pPr>
              <w:pStyle w:val="TableContents"/>
              <w:bidi w:val="0"/>
              <w:spacing w:before="0" w:after="283"/>
              <w:jc w:val="left"/>
              <w:rPr/>
            </w:pPr>
            <w:r>
              <w:rPr/>
              <w:t>$</w:t>
            </w:r>
          </w:p>
        </w:tc>
        <w:tc>
          <w:tcPr>
            <w:tcW w:w="525" w:type="dxa"/>
            <w:tcBorders>
              <w:bottom w:val="double" w:sz="10" w:space="0" w:color="000000"/>
            </w:tcBorders>
            <w:tcMar>
              <w:bottom w:w="28" w:type="dxa"/>
            </w:tcMar>
            <w:vAlign w:val="center"/>
          </w:tcPr>
          <w:p>
            <w:pPr>
              <w:pStyle w:val="TableContents"/>
              <w:bidi w:val="0"/>
              <w:spacing w:before="0" w:after="0"/>
              <w:jc w:val="right"/>
              <w:rPr/>
            </w:pPr>
            <w:r>
              <w:rPr/>
              <w:t>—</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439" w:type="dxa"/>
            <w:tcBorders>
              <w:bottom w:val="double" w:sz="10" w:space="0" w:color="000000"/>
            </w:tcBorders>
            <w:tcMar>
              <w:bottom w:w="28" w:type="dxa"/>
            </w:tcMar>
            <w:vAlign w:val="center"/>
          </w:tcPr>
          <w:p>
            <w:pPr>
              <w:pStyle w:val="TableContents"/>
              <w:bidi w:val="0"/>
              <w:spacing w:before="0" w:after="283"/>
              <w:jc w:val="left"/>
              <w:rPr/>
            </w:pPr>
            <w:r>
              <w:rPr/>
              <w:t>$</w:t>
            </w:r>
          </w:p>
        </w:tc>
        <w:tc>
          <w:tcPr>
            <w:tcW w:w="750"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bottom w:val="double" w:sz="10" w:space="0" w:color="000000"/>
            </w:tcBorders>
            <w:tcMar>
              <w:bottom w:w="28" w:type="dxa"/>
            </w:tcMar>
            <w:vAlign w:val="center"/>
          </w:tcPr>
          <w:p>
            <w:pPr>
              <w:pStyle w:val="TableContents"/>
              <w:bidi w:val="0"/>
              <w:spacing w:before="0" w:after="283"/>
              <w:jc w:val="left"/>
              <w:rPr/>
            </w:pPr>
            <w:r>
              <w:rPr/>
              <w:t>$</w:t>
            </w:r>
          </w:p>
        </w:tc>
        <w:tc>
          <w:tcPr>
            <w:tcW w:w="890" w:type="dxa"/>
            <w:tcBorders>
              <w:bottom w:val="double" w:sz="10" w:space="0" w:color="000000"/>
            </w:tcBorders>
            <w:tcMar>
              <w:bottom w:w="28" w:type="dxa"/>
            </w:tcMar>
            <w:vAlign w:val="center"/>
          </w:tcPr>
          <w:p>
            <w:pPr>
              <w:pStyle w:val="TableContents"/>
              <w:bidi w:val="0"/>
              <w:spacing w:before="0" w:after="283"/>
              <w:jc w:val="right"/>
              <w:rPr/>
            </w:pPr>
            <w:r>
              <w:rPr/>
              <w:t>348,719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8" w:type="dxa"/>
            <w:tcBorders>
              <w:bottom w:val="double" w:sz="10" w:space="0" w:color="000000"/>
            </w:tcBorders>
            <w:tcMar>
              <w:bottom w:w="28" w:type="dxa"/>
            </w:tcMar>
            <w:vAlign w:val="center"/>
          </w:tcPr>
          <w:p>
            <w:pPr>
              <w:pStyle w:val="TableContents"/>
              <w:bidi w:val="0"/>
              <w:spacing w:before="0" w:after="283"/>
              <w:jc w:val="left"/>
              <w:rPr/>
            </w:pPr>
            <w:r>
              <w:rPr/>
              <w:t>$</w:t>
            </w:r>
          </w:p>
        </w:tc>
        <w:tc>
          <w:tcPr>
            <w:tcW w:w="881" w:type="dxa"/>
            <w:tcBorders>
              <w:bottom w:val="double" w:sz="10" w:space="0" w:color="000000"/>
            </w:tcBorders>
            <w:tcMar>
              <w:bottom w:w="28" w:type="dxa"/>
            </w:tcMar>
            <w:vAlign w:val="center"/>
          </w:tcPr>
          <w:p>
            <w:pPr>
              <w:pStyle w:val="TableContents"/>
              <w:bidi w:val="0"/>
              <w:spacing w:before="0" w:after="283"/>
              <w:jc w:val="right"/>
              <w:rPr/>
            </w:pPr>
            <w:r>
              <w:rPr/>
              <w:t>(553</w:t>
            </w:r>
          </w:p>
        </w:tc>
        <w:tc>
          <w:tcPr>
            <w:tcW w:w="177"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0"/>
        <w:gridCol w:w="90"/>
        <w:gridCol w:w="202"/>
        <w:gridCol w:w="846"/>
        <w:gridCol w:w="107"/>
        <w:gridCol w:w="107"/>
        <w:gridCol w:w="378"/>
        <w:gridCol w:w="814"/>
        <w:gridCol w:w="125"/>
        <w:gridCol w:w="90"/>
        <w:gridCol w:w="380"/>
        <w:gridCol w:w="551"/>
        <w:gridCol w:w="136"/>
        <w:gridCol w:w="136"/>
        <w:gridCol w:w="440"/>
        <w:gridCol w:w="753"/>
        <w:gridCol w:w="90"/>
        <w:gridCol w:w="90"/>
        <w:gridCol w:w="199"/>
        <w:gridCol w:w="831"/>
        <w:gridCol w:w="90"/>
        <w:gridCol w:w="90"/>
        <w:gridCol w:w="378"/>
        <w:gridCol w:w="814"/>
        <w:gridCol w:w="178"/>
      </w:tblGrid>
      <w:tr>
        <w:trPr/>
        <w:tc>
          <w:tcPr>
            <w:tcW w:w="22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647"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178" w:type="dxa"/>
            <w:tcBorders/>
            <w:vAlign w:val="center"/>
          </w:tcPr>
          <w:p>
            <w:pPr>
              <w:pStyle w:val="TableContents"/>
              <w:bidi w:val="0"/>
              <w:spacing w:before="0" w:after="283"/>
              <w:jc w:val="left"/>
              <w:rPr/>
            </w:pPr>
            <w:r>
              <w:rPr/>
              <w:t> </w:t>
            </w:r>
          </w:p>
        </w:tc>
      </w:tr>
      <w:tr>
        <w:trPr/>
        <w:tc>
          <w:tcPr>
            <w:tcW w:w="22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45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Less than 12 months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12 months or longer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8" w:type="dxa"/>
            <w:tcBorders/>
            <w:vAlign w:val="center"/>
          </w:tcPr>
          <w:p>
            <w:pPr>
              <w:pStyle w:val="TableContents"/>
              <w:bidi w:val="0"/>
              <w:spacing w:before="0" w:after="283"/>
              <w:jc w:val="left"/>
              <w:rPr/>
            </w:pPr>
            <w:r>
              <w:rPr/>
              <w:t> </w:t>
            </w:r>
          </w:p>
        </w:tc>
      </w:tr>
      <w:tr>
        <w:trPr/>
        <w:tc>
          <w:tcPr>
            <w:tcW w:w="22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1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Unrealized </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1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Unrealized </w:t>
              <w:br/>
              <w:t>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Unrealized </w:t>
              <w:br/>
              <w:t>Losses</w:t>
            </w:r>
          </w:p>
        </w:tc>
        <w:tc>
          <w:tcPr>
            <w:tcW w:w="178" w:type="dxa"/>
            <w:tcBorders/>
            <w:vAlign w:val="center"/>
          </w:tcPr>
          <w:p>
            <w:pPr>
              <w:pStyle w:val="TableContents"/>
              <w:bidi w:val="0"/>
              <w:spacing w:before="0" w:after="283"/>
              <w:jc w:val="left"/>
              <w:rPr/>
            </w:pPr>
            <w:r>
              <w:rPr/>
              <w:t> </w:t>
            </w:r>
          </w:p>
        </w:tc>
      </w:tr>
      <w:tr>
        <w:trPr/>
        <w:tc>
          <w:tcPr>
            <w:tcW w:w="2290"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1048" w:type="dxa"/>
            <w:gridSpan w:val="2"/>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192"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1" w:type="dxa"/>
            <w:gridSpan w:val="2"/>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193"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2" w:type="dxa"/>
            <w:gridSpan w:val="2"/>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ind w:left="0" w:right="0" w:hanging="180"/>
              <w:jc w:val="left"/>
              <w:rPr/>
            </w:pPr>
            <w:r>
              <w:rPr/>
              <w:t> </w:t>
            </w:r>
          </w:p>
        </w:tc>
      </w:tr>
      <w:tr>
        <w:trPr/>
        <w:tc>
          <w:tcPr>
            <w:tcW w:w="2290" w:type="dxa"/>
            <w:tcBorders/>
            <w:shd w:fill="CCEEFF" w:val="clear"/>
            <w:vAlign w:val="center"/>
          </w:tcPr>
          <w:p>
            <w:pPr>
              <w:pStyle w:val="TableContents"/>
              <w:bidi w:val="0"/>
              <w:spacing w:before="0" w:after="283"/>
              <w:jc w:val="left"/>
              <w:rPr/>
            </w:pPr>
            <w:r>
              <w:rPr/>
              <w:t>Commercial papers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846" w:type="dxa"/>
            <w:tcBorders/>
            <w:shd w:fill="CCEEFF" w:val="clear"/>
            <w:vAlign w:val="center"/>
          </w:tcPr>
          <w:p>
            <w:pPr>
              <w:pStyle w:val="TableContents"/>
              <w:bidi w:val="0"/>
              <w:spacing w:before="0" w:after="283"/>
              <w:jc w:val="right"/>
              <w:rPr/>
            </w:pPr>
            <w:r>
              <w:rPr/>
              <w:t>14,483</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551" w:type="dxa"/>
            <w:tcBorders/>
            <w:shd w:fill="CCEEFF" w:val="cle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w:t>
            </w:r>
          </w:p>
        </w:tc>
        <w:tc>
          <w:tcPr>
            <w:tcW w:w="75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831" w:type="dxa"/>
            <w:tcBorders/>
            <w:shd w:fill="CCEEFF" w:val="clear"/>
            <w:vAlign w:val="center"/>
          </w:tcPr>
          <w:p>
            <w:pPr>
              <w:pStyle w:val="TableContents"/>
              <w:bidi w:val="0"/>
              <w:spacing w:before="0" w:after="283"/>
              <w:jc w:val="right"/>
              <w:rPr/>
            </w:pPr>
            <w:r>
              <w:rPr/>
              <w:t>14,483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(1</w:t>
            </w:r>
          </w:p>
        </w:tc>
        <w:tc>
          <w:tcPr>
            <w:tcW w:w="178" w:type="dxa"/>
            <w:tcBorders/>
            <w:shd w:fill="CCEEFF" w:val="clear"/>
            <w:vAlign w:val="center"/>
          </w:tcPr>
          <w:p>
            <w:pPr>
              <w:pStyle w:val="TableContents"/>
              <w:bidi w:val="0"/>
              <w:spacing w:before="0" w:after="283"/>
              <w:ind w:left="0" w:right="0" w:hanging="180"/>
              <w:jc w:val="left"/>
              <w:rPr/>
            </w:pPr>
            <w:r>
              <w:rPr/>
              <w:t>)</w:t>
            </w:r>
          </w:p>
        </w:tc>
      </w:tr>
      <w:tr>
        <w:trPr/>
        <w:tc>
          <w:tcPr>
            <w:tcW w:w="2290"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551"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ind w:left="0" w:right="0" w:hanging="180"/>
              <w:jc w:val="left"/>
              <w:rPr/>
            </w:pPr>
            <w:r>
              <w:rPr/>
              <w:t> </w:t>
            </w:r>
          </w:p>
        </w:tc>
      </w:tr>
      <w:tr>
        <w:trPr/>
        <w:tc>
          <w:tcPr>
            <w:tcW w:w="2290"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178" w:type="dxa"/>
            <w:tcBorders/>
            <w:shd w:fill="CCEEFF" w:val="clear"/>
            <w:vAlign w:val="center"/>
          </w:tcPr>
          <w:p>
            <w:pPr>
              <w:pStyle w:val="TableContents"/>
              <w:bidi w:val="0"/>
              <w:spacing w:before="0" w:after="283"/>
              <w:ind w:left="0" w:right="0" w:hanging="180"/>
              <w:jc w:val="left"/>
              <w:rPr/>
            </w:pPr>
            <w:r>
              <w:rPr/>
              <w:t> </w:t>
            </w:r>
          </w:p>
        </w:tc>
      </w:tr>
      <w:tr>
        <w:trPr/>
        <w:tc>
          <w:tcPr>
            <w:tcW w:w="2290" w:type="dxa"/>
            <w:tcBorders/>
            <w:vAlign w:val="center"/>
          </w:tcPr>
          <w:p>
            <w:pPr>
              <w:pStyle w:val="TableContents"/>
              <w:bidi w:val="0"/>
              <w:spacing w:before="0" w:after="283"/>
              <w:jc w:val="left"/>
              <w:rPr/>
            </w:pPr>
            <w:r>
              <w:rPr/>
              <w:t>Corporate debt securities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pPr>
            <w:r>
              <w:rPr/>
              <w:t>8,771</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551" w:type="dxa"/>
            <w:tcBorders/>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8,771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(3</w:t>
            </w:r>
          </w:p>
        </w:tc>
        <w:tc>
          <w:tcPr>
            <w:tcW w:w="178" w:type="dxa"/>
            <w:tcBorders/>
            <w:vAlign w:val="center"/>
          </w:tcPr>
          <w:p>
            <w:pPr>
              <w:pStyle w:val="TableContents"/>
              <w:bidi w:val="0"/>
              <w:spacing w:before="0" w:after="283"/>
              <w:ind w:left="0" w:right="0" w:hanging="180"/>
              <w:jc w:val="left"/>
              <w:rPr/>
            </w:pPr>
            <w:r>
              <w:rPr/>
              <w:t>)</w:t>
            </w:r>
          </w:p>
        </w:tc>
      </w:tr>
      <w:tr>
        <w:trPr/>
        <w:tc>
          <w:tcPr>
            <w:tcW w:w="2290"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178" w:type="dxa"/>
            <w:tcBorders/>
            <w:shd w:fill="CCEEFF" w:val="clear"/>
            <w:vAlign w:val="center"/>
          </w:tcPr>
          <w:p>
            <w:pPr>
              <w:pStyle w:val="TableContents"/>
              <w:bidi w:val="0"/>
              <w:spacing w:before="0" w:after="283"/>
              <w:ind w:left="0" w:right="0" w:hanging="180"/>
              <w:jc w:val="left"/>
              <w:rPr/>
            </w:pPr>
            <w:r>
              <w:rPr/>
              <w:t> </w:t>
            </w:r>
          </w:p>
        </w:tc>
      </w:tr>
      <w:tr>
        <w:trPr/>
        <w:tc>
          <w:tcPr>
            <w:tcW w:w="2290" w:type="dxa"/>
            <w:tcBorders/>
            <w:vAlign w:val="center"/>
          </w:tcPr>
          <w:p>
            <w:pPr>
              <w:pStyle w:val="TableContents"/>
              <w:bidi w:val="0"/>
              <w:spacing w:before="0" w:after="283"/>
              <w:jc w:val="left"/>
              <w:rPr/>
            </w:pPr>
            <w:r>
              <w:rPr/>
              <w:t>Corporate debt securities</w:t>
            </w:r>
          </w:p>
        </w:tc>
        <w:tc>
          <w:tcPr>
            <w:tcW w:w="9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846" w:type="dxa"/>
            <w:tcBorders>
              <w:bottom w:val="single" w:sz="12" w:space="0" w:color="000000"/>
            </w:tcBorders>
            <w:tcMar>
              <w:bottom w:w="28" w:type="dxa"/>
            </w:tcMar>
            <w:vAlign w:val="center"/>
          </w:tcPr>
          <w:p>
            <w:pPr>
              <w:pStyle w:val="TableContents"/>
              <w:bidi w:val="0"/>
              <w:spacing w:before="0" w:after="283"/>
              <w:jc w:val="right"/>
              <w:rPr/>
            </w:pPr>
            <w:r>
              <w:rPr/>
              <w:t>6,143</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378" w:type="dxa"/>
            <w:tcBorders>
              <w:bottom w:val="single" w:sz="12" w:space="0" w:color="000000"/>
            </w:tcBorders>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tcMar>
              <w:bottom w:w="28" w:type="dxa"/>
            </w:tcMar>
            <w:vAlign w:val="center"/>
          </w:tcPr>
          <w:p>
            <w:pPr>
              <w:pStyle w:val="TableContents"/>
              <w:bidi w:val="0"/>
              <w:spacing w:before="0" w:after="283"/>
              <w:jc w:val="right"/>
              <w:rPr/>
            </w:pPr>
            <w:r>
              <w:rPr/>
              <w:t>(6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80" w:type="dxa"/>
            <w:tcBorders>
              <w:bottom w:val="single" w:sz="12" w:space="0" w:color="000000"/>
            </w:tcBorders>
            <w:tcMar>
              <w:bottom w:w="28" w:type="dxa"/>
            </w:tcMar>
            <w:vAlign w:val="center"/>
          </w:tcPr>
          <w:p>
            <w:pPr>
              <w:pStyle w:val="TableContents"/>
              <w:bidi w:val="0"/>
              <w:spacing w:before="0" w:after="283"/>
              <w:jc w:val="left"/>
              <w:rPr/>
            </w:pPr>
            <w:r>
              <w:rPr/>
              <w:t> </w:t>
            </w:r>
          </w:p>
        </w:tc>
        <w:tc>
          <w:tcPr>
            <w:tcW w:w="551" w:type="dxa"/>
            <w:tcBorders>
              <w:bottom w:val="single" w:sz="12" w:space="0" w:color="000000"/>
            </w:tcBorders>
            <w:tcMar>
              <w:bottom w:w="28" w:type="dxa"/>
            </w:tcMar>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4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3"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tcMar>
              <w:bottom w:w="28" w:type="dxa"/>
            </w:tcMar>
            <w:vAlign w:val="center"/>
          </w:tcPr>
          <w:p>
            <w:pPr>
              <w:pStyle w:val="TableContents"/>
              <w:bidi w:val="0"/>
              <w:spacing w:before="0" w:after="283"/>
              <w:jc w:val="right"/>
              <w:rPr/>
            </w:pPr>
            <w:r>
              <w:rPr/>
              <w:t>6,143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8" w:type="dxa"/>
            <w:tcBorders>
              <w:bottom w:val="single" w:sz="12" w:space="0" w:color="000000"/>
            </w:tcBorders>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tcMar>
              <w:bottom w:w="28" w:type="dxa"/>
            </w:tcMar>
            <w:vAlign w:val="center"/>
          </w:tcPr>
          <w:p>
            <w:pPr>
              <w:pStyle w:val="TableContents"/>
              <w:bidi w:val="0"/>
              <w:spacing w:before="0" w:after="283"/>
              <w:jc w:val="right"/>
              <w:rPr/>
            </w:pPr>
            <w:r>
              <w:rPr/>
              <w:t>(6</w:t>
            </w:r>
          </w:p>
        </w:tc>
        <w:tc>
          <w:tcPr>
            <w:tcW w:w="178" w:type="dxa"/>
            <w:tcBorders/>
            <w:vAlign w:val="center"/>
          </w:tcPr>
          <w:p>
            <w:pPr>
              <w:pStyle w:val="TableContents"/>
              <w:bidi w:val="0"/>
              <w:spacing w:before="0" w:after="283"/>
              <w:ind w:left="0" w:right="0" w:hanging="180"/>
              <w:jc w:val="left"/>
              <w:rPr/>
            </w:pPr>
            <w:r>
              <w:rPr/>
              <w:t>)</w:t>
            </w:r>
          </w:p>
        </w:tc>
      </w:tr>
      <w:tr>
        <w:trPr/>
        <w:tc>
          <w:tcPr>
            <w:tcW w:w="229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46" w:type="dxa"/>
            <w:tcBorders>
              <w:bottom w:val="double" w:sz="10" w:space="0" w:color="000000"/>
            </w:tcBorders>
            <w:shd w:fill="CCEEFF" w:val="clear"/>
            <w:tcMar>
              <w:bottom w:w="28" w:type="dxa"/>
            </w:tcMar>
            <w:vAlign w:val="center"/>
          </w:tcPr>
          <w:p>
            <w:pPr>
              <w:pStyle w:val="TableContents"/>
              <w:bidi w:val="0"/>
              <w:spacing w:before="0" w:after="283"/>
              <w:jc w:val="right"/>
              <w:rPr/>
            </w:pPr>
            <w:r>
              <w:rPr/>
              <w:t>29,397</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3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4" w:type="dxa"/>
            <w:tcBorders>
              <w:bottom w:val="double" w:sz="10" w:space="0" w:color="000000"/>
            </w:tcBorders>
            <w:shd w:fill="CCEEFF" w:val="clear"/>
            <w:tcMar>
              <w:bottom w:w="28" w:type="dxa"/>
            </w:tcMar>
            <w:vAlign w:val="center"/>
          </w:tcPr>
          <w:p>
            <w:pPr>
              <w:pStyle w:val="TableContents"/>
              <w:bidi w:val="0"/>
              <w:spacing w:before="0" w:after="283"/>
              <w:jc w:val="right"/>
              <w:rPr/>
            </w:pPr>
            <w:r>
              <w:rPr/>
              <w:t>(10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51"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3"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1" w:type="dxa"/>
            <w:tcBorders>
              <w:bottom w:val="double" w:sz="10" w:space="0" w:color="000000"/>
            </w:tcBorders>
            <w:shd w:fill="CCEEFF" w:val="clear"/>
            <w:tcMar>
              <w:bottom w:w="28" w:type="dxa"/>
            </w:tcMar>
            <w:vAlign w:val="center"/>
          </w:tcPr>
          <w:p>
            <w:pPr>
              <w:pStyle w:val="TableContents"/>
              <w:bidi w:val="0"/>
              <w:spacing w:before="0" w:after="283"/>
              <w:jc w:val="right"/>
              <w:rPr/>
            </w:pPr>
            <w:r>
              <w:rPr/>
              <w:t>29,397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4" w:type="dxa"/>
            <w:tcBorders>
              <w:bottom w:val="double" w:sz="10" w:space="0" w:color="000000"/>
            </w:tcBorders>
            <w:shd w:fill="CCEEFF" w:val="clear"/>
            <w:tcMar>
              <w:bottom w:w="28" w:type="dxa"/>
            </w:tcMar>
            <w:vAlign w:val="center"/>
          </w:tcPr>
          <w:p>
            <w:pPr>
              <w:pStyle w:val="TableContents"/>
              <w:bidi w:val="0"/>
              <w:spacing w:before="0" w:after="283"/>
              <w:jc w:val="right"/>
              <w:rPr/>
            </w:pPr>
            <w:r>
              <w:rPr/>
              <w:t>(10</w:t>
            </w:r>
          </w:p>
        </w:tc>
        <w:tc>
          <w:tcPr>
            <w:tcW w:w="178"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its securities for credit losses and considered the decline in market value to be primarily attributable to current economic and market conditions and not to a credit loss or other factors. Additionally, the Company does not intend to sell the securities in an unrealized loss position and it is not more likely than not that the Company will be required to sell the securities before recovery of the unamortized cost basis, which may be at maturity. There were no material realized gains or realized losses on marketable securities for the periods presented. Given the Company’s intent and ability to hold such securities until recovery, and the lack of significant change in credit risk of these investments, the Company does not consider these marketable securities to be impaired as of March 31, 2026 and December 31, 2025. As of March 31, 2026 and December 31, 2025, the Company did not record an allowance for credit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contractual maturities of the Company’s marketable securities at estimated fair value (in thousands):</w:t>
      </w:r>
    </w:p>
    <w:p>
      <w:pPr>
        <w:pStyle w:val="TextBody"/>
        <w:bidi w:val="0"/>
        <w:spacing w:before="0" w:after="0"/>
        <w:ind w:left="0" w:right="0" w:hanging="0"/>
        <w:jc w:val="both"/>
        <w:rPr>
          <w:caps w:val="false"/>
          <w:smallCaps w:val="false"/>
        </w:rPr>
      </w:pPr>
      <w:r>
        <w:rPr>
          <w:caps w:val="false"/>
          <w:smallCaps w:val="false"/>
        </w:rPr>
        <w:t> </w:t>
      </w:r>
    </w:p>
    <w:tbl>
      <w:tblPr>
        <w:tblW w:w="5308" w:type="dxa"/>
        <w:jc w:val="left"/>
        <w:tblInd w:w="0" w:type="dxa"/>
        <w:tblLayout w:type="fixed"/>
        <w:tblCellMar>
          <w:top w:w="0" w:type="dxa"/>
          <w:left w:w="0" w:type="dxa"/>
          <w:bottom w:w="0" w:type="dxa"/>
          <w:right w:w="0" w:type="dxa"/>
        </w:tblCellMar>
      </w:tblPr>
      <w:tblGrid>
        <w:gridCol w:w="2240"/>
        <w:gridCol w:w="90"/>
        <w:gridCol w:w="197"/>
        <w:gridCol w:w="962"/>
        <w:gridCol w:w="90"/>
        <w:gridCol w:w="90"/>
        <w:gridCol w:w="255"/>
        <w:gridCol w:w="1249"/>
        <w:gridCol w:w="135"/>
      </w:tblGrid>
      <w:tr>
        <w:trPr/>
        <w:tc>
          <w:tcPr>
            <w:tcW w:w="22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31, </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3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Due in one year or less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339,309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290,109</w:t>
            </w:r>
          </w:p>
        </w:tc>
        <w:tc>
          <w:tcPr>
            <w:tcW w:w="135" w:type="dxa"/>
            <w:tcBorders/>
            <w:shd w:fill="CCEEFF" w:val="cle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Due in 1-2 years</w:t>
            </w:r>
          </w:p>
        </w:tc>
        <w:tc>
          <w:tcPr>
            <w:tcW w:w="90"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962" w:type="dxa"/>
            <w:tcBorders>
              <w:bottom w:val="single" w:sz="12" w:space="0" w:color="000000"/>
            </w:tcBorders>
            <w:tcMar>
              <w:bottom w:w="28" w:type="dxa"/>
            </w:tcMar>
            <w:vAlign w:val="center"/>
          </w:tcPr>
          <w:p>
            <w:pPr>
              <w:pStyle w:val="TableContents"/>
              <w:bidi w:val="0"/>
              <w:spacing w:before="0" w:after="283"/>
              <w:jc w:val="right"/>
              <w:rPr/>
            </w:pPr>
            <w:r>
              <w:rPr/>
              <w:t>107,123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142,539</w:t>
            </w:r>
          </w:p>
        </w:tc>
        <w:tc>
          <w:tcPr>
            <w:tcW w:w="13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2" w:type="dxa"/>
            <w:tcBorders>
              <w:bottom w:val="double" w:sz="10" w:space="0" w:color="000000"/>
            </w:tcBorders>
            <w:shd w:fill="CCEEFF" w:val="clear"/>
            <w:tcMar>
              <w:bottom w:w="28" w:type="dxa"/>
            </w:tcMar>
            <w:vAlign w:val="center"/>
          </w:tcPr>
          <w:p>
            <w:pPr>
              <w:pStyle w:val="TableContents"/>
              <w:bidi w:val="0"/>
              <w:spacing w:before="0" w:after="283"/>
              <w:jc w:val="right"/>
              <w:rPr/>
            </w:pPr>
            <w:r>
              <w:rPr/>
              <w:t>446,432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432,648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Accrued Expenses and Other Current Liabilities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accrued expenses and other current liabilities (in thousands):</w:t>
      </w:r>
    </w:p>
    <w:p>
      <w:pPr>
        <w:pStyle w:val="TextBody"/>
        <w:bidi w:val="0"/>
        <w:spacing w:before="0" w:after="0"/>
        <w:ind w:left="0" w:right="0" w:hanging="0"/>
        <w:jc w:val="left"/>
        <w:rPr>
          <w:caps w:val="false"/>
          <w:smallCaps w:val="false"/>
        </w:rPr>
      </w:pPr>
      <w:r>
        <w:rPr>
          <w:caps w:val="false"/>
          <w:smallCaps w:val="false"/>
        </w:rPr>
        <w:t> </w:t>
      </w:r>
    </w:p>
    <w:tbl>
      <w:tblPr>
        <w:tblW w:w="7483" w:type="dxa"/>
        <w:jc w:val="left"/>
        <w:tblInd w:w="0" w:type="dxa"/>
        <w:tblLayout w:type="fixed"/>
        <w:tblCellMar>
          <w:top w:w="0" w:type="dxa"/>
          <w:left w:w="0" w:type="dxa"/>
          <w:bottom w:w="0" w:type="dxa"/>
          <w:right w:w="0" w:type="dxa"/>
        </w:tblCellMar>
      </w:tblPr>
      <w:tblGrid>
        <w:gridCol w:w="4415"/>
        <w:gridCol w:w="90"/>
        <w:gridCol w:w="259"/>
        <w:gridCol w:w="900"/>
        <w:gridCol w:w="90"/>
        <w:gridCol w:w="90"/>
        <w:gridCol w:w="290"/>
        <w:gridCol w:w="1214"/>
        <w:gridCol w:w="135"/>
      </w:tblGrid>
      <w:tr>
        <w:trPr/>
        <w:tc>
          <w:tcPr>
            <w:tcW w:w="4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31, </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Accrued research and development</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6,805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jc w:val="right"/>
              <w:rPr/>
            </w:pPr>
            <w:r>
              <w:rPr/>
              <w:t>4,384</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Accrued employee compensation and benefits</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1,707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5,266</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Accrued professional and consulting</w:t>
            </w:r>
          </w:p>
        </w:tc>
        <w:tc>
          <w:tcPr>
            <w:tcW w:w="90" w:type="dxa"/>
            <w:tcBorders/>
            <w:shd w:fill="CCEEFF" w:val="clear"/>
            <w:vAlign w:val="center"/>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775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941</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259" w:type="dxa"/>
            <w:tcBorders>
              <w:bottom w:val="double" w:sz="10" w:space="0" w:color="000000"/>
            </w:tcBorders>
            <w:tcMar>
              <w:bottom w:w="28" w:type="dxa"/>
            </w:tcMar>
            <w:vAlign w:val="center"/>
          </w:tcPr>
          <w:p>
            <w:pPr>
              <w:pStyle w:val="TableContents"/>
              <w:bidi w:val="0"/>
              <w:spacing w:before="0" w:after="283"/>
              <w:jc w:val="left"/>
              <w:rPr/>
            </w:pPr>
            <w:r>
              <w:rPr/>
              <w:t>$</w:t>
            </w:r>
          </w:p>
        </w:tc>
        <w:tc>
          <w:tcPr>
            <w:tcW w:w="900" w:type="dxa"/>
            <w:tcBorders>
              <w:bottom w:val="double" w:sz="10" w:space="0" w:color="000000"/>
            </w:tcBorders>
            <w:tcMar>
              <w:bottom w:w="28" w:type="dxa"/>
            </w:tcMar>
            <w:vAlign w:val="center"/>
          </w:tcPr>
          <w:p>
            <w:pPr>
              <w:pStyle w:val="TableContents"/>
              <w:bidi w:val="0"/>
              <w:spacing w:before="0" w:after="283"/>
              <w:jc w:val="right"/>
              <w:rPr/>
            </w:pPr>
            <w:r>
              <w:rPr/>
              <w:t>9,287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4" w:type="dxa"/>
            <w:tcBorders>
              <w:bottom w:val="double" w:sz="10" w:space="0" w:color="000000"/>
            </w:tcBorders>
            <w:tcMar>
              <w:bottom w:w="28" w:type="dxa"/>
            </w:tcMar>
            <w:vAlign w:val="center"/>
          </w:tcPr>
          <w:p>
            <w:pPr>
              <w:pStyle w:val="TableContents"/>
              <w:bidi w:val="0"/>
              <w:spacing w:before="0" w:after="283"/>
              <w:jc w:val="right"/>
              <w:rPr/>
            </w:pPr>
            <w:r>
              <w:rPr/>
              <w:t>10,591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Convertible Preferred Stock and Stockholders’ Equity</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Pre-Funded Warrants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certain investors in the Company were issued pre-funded warrants which were exercisable for shares of the Company’s common stock at an exercise price of $0.01 per share. During the three months ended March 31, 2026, the Company issued 57,212 shares of common stock on net exercises of 57,228 pre-funded warrants out of the pre-funded warrants previously issued in August 2024. No pre-funded warrants were exercised during the three months ended March 31, 2025. As of March 31, 2026 and December 31, 2025, 5,439,955 and 5,497,183 pre-funded warrants, respectively, remain issued and outstanding from the August 2024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certain investors in the Company were issued pre-funded warrants which were exercisable for shares of the Company’s common stock at an exercise price of $0.001 per share. During the three months ended March 31, 2026 and 2025, no pre-funded warrants were exercised out of the pre-funded warrants previously issued in September 2024. As of each of March 31, 2026 and December 31, 2025, 380,000 pre-funded warrants remain issued and outstanding from the September 2024 issuance.</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certain investors in the Company were issued pre-funded warrants which were exercisable for shares of the Company’s common stock at an exercise price of $0.001 per share. During the three months ended March 31, 2026, no pre-funded warrants were exercised out of the pre-funded warrants previously issued in September 2025. As of each of March 31, 2026 and December 31, 2025, 1,066,666 pre-funded warrants remain issued and outstanding from the September 2025 issuance.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issuance, the pre-funded warrants were recorded as a component of stockholders’ equity within additional paid-in-capital and have no expiration date. Collectively, 6,886,621 and 6,943,849 pre-funded warrants were outstanding as of March 31, 2026 and December 31, 2025, respectively.</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Warrants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employee warrants were issued at an exercise price of $7.80 per warrant to the employees and directors of the Company. These warrants vest over a period of four years. The Company recognizes compensation cost related to warrants on a straight-line basis over the requisite service period, which is the period in which the related services are received. As of March 31, 2026 and December 31, 2025, 2,767,511 and 3,029,510 warrants, respectively, were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Convertible Preferred Stock</w:t>
      </w:r>
      <w:r>
        <w:rPr>
          <w:rFonts w:ascii="Times New Roman;Times;Serif" w:hAnsi="Times New Roman;Times;Serif"/>
          <w:b w:val="false"/>
          <w:i w:val="false"/>
          <w:caps w:val="false"/>
          <w:smallCaps w:val="false"/>
          <w:sz w:val="20"/>
        </w:rPr>
        <w:t> </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Series B preferred stock consisted of the following (in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8183" w:type="dxa"/>
        <w:jc w:val="left"/>
        <w:tblInd w:w="0" w:type="dxa"/>
        <w:tblLayout w:type="fixed"/>
        <w:tblCellMar>
          <w:top w:w="0" w:type="dxa"/>
          <w:left w:w="0" w:type="dxa"/>
          <w:bottom w:w="0" w:type="dxa"/>
          <w:right w:w="0" w:type="dxa"/>
        </w:tblCellMar>
      </w:tblPr>
      <w:tblGrid>
        <w:gridCol w:w="2330"/>
        <w:gridCol w:w="90"/>
        <w:gridCol w:w="117"/>
        <w:gridCol w:w="1088"/>
        <w:gridCol w:w="90"/>
        <w:gridCol w:w="90"/>
        <w:gridCol w:w="135"/>
        <w:gridCol w:w="1249"/>
        <w:gridCol w:w="90"/>
        <w:gridCol w:w="90"/>
        <w:gridCol w:w="222"/>
        <w:gridCol w:w="773"/>
        <w:gridCol w:w="90"/>
        <w:gridCol w:w="90"/>
        <w:gridCol w:w="111"/>
        <w:gridCol w:w="1393"/>
        <w:gridCol w:w="135"/>
      </w:tblGrid>
      <w:tr>
        <w:trPr/>
        <w:tc>
          <w:tcPr>
            <w:tcW w:w="23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62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13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Preferred</w:t>
              <w:br/>
              <w:t>Stock</w:t>
              <w:br/>
              <w:t>Authorized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Preferred</w:t>
              <w:br/>
              <w:t xml:space="preserve">Stock Issued </w:t>
              <w:br/>
              <w:t>and</w:t>
              <w:b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w:t>
              <w:br/>
              <w:t>Stock Issuable</w:t>
              <w:br/>
              <w:t>Upon</w:t>
              <w:br/>
              <w:t>Conversion</w:t>
            </w:r>
          </w:p>
        </w:tc>
        <w:tc>
          <w:tcPr>
            <w:tcW w:w="13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Series B preferred stock</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251,504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137,138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2,931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11,428,149</w:t>
            </w:r>
          </w:p>
        </w:tc>
        <w:tc>
          <w:tcPr>
            <w:tcW w:w="135" w:type="dxa"/>
            <w:tcBorders/>
            <w:shd w:fill="CCEEFF" w:val="cle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Certificate of Designation of Preferences, Rights and Limitations of the Series B Non-Voting Convertible Preferred Stock (the “Series B Certificate of Designation”), holders of Series B preferred stock are entitled to receive dividends on shares of Series B preferred stock equal to, on an as-if-converted-to common stock basis, and in the same form as, dividends actually paid on shares of common stock. Except as provided in the Series B Certificate of Designation or as otherwise required by law, Series B preferred stock does not have voting rights. Series B preferred stock shall rank on parity with the Company’s common stock as to the distribution of assets upon any liquidation, dissolution, or winding-up of the Company. Each share of Series B preferred stock is convertible at the option of the holder, at any time, and without the payment of additional consideration by the holder. As of March 31, 2026, each outstanding share of Series B preferred stock was convertible into common stock at a ratio of approximately 83.3332:1.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Paruka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the Company settled its 2024 obligations under the Paruka Warrant Obligation (defined below) by issuing Paruka Holding LLC (“Paruka”) a warrant to purchase 596,930 shares of the Company’s common stock at an exercise price of $19.39 per share. On December 12, 2025, the Company settled its 2025 obligations under the Paruka Warrant Obligation (defined below) by issuing Paruka a warrant to purchase 375,000 shares of the Company’s common stock at an exercise price of $30.18 per share. The warrants have a term of 10 years, are fully vested, and are exercisable in part or full at any time during the term of the warrant. As of March 31, 2026 and December 31, 2025, the warrants issued under the Paruka Warrant Obligation are outstanding and unexercised. See Note 8 for additional information on the Paruka Warrant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Certificate of Incorporation provided for 545,000,000 authorized shares of common stock. As of March 31, 2026, 50,167,623 shares of common stock were issued and outstanding, including 2,159,609 shares of restricted common stock awards (“RSAs”) issued and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had common stock reserved for future issuance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80"/>
        <w:gridCol w:w="90"/>
        <w:gridCol w:w="90"/>
        <w:gridCol w:w="1130"/>
        <w:gridCol w:w="90"/>
        <w:gridCol w:w="90"/>
        <w:gridCol w:w="109"/>
        <w:gridCol w:w="1389"/>
        <w:gridCol w:w="137"/>
      </w:tblGrid>
      <w:tr>
        <w:trPr/>
        <w:tc>
          <w:tcPr>
            <w:tcW w:w="70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31, </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37" w:type="dxa"/>
            <w:tcBorders/>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Shares issuable on conversion of Series B preferred stock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11,428,149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11,428,149</w:t>
            </w:r>
          </w:p>
        </w:tc>
        <w:tc>
          <w:tcPr>
            <w:tcW w:w="137" w:type="dxa"/>
            <w:tcBorders/>
            <w:shd w:fill="CCEEFF" w:val="clear"/>
            <w:vAlign w:val="center"/>
          </w:tcPr>
          <w:p>
            <w:pPr>
              <w:pStyle w:val="TableContents"/>
              <w:bidi w:val="0"/>
              <w:spacing w:before="0" w:after="283"/>
              <w:jc w:val="left"/>
              <w:rPr/>
            </w:pPr>
            <w:r>
              <w:rPr/>
              <w:t> </w:t>
            </w:r>
          </w:p>
        </w:tc>
      </w:tr>
      <w:tr>
        <w:trPr/>
        <w:tc>
          <w:tcPr>
            <w:tcW w:w="7080" w:type="dxa"/>
            <w:tcBorders/>
            <w:vAlign w:val="center"/>
          </w:tcPr>
          <w:p>
            <w:pPr>
              <w:pStyle w:val="TableContents"/>
              <w:bidi w:val="0"/>
              <w:spacing w:before="0" w:after="283"/>
              <w:jc w:val="left"/>
              <w:rPr/>
            </w:pPr>
            <w:r>
              <w:rPr/>
              <w:t>Shares issuable upon exercise of pre-funded warrants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6,886,621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389" w:type="dxa"/>
            <w:tcBorders/>
            <w:vAlign w:val="center"/>
          </w:tcPr>
          <w:p>
            <w:pPr>
              <w:pStyle w:val="TableContents"/>
              <w:bidi w:val="0"/>
              <w:spacing w:before="0" w:after="283"/>
              <w:jc w:val="right"/>
              <w:rPr/>
            </w:pPr>
            <w:r>
              <w:rPr/>
              <w:t>6,943,849</w:t>
            </w:r>
          </w:p>
        </w:tc>
        <w:tc>
          <w:tcPr>
            <w:tcW w:w="137" w:type="dxa"/>
            <w:tcBorders/>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Shares issuable upon exercise of warrants under the Paruka Warrant Obligation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971,930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971,930</w:t>
            </w:r>
          </w:p>
        </w:tc>
        <w:tc>
          <w:tcPr>
            <w:tcW w:w="137" w:type="dxa"/>
            <w:tcBorders/>
            <w:shd w:fill="CCEEFF" w:val="clear"/>
            <w:vAlign w:val="center"/>
          </w:tcPr>
          <w:p>
            <w:pPr>
              <w:pStyle w:val="TableContents"/>
              <w:bidi w:val="0"/>
              <w:spacing w:before="0" w:after="283"/>
              <w:jc w:val="left"/>
              <w:rPr/>
            </w:pPr>
            <w:r>
              <w:rPr/>
              <w:t> </w:t>
            </w:r>
          </w:p>
        </w:tc>
      </w:tr>
      <w:tr>
        <w:trPr/>
        <w:tc>
          <w:tcPr>
            <w:tcW w:w="7080" w:type="dxa"/>
            <w:tcBorders/>
            <w:vAlign w:val="center"/>
          </w:tcPr>
          <w:p>
            <w:pPr>
              <w:pStyle w:val="TableContents"/>
              <w:bidi w:val="0"/>
              <w:spacing w:before="0" w:after="283"/>
              <w:jc w:val="left"/>
              <w:rPr/>
            </w:pPr>
            <w:r>
              <w:rPr/>
              <w:t>Outstanding and issued stock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5,297,351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389" w:type="dxa"/>
            <w:tcBorders/>
            <w:vAlign w:val="center"/>
          </w:tcPr>
          <w:p>
            <w:pPr>
              <w:pStyle w:val="TableContents"/>
              <w:bidi w:val="0"/>
              <w:spacing w:before="0" w:after="283"/>
              <w:jc w:val="right"/>
              <w:rPr/>
            </w:pPr>
            <w:r>
              <w:rPr/>
              <w:t>3,950,958</w:t>
            </w:r>
          </w:p>
        </w:tc>
        <w:tc>
          <w:tcPr>
            <w:tcW w:w="137" w:type="dxa"/>
            <w:tcBorders/>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Outstanding and issued employee warrants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2,767,511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3,029,510</w:t>
            </w:r>
          </w:p>
        </w:tc>
        <w:tc>
          <w:tcPr>
            <w:tcW w:w="137" w:type="dxa"/>
            <w:tcBorders/>
            <w:shd w:fill="CCEEFF" w:val="clear"/>
            <w:vAlign w:val="center"/>
          </w:tcPr>
          <w:p>
            <w:pPr>
              <w:pStyle w:val="TableContents"/>
              <w:bidi w:val="0"/>
              <w:spacing w:before="0" w:after="283"/>
              <w:jc w:val="left"/>
              <w:rPr/>
            </w:pPr>
            <w:r>
              <w:rPr/>
              <w:t> </w:t>
            </w:r>
          </w:p>
        </w:tc>
      </w:tr>
      <w:tr>
        <w:trPr/>
        <w:tc>
          <w:tcPr>
            <w:tcW w:w="7080" w:type="dxa"/>
            <w:tcBorders/>
            <w:vAlign w:val="center"/>
          </w:tcPr>
          <w:p>
            <w:pPr>
              <w:pStyle w:val="TableContents"/>
              <w:bidi w:val="0"/>
              <w:spacing w:before="0" w:after="283"/>
              <w:jc w:val="left"/>
              <w:rPr/>
            </w:pPr>
            <w:r>
              <w:rPr/>
              <w:t>Outstanding and issued restricted stock units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396,145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389" w:type="dxa"/>
            <w:tcBorders/>
            <w:vAlign w:val="center"/>
          </w:tcPr>
          <w:p>
            <w:pPr>
              <w:pStyle w:val="TableContents"/>
              <w:bidi w:val="0"/>
              <w:spacing w:before="0" w:after="0"/>
              <w:jc w:val="right"/>
              <w:rPr/>
            </w:pPr>
            <w:r>
              <w:rPr/>
              <w:t>—</w:t>
            </w:r>
          </w:p>
        </w:tc>
        <w:tc>
          <w:tcPr>
            <w:tcW w:w="137" w:type="dxa"/>
            <w:tcBorders/>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Shares available for grant under 2024 Stock Incentive Plan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6,129,190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4,600,217</w:t>
            </w:r>
          </w:p>
        </w:tc>
        <w:tc>
          <w:tcPr>
            <w:tcW w:w="137" w:type="dxa"/>
            <w:tcBorders/>
            <w:shd w:fill="CCEEFF" w:val="clear"/>
            <w:vAlign w:val="center"/>
          </w:tcPr>
          <w:p>
            <w:pPr>
              <w:pStyle w:val="TableContents"/>
              <w:bidi w:val="0"/>
              <w:spacing w:before="0" w:after="283"/>
              <w:jc w:val="left"/>
              <w:rPr/>
            </w:pPr>
            <w:r>
              <w:rPr/>
              <w:t> </w:t>
            </w:r>
          </w:p>
        </w:tc>
      </w:tr>
      <w:tr>
        <w:trPr/>
        <w:tc>
          <w:tcPr>
            <w:tcW w:w="7080" w:type="dxa"/>
            <w:tcBorders/>
            <w:vAlign w:val="center"/>
          </w:tcPr>
          <w:p>
            <w:pPr>
              <w:pStyle w:val="TableContents"/>
              <w:bidi w:val="0"/>
              <w:spacing w:before="0" w:after="283"/>
              <w:jc w:val="left"/>
              <w:rPr/>
            </w:pPr>
            <w:r>
              <w:rPr/>
              <w:t>Shares available for grant under 2024 Employee Stock Purchase Plan</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975,922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9" w:type="dxa"/>
            <w:tcBorders>
              <w:bottom w:val="single" w:sz="12" w:space="0" w:color="000000"/>
            </w:tcBorders>
            <w:tcMar>
              <w:bottom w:w="28" w:type="dxa"/>
            </w:tcMar>
            <w:vAlign w:val="center"/>
          </w:tcPr>
          <w:p>
            <w:pPr>
              <w:pStyle w:val="TableContents"/>
              <w:bidi w:val="0"/>
              <w:spacing w:before="0" w:after="283"/>
              <w:jc w:val="right"/>
              <w:rPr/>
            </w:pPr>
            <w:r>
              <w:rPr/>
              <w:t>975,922</w:t>
            </w:r>
          </w:p>
        </w:tc>
        <w:tc>
          <w:tcPr>
            <w:tcW w:w="137" w:type="dxa"/>
            <w:tcBorders/>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Total shares of common stock reserved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34,852,819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10" w:space="0" w:color="000000"/>
            </w:tcBorders>
            <w:shd w:fill="CCEEFF" w:val="clear"/>
            <w:tcMar>
              <w:bottom w:w="28" w:type="dxa"/>
            </w:tcMar>
            <w:vAlign w:val="center"/>
          </w:tcPr>
          <w:p>
            <w:pPr>
              <w:pStyle w:val="TableContents"/>
              <w:bidi w:val="0"/>
              <w:spacing w:before="0" w:after="283"/>
              <w:jc w:val="right"/>
              <w:rPr/>
            </w:pPr>
            <w:r>
              <w:rPr/>
              <w:t>31,900,535</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Equity Incentive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Equity Incentive Plan (“2024 Plan”) was adopted on February 6, 2024. The 2024 Plan provided for the Company to grant stock options, restricted stock awards, restricted stock units, and other stock-based awards to employees, officers, directors, consultants, and advisors. Equity incentive stock options granted under the 2024 Plan generally vest over four years, subject to the participant’s continued service, and expire after ten years. As of March 31, 2026 and December 31, 2025, 1,155,540 and 1,167,826 shares, respectively, were subject to options outstanding under the 2024 Plan and will become available under the 2024 Stock Incentive Plan (defined below) to the extent the options are forfeited or lapse unexercised.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Stock Incentive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Stock Incentive Plan (“2024 Stock Plan”) became effective in August 2024. The 2024 Stock Plan allows for the grant of stock options, stock appreciation rights, restricted stock awards, restricted stock units, other stockholder-based awards and incentive bonuses. An additional 3,354,715 shares became available for issuance under the 2024 Stock Plan on January 1, 2026 as a result of the annual increase pursuant to the evergreen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10,667,146 shares were reserved for issuance under the 2024 Stock Plan, of which 6,129,190 shares were available for future grant and 4,537,956 shares were subject to outstanding options and restricted stock units. As of December 31, 2025, 7,383,349 shares were reserved for issuance under the 2024 Stock Plan, of which 4,600,217 shares were available for future grant and 2,783,132 shares were subject to outstanding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Employee Stock Purchase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Employee Stock Purchase Plan (the “ESPP”) became effective in August 2024. Eligible employees may purchase shares of common stock under the ESPP at 85% of the lower of the fair market value of the common stock as of the first or the last day of each offering period. Employees are limited to contributing 15% of the employee’s eligible compensation and may not purchase more than $25,000 of stock during any calendar year. The ESPP will terminate ten years from the first purchase date under the plan, unless terminated earlier by the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no shares during the three months ended March 31, 2026 and 2025, out of the ESPP. As of each of March 31, 2026 and December 31, 2025, there were 975,922 shares of common stock available in the pool for future issuances.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of the three months ended March 31, 2026 and March 31, 2025, stock-based compensation expenses related to the ESPP were less than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 Valuation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weighted-average assumptions used in calculating the fair value of the awards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4992" w:type="dxa"/>
        <w:jc w:val="left"/>
        <w:tblInd w:w="0" w:type="dxa"/>
        <w:tblLayout w:type="fixed"/>
        <w:tblCellMar>
          <w:top w:w="0" w:type="dxa"/>
          <w:left w:w="0" w:type="dxa"/>
          <w:bottom w:w="0" w:type="dxa"/>
          <w:right w:w="0" w:type="dxa"/>
        </w:tblCellMar>
      </w:tblPr>
      <w:tblGrid>
        <w:gridCol w:w="2375"/>
        <w:gridCol w:w="90"/>
        <w:gridCol w:w="138"/>
        <w:gridCol w:w="723"/>
        <w:gridCol w:w="377"/>
        <w:gridCol w:w="138"/>
        <w:gridCol w:w="138"/>
        <w:gridCol w:w="723"/>
        <w:gridCol w:w="290"/>
      </w:tblGrid>
      <w:tr>
        <w:trPr/>
        <w:tc>
          <w:tcPr>
            <w:tcW w:w="23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29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377"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8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Expected term (in years)</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6.0</w:t>
            </w:r>
          </w:p>
        </w:tc>
        <w:tc>
          <w:tcPr>
            <w:tcW w:w="37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6.0</w:t>
            </w:r>
          </w:p>
        </w:tc>
        <w:tc>
          <w:tcPr>
            <w:tcW w:w="29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Expected volatility</w:t>
            </w:r>
          </w:p>
        </w:tc>
        <w:tc>
          <w:tcPr>
            <w:tcW w:w="9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87.4</w:t>
            </w:r>
          </w:p>
        </w:tc>
        <w:tc>
          <w:tcPr>
            <w:tcW w:w="377"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96.0</w:t>
            </w:r>
          </w:p>
        </w:tc>
        <w:tc>
          <w:tcPr>
            <w:tcW w:w="290" w:type="dxa"/>
            <w:tcBorders/>
            <w:vAlign w:val="center"/>
          </w:tcPr>
          <w:p>
            <w:pPr>
              <w:pStyle w:val="TableContents"/>
              <w:bidi w:val="0"/>
              <w:spacing w:before="0" w:after="283"/>
              <w:jc w:val="left"/>
              <w:rPr/>
            </w:pPr>
            <w:r>
              <w:rPr/>
              <w:t>%</w:t>
            </w:r>
          </w:p>
        </w:tc>
      </w:tr>
      <w:tr>
        <w:trPr/>
        <w:tc>
          <w:tcPr>
            <w:tcW w:w="2375" w:type="dxa"/>
            <w:tcBorders/>
            <w:shd w:fill="CCEEFF" w:val="clear"/>
            <w:vAlign w:val="center"/>
          </w:tcPr>
          <w:p>
            <w:pPr>
              <w:pStyle w:val="TableContents"/>
              <w:bidi w:val="0"/>
              <w:spacing w:before="0" w:after="283"/>
              <w:jc w:val="left"/>
              <w:rPr/>
            </w:pPr>
            <w:r>
              <w:rPr/>
              <w:t>Risk-free interest rate</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3.9</w:t>
            </w:r>
          </w:p>
        </w:tc>
        <w:tc>
          <w:tcPr>
            <w:tcW w:w="377" w:type="dxa"/>
            <w:tcBorders/>
            <w:shd w:fill="CCEEFF" w:val="clear"/>
            <w:vAlign w:val="center"/>
          </w:tcPr>
          <w:p>
            <w:pPr>
              <w:pStyle w:val="TableContents"/>
              <w:bidi w:val="0"/>
              <w:spacing w:before="0" w:after="283"/>
              <w:jc w:val="left"/>
              <w:rPr/>
            </w:pPr>
            <w:r>
              <w:rPr/>
              <w:t>%</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4.5</w:t>
            </w:r>
          </w:p>
        </w:tc>
        <w:tc>
          <w:tcPr>
            <w:tcW w:w="290" w:type="dxa"/>
            <w:tcBorders/>
            <w:shd w:fill="CCEEFF" w:val="clear"/>
            <w:vAlign w:val="center"/>
          </w:tcPr>
          <w:p>
            <w:pPr>
              <w:pStyle w:val="TableContents"/>
              <w:bidi w:val="0"/>
              <w:spacing w:before="0" w:after="283"/>
              <w:jc w:val="left"/>
              <w:rPr/>
            </w:pPr>
            <w:r>
              <w:rPr/>
              <w:t>%</w:t>
            </w:r>
          </w:p>
        </w:tc>
      </w:tr>
      <w:tr>
        <w:trPr/>
        <w:tc>
          <w:tcPr>
            <w:tcW w:w="2375" w:type="dxa"/>
            <w:tcBorders/>
            <w:vAlign w:val="center"/>
          </w:tcPr>
          <w:p>
            <w:pPr>
              <w:pStyle w:val="TableContents"/>
              <w:bidi w:val="0"/>
              <w:spacing w:before="0" w:after="283"/>
              <w:jc w:val="left"/>
              <w:rPr/>
            </w:pPr>
            <w:r>
              <w:rPr/>
              <w:t>Expected dividend yield</w:t>
            </w:r>
          </w:p>
        </w:tc>
        <w:tc>
          <w:tcPr>
            <w:tcW w:w="9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0"/>
              <w:jc w:val="right"/>
              <w:rPr/>
            </w:pPr>
            <w:r>
              <w:rPr/>
              <w:t>—</w:t>
            </w:r>
          </w:p>
        </w:tc>
        <w:tc>
          <w:tcPr>
            <w:tcW w:w="377"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0"/>
              <w:jc w:val="right"/>
              <w:rPr/>
            </w:pPr>
            <w:r>
              <w:rPr/>
              <w:t>—</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 Activity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stock option activities under the 2024 Plan and the 2024 Stock Plan for the three months ended March 31,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20"/>
        <w:gridCol w:w="90"/>
        <w:gridCol w:w="107"/>
        <w:gridCol w:w="1203"/>
        <w:gridCol w:w="125"/>
        <w:gridCol w:w="90"/>
        <w:gridCol w:w="238"/>
        <w:gridCol w:w="827"/>
        <w:gridCol w:w="90"/>
        <w:gridCol w:w="90"/>
        <w:gridCol w:w="272"/>
        <w:gridCol w:w="1062"/>
        <w:gridCol w:w="90"/>
        <w:gridCol w:w="90"/>
        <w:gridCol w:w="266"/>
        <w:gridCol w:w="1307"/>
        <w:gridCol w:w="138"/>
      </w:tblGrid>
      <w:tr>
        <w:trPr/>
        <w:tc>
          <w:tcPr>
            <w:tcW w:w="41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Stock</w:t>
              <w:br/>
              <w:t xml:space="preserve">Options </w:t>
              <w:br/>
              <w:t>Outstanding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 xml:space="preserve">Average </w:t>
              <w:br/>
              <w:t>Exercise</w:t>
              <w:br/>
              <w:t xml:space="preserve">Price </w:t>
              <w:br/>
              <w:t>Per 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Remaining </w:t>
              <w:br/>
              <w:t xml:space="preserve">Contractual </w:t>
              <w:br/>
              <w:t>Term</w:t>
              <w:br/>
              <w:t>(in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Aggregate </w:t>
              <w:br/>
              <w:t xml:space="preserve">Intrinsic </w:t>
              <w:br/>
              <w:t>Value</w:t>
              <w:br/>
              <w:t>(in Thousands)</w:t>
            </w:r>
          </w:p>
        </w:tc>
        <w:tc>
          <w:tcPr>
            <w:tcW w:w="138" w:type="dxa"/>
            <w:tcBorders/>
            <w:vAlign w:val="center"/>
          </w:tcPr>
          <w:p>
            <w:pPr>
              <w:pStyle w:val="TableContents"/>
              <w:bidi w:val="0"/>
              <w:spacing w:before="0" w:after="283"/>
              <w:jc w:val="left"/>
              <w:rPr/>
            </w:pPr>
            <w:r>
              <w:rPr/>
              <w:t> </w:t>
            </w:r>
          </w:p>
        </w:tc>
      </w:tr>
      <w:tr>
        <w:trPr/>
        <w:tc>
          <w:tcPr>
            <w:tcW w:w="4120" w:type="dxa"/>
            <w:tcBorders/>
            <w:shd w:fill="CCEEFF" w:val="clear"/>
            <w:vAlign w:val="center"/>
          </w:tcPr>
          <w:p>
            <w:pPr>
              <w:pStyle w:val="TableContents"/>
              <w:bidi w:val="0"/>
              <w:spacing w:before="0" w:after="283"/>
              <w:jc w:val="left"/>
              <w:rPr/>
            </w:pPr>
            <w:r>
              <w:rPr/>
              <w:t>Balance as of December 31, 2025</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3,950,958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283"/>
              <w:jc w:val="right"/>
              <w:rPr/>
            </w:pPr>
            <w:r>
              <w:rPr/>
              <w:t>12.61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69,966</w:t>
            </w:r>
          </w:p>
        </w:tc>
        <w:tc>
          <w:tcPr>
            <w:tcW w:w="138" w:type="dxa"/>
            <w:tcBorders/>
            <w:shd w:fill="CCEEFF" w:val="clear"/>
            <w:vAlign w:val="center"/>
          </w:tcPr>
          <w:p>
            <w:pPr>
              <w:pStyle w:val="TableContents"/>
              <w:bidi w:val="0"/>
              <w:spacing w:before="0" w:after="283"/>
              <w:jc w:val="left"/>
              <w:rPr/>
            </w:pPr>
            <w:r>
              <w:rPr/>
              <w:t> </w:t>
            </w:r>
          </w:p>
        </w:tc>
      </w:tr>
      <w:tr>
        <w:trPr/>
        <w:tc>
          <w:tcPr>
            <w:tcW w:w="4120"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1,482,951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827" w:type="dxa"/>
            <w:tcBorders/>
            <w:vAlign w:val="center"/>
          </w:tcPr>
          <w:p>
            <w:pPr>
              <w:pStyle w:val="TableContents"/>
              <w:bidi w:val="0"/>
              <w:spacing w:before="0" w:after="283"/>
              <w:jc w:val="right"/>
              <w:rPr/>
            </w:pPr>
            <w:r>
              <w:rPr/>
              <w:t>34.31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r>
      <w:tr>
        <w:trPr/>
        <w:tc>
          <w:tcPr>
            <w:tcW w:w="4120"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(58,593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283"/>
              <w:jc w:val="right"/>
              <w:rPr/>
            </w:pPr>
            <w:r>
              <w:rPr/>
              <w:t>11.91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4120" w:type="dxa"/>
            <w:tcBorders/>
            <w:vAlign w:val="center"/>
          </w:tcPr>
          <w:p>
            <w:pPr>
              <w:pStyle w:val="TableContents"/>
              <w:bidi w:val="0"/>
              <w:spacing w:before="0" w:after="283"/>
              <w:jc w:val="left"/>
              <w:rPr/>
            </w:pPr>
            <w:r>
              <w:rPr/>
              <w:t>Canceled/forfeited</w:t>
            </w:r>
          </w:p>
        </w:tc>
        <w:tc>
          <w:tcPr>
            <w:tcW w:w="90" w:type="dxa"/>
            <w:tcBorders/>
            <w:vAlign w:val="center"/>
          </w:tcPr>
          <w:p>
            <w:pPr>
              <w:pStyle w:val="TableContents"/>
              <w:bidi w:val="0"/>
              <w:spacing w:before="0" w:after="283"/>
              <w:jc w:val="left"/>
              <w:rPr/>
            </w:pPr>
            <w:r>
              <w:rPr/>
              <w:t> </w:t>
            </w:r>
          </w:p>
        </w:tc>
        <w:tc>
          <w:tcPr>
            <w:tcW w:w="1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tcMar>
              <w:bottom w:w="28" w:type="dxa"/>
            </w:tcMar>
            <w:vAlign w:val="center"/>
          </w:tcPr>
          <w:p>
            <w:pPr>
              <w:pStyle w:val="TableContents"/>
              <w:bidi w:val="0"/>
              <w:spacing w:before="0" w:after="283"/>
              <w:jc w:val="right"/>
              <w:rPr/>
            </w:pPr>
            <w:r>
              <w:rPr/>
              <w:t>(77,965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827" w:type="dxa"/>
            <w:tcBorders/>
            <w:vAlign w:val="center"/>
          </w:tcPr>
          <w:p>
            <w:pPr>
              <w:pStyle w:val="TableContents"/>
              <w:bidi w:val="0"/>
              <w:spacing w:before="0" w:after="283"/>
              <w:jc w:val="right"/>
              <w:rPr/>
            </w:pPr>
            <w:r>
              <w:rPr/>
              <w:t>15.04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r>
      <w:tr>
        <w:trPr/>
        <w:tc>
          <w:tcPr>
            <w:tcW w:w="4120" w:type="dxa"/>
            <w:tcBorders/>
            <w:shd w:fill="CCEEFF" w:val="clear"/>
            <w:vAlign w:val="center"/>
          </w:tcPr>
          <w:p>
            <w:pPr>
              <w:pStyle w:val="TableContents"/>
              <w:bidi w:val="0"/>
              <w:spacing w:before="0" w:after="283"/>
              <w:jc w:val="left"/>
              <w:rPr/>
            </w:pPr>
            <w:r>
              <w:rPr/>
              <w:t>Balance as of March 31, 2026</w:t>
            </w:r>
          </w:p>
        </w:tc>
        <w:tc>
          <w:tcPr>
            <w:tcW w:w="9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shd w:fill="CCEEFF" w:val="clear"/>
            <w:tcMar>
              <w:bottom w:w="28" w:type="dxa"/>
            </w:tcMar>
            <w:vAlign w:val="center"/>
          </w:tcPr>
          <w:p>
            <w:pPr>
              <w:pStyle w:val="TableContents"/>
              <w:bidi w:val="0"/>
              <w:spacing w:before="0" w:after="283"/>
              <w:jc w:val="right"/>
              <w:rPr/>
            </w:pPr>
            <w:r>
              <w:rPr/>
              <w:t>5,297,351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283"/>
              <w:jc w:val="right"/>
              <w:rPr/>
            </w:pPr>
            <w:r>
              <w:rPr/>
              <w:t>18.66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160,987</w:t>
            </w:r>
          </w:p>
        </w:tc>
        <w:tc>
          <w:tcPr>
            <w:tcW w:w="138" w:type="dxa"/>
            <w:tcBorders/>
            <w:shd w:fill="CCEEFF" w:val="clear"/>
            <w:vAlign w:val="center"/>
          </w:tcPr>
          <w:p>
            <w:pPr>
              <w:pStyle w:val="TableContents"/>
              <w:bidi w:val="0"/>
              <w:spacing w:before="0" w:after="283"/>
              <w:jc w:val="left"/>
              <w:rPr/>
            </w:pPr>
            <w:r>
              <w:rPr/>
              <w:t> </w:t>
            </w:r>
          </w:p>
        </w:tc>
      </w:tr>
      <w:tr>
        <w:trPr/>
        <w:tc>
          <w:tcPr>
            <w:tcW w:w="4120" w:type="dxa"/>
            <w:tcBorders/>
            <w:vAlign w:val="center"/>
          </w:tcPr>
          <w:p>
            <w:pPr>
              <w:pStyle w:val="TableContents"/>
              <w:bidi w:val="0"/>
              <w:spacing w:before="0" w:after="283"/>
              <w:jc w:val="left"/>
              <w:rPr/>
            </w:pPr>
            <w:r>
              <w:rPr/>
              <w:t>Vested and expected to vest, March 31, 2026</w:t>
            </w:r>
          </w:p>
        </w:tc>
        <w:tc>
          <w:tcPr>
            <w:tcW w:w="90" w:type="dxa"/>
            <w:tcBorders/>
            <w:vAlign w:val="center"/>
          </w:tcPr>
          <w:p>
            <w:pPr>
              <w:pStyle w:val="TableContents"/>
              <w:bidi w:val="0"/>
              <w:spacing w:before="0" w:after="283"/>
              <w:jc w:val="left"/>
              <w:rPr/>
            </w:pPr>
            <w:r>
              <w:rPr/>
              <w:t> </w:t>
            </w:r>
          </w:p>
        </w:tc>
        <w:tc>
          <w:tcPr>
            <w:tcW w:w="107"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tcMar>
              <w:bottom w:w="28" w:type="dxa"/>
            </w:tcMar>
            <w:vAlign w:val="center"/>
          </w:tcPr>
          <w:p>
            <w:pPr>
              <w:pStyle w:val="TableContents"/>
              <w:bidi w:val="0"/>
              <w:spacing w:before="0" w:after="283"/>
              <w:jc w:val="right"/>
              <w:rPr/>
            </w:pPr>
            <w:r>
              <w:rPr/>
              <w:t>5,297,351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827" w:type="dxa"/>
            <w:tcBorders/>
            <w:vAlign w:val="center"/>
          </w:tcPr>
          <w:p>
            <w:pPr>
              <w:pStyle w:val="TableContents"/>
              <w:bidi w:val="0"/>
              <w:spacing w:before="0" w:after="283"/>
              <w:jc w:val="right"/>
              <w:rPr/>
            </w:pPr>
            <w:r>
              <w:rPr/>
              <w:t>18.66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160,987</w:t>
            </w:r>
          </w:p>
        </w:tc>
        <w:tc>
          <w:tcPr>
            <w:tcW w:w="138" w:type="dxa"/>
            <w:tcBorders/>
            <w:vAlign w:val="center"/>
          </w:tcPr>
          <w:p>
            <w:pPr>
              <w:pStyle w:val="TableContents"/>
              <w:bidi w:val="0"/>
              <w:spacing w:before="0" w:after="283"/>
              <w:jc w:val="left"/>
              <w:rPr/>
            </w:pPr>
            <w:r>
              <w:rPr/>
              <w:t> </w:t>
            </w:r>
          </w:p>
        </w:tc>
      </w:tr>
      <w:tr>
        <w:trPr/>
        <w:tc>
          <w:tcPr>
            <w:tcW w:w="4120" w:type="dxa"/>
            <w:tcBorders/>
            <w:shd w:fill="CCEEFF" w:val="clear"/>
            <w:vAlign w:val="center"/>
          </w:tcPr>
          <w:p>
            <w:pPr>
              <w:pStyle w:val="TableContents"/>
              <w:bidi w:val="0"/>
              <w:spacing w:before="0" w:after="283"/>
              <w:jc w:val="left"/>
              <w:rPr/>
            </w:pPr>
            <w:r>
              <w:rPr/>
              <w:t>Exercisable, March 31, 2026</w:t>
            </w:r>
          </w:p>
        </w:tc>
        <w:tc>
          <w:tcPr>
            <w:tcW w:w="9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shd w:fill="CCEEFF" w:val="clear"/>
            <w:tcMar>
              <w:bottom w:w="28" w:type="dxa"/>
            </w:tcMar>
            <w:vAlign w:val="center"/>
          </w:tcPr>
          <w:p>
            <w:pPr>
              <w:pStyle w:val="TableContents"/>
              <w:bidi w:val="0"/>
              <w:spacing w:before="0" w:after="283"/>
              <w:jc w:val="right"/>
              <w:rPr/>
            </w:pPr>
            <w:r>
              <w:rPr/>
              <w:t>1,269,986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283"/>
              <w:jc w:val="right"/>
              <w:rPr/>
            </w:pPr>
            <w:r>
              <w:rPr/>
              <w:t>12.11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46,912</w:t>
            </w:r>
          </w:p>
        </w:tc>
        <w:tc>
          <w:tcPr>
            <w:tcW w:w="13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grant-date fair value per share of stock options granted during the three months ended March 31, 2026 was $25.68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represents the difference between the closing price of the Company’s common stock on March 31, 2026 and the exercise price of outstanding, in-the-money employee stock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of the options exercised during the three months ended March 31, 2026 and 2025 were $1.4 million and nil,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began issuing restricted stock units (“RSUs”) under the 2024 Stock Plan during the quarter ended March 31, 2026. An RSU is an agreement to issue shares of the Company’s common stock at the time of vesting. RSUs generally vest over a four-year service period. RSUs granted during the annual refresher awards vest typically in equal quarterly installments over four years, subject to continued employment. RSUs granted to a new employee cliff vest 25% on the Company’s quarterly vesting date on or after the first anniversary of the grant date, followed by 12 equal quarterly vesting thereafter. Upon vesting, each RSU converts into one share of the Company’s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associated with RSUs are based on the fair value of the Company’s common stock on the grant date, which equals the closing market price of the Company’s common stock on the grant date. For RSUs, the Company recognizes compensation expense over the vesting period of the awards that are ultimately expected to vest.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RSU activity for the three months ended March 31, 2026:</w:t>
      </w:r>
    </w:p>
    <w:p>
      <w:pPr>
        <w:pStyle w:val="TextBody"/>
        <w:bidi w:val="0"/>
        <w:spacing w:before="0" w:after="0"/>
        <w:ind w:left="0" w:right="0" w:hanging="0"/>
        <w:jc w:val="both"/>
        <w:rPr>
          <w:caps w:val="false"/>
          <w:smallCaps w:val="false"/>
        </w:rPr>
      </w:pPr>
      <w:r>
        <w:rPr>
          <w:caps w:val="false"/>
          <w:smallCaps w:val="false"/>
        </w:rPr>
        <w:t> </w:t>
      </w:r>
    </w:p>
    <w:tbl>
      <w:tblPr>
        <w:tblW w:w="6154" w:type="dxa"/>
        <w:jc w:val="left"/>
        <w:tblInd w:w="0" w:type="dxa"/>
        <w:tblLayout w:type="fixed"/>
        <w:tblCellMar>
          <w:top w:w="0" w:type="dxa"/>
          <w:left w:w="0" w:type="dxa"/>
          <w:bottom w:w="0" w:type="dxa"/>
          <w:right w:w="0" w:type="dxa"/>
        </w:tblCellMar>
      </w:tblPr>
      <w:tblGrid>
        <w:gridCol w:w="3410"/>
        <w:gridCol w:w="90"/>
        <w:gridCol w:w="128"/>
        <w:gridCol w:w="1182"/>
        <w:gridCol w:w="125"/>
        <w:gridCol w:w="90"/>
        <w:gridCol w:w="222"/>
        <w:gridCol w:w="772"/>
        <w:gridCol w:w="135"/>
      </w:tblGrid>
      <w:tr>
        <w:trPr/>
        <w:tc>
          <w:tcPr>
            <w:tcW w:w="34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 xml:space="preserve">RSUs </w:t>
              <w:br/>
              <w:t>Outstanding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br/>
              <w:t>Average</w:t>
              <w:br/>
              <w:t>Grant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13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Unvested as of December 31, 2025</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421,019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w:t>
            </w:r>
          </w:p>
        </w:tc>
        <w:tc>
          <w:tcPr>
            <w:tcW w:w="772" w:type="dxa"/>
            <w:tcBorders/>
            <w:vAlign w:val="center"/>
          </w:tcPr>
          <w:p>
            <w:pPr>
              <w:pStyle w:val="TableContents"/>
              <w:bidi w:val="0"/>
              <w:spacing w:before="0" w:after="283"/>
              <w:jc w:val="right"/>
              <w:rPr/>
            </w:pPr>
            <w:r>
              <w:rPr/>
              <w:t>34.43</w:t>
            </w:r>
          </w:p>
        </w:tc>
        <w:tc>
          <w:tcPr>
            <w:tcW w:w="13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(24,611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283"/>
              <w:jc w:val="right"/>
              <w:rPr/>
            </w:pPr>
            <w:r>
              <w:rPr/>
              <w:t>34.37</w:t>
            </w:r>
          </w:p>
        </w:tc>
        <w:tc>
          <w:tcPr>
            <w:tcW w:w="135"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Canceled/forfeited</w:t>
            </w:r>
          </w:p>
        </w:tc>
        <w:tc>
          <w:tcPr>
            <w:tcW w:w="90" w:type="dxa"/>
            <w:tcBorders/>
            <w:vAlign w:val="center"/>
          </w:tcPr>
          <w:p>
            <w:pPr>
              <w:pStyle w:val="TableContents"/>
              <w:bidi w:val="0"/>
              <w:spacing w:before="0" w:after="283"/>
              <w:jc w:val="left"/>
              <w:rPr/>
            </w:pPr>
            <w:r>
              <w:rPr/>
              <w:t> </w:t>
            </w:r>
          </w:p>
        </w:tc>
        <w:tc>
          <w:tcPr>
            <w:tcW w:w="12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283"/>
              <w:jc w:val="right"/>
              <w:rPr/>
            </w:pPr>
            <w:r>
              <w:rPr/>
              <w:t>(263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w:t>
            </w:r>
          </w:p>
        </w:tc>
        <w:tc>
          <w:tcPr>
            <w:tcW w:w="772" w:type="dxa"/>
            <w:tcBorders/>
            <w:vAlign w:val="center"/>
          </w:tcPr>
          <w:p>
            <w:pPr>
              <w:pStyle w:val="TableContents"/>
              <w:bidi w:val="0"/>
              <w:spacing w:before="0" w:after="283"/>
              <w:jc w:val="right"/>
              <w:rPr/>
            </w:pPr>
            <w:r>
              <w:rPr/>
              <w:t>34.39</w:t>
            </w:r>
          </w:p>
        </w:tc>
        <w:tc>
          <w:tcPr>
            <w:tcW w:w="13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Unvested as of March 31, 2026</w:t>
            </w:r>
          </w:p>
        </w:tc>
        <w:tc>
          <w:tcPr>
            <w:tcW w:w="90" w:type="dxa"/>
            <w:tcBorders/>
            <w:shd w:fill="CCEEFF" w:val="clear"/>
            <w:vAlign w:val="center"/>
          </w:tcPr>
          <w:p>
            <w:pPr>
              <w:pStyle w:val="TableContents"/>
              <w:bidi w:val="0"/>
              <w:spacing w:before="0" w:after="283"/>
              <w:jc w:val="left"/>
              <w:rPr/>
            </w:pPr>
            <w:r>
              <w:rPr/>
              <w:t>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pPr>
            <w:r>
              <w:rPr/>
              <w:t>396,145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283"/>
              <w:jc w:val="right"/>
              <w:rPr/>
            </w:pPr>
            <w:r>
              <w:rPr/>
              <w:t>34.44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RSUs that vested during the three months ended March 31, 2026 was $1.0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March 31, 2025, stock-based compensation expenses related to RSUs was $1.0 million and nil,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Awards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restricted stock awards (“RSA”) activity for the three months ended March 31, 2026:</w:t>
      </w:r>
    </w:p>
    <w:p>
      <w:pPr>
        <w:pStyle w:val="TextBody"/>
        <w:bidi w:val="0"/>
        <w:spacing w:before="0" w:after="0"/>
        <w:ind w:left="0" w:right="0" w:hanging="0"/>
        <w:jc w:val="left"/>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4190"/>
        <w:gridCol w:w="90"/>
        <w:gridCol w:w="99"/>
        <w:gridCol w:w="1120"/>
        <w:gridCol w:w="125"/>
        <w:gridCol w:w="90"/>
        <w:gridCol w:w="173"/>
        <w:gridCol w:w="1031"/>
        <w:gridCol w:w="135"/>
      </w:tblGrid>
      <w:tr>
        <w:trPr/>
        <w:tc>
          <w:tcPr>
            <w:tcW w:w="41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RSAs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Grant Date</w:t>
              <w:br/>
              <w:t>Fair Value</w:t>
            </w:r>
          </w:p>
        </w:tc>
        <w:tc>
          <w:tcPr>
            <w:tcW w:w="13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pPr>
            <w:r>
              <w:rPr/>
              <w:t>Unvested balance as of December 31, 2025</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1,149,589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(125,719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Canceled/ forfeited</w:t>
            </w:r>
          </w:p>
        </w:tc>
        <w:tc>
          <w:tcPr>
            <w:tcW w:w="90" w:type="dxa"/>
            <w:tcBorders/>
            <w:vAlign w:val="center"/>
          </w:tcPr>
          <w:p>
            <w:pPr>
              <w:pStyle w:val="TableContents"/>
              <w:bidi w:val="0"/>
              <w:spacing w:before="0" w:after="283"/>
              <w:jc w:val="left"/>
              <w:rPr/>
            </w:pPr>
            <w:r>
              <w:rPr/>
              <w:t> </w:t>
            </w:r>
          </w:p>
        </w:tc>
        <w:tc>
          <w:tcPr>
            <w:tcW w:w="99" w:type="dxa"/>
            <w:tcBorders>
              <w:bottom w:val="double" w:sz="10" w:space="0" w:color="000000"/>
            </w:tcBorders>
            <w:tcMar>
              <w:bottom w:w="28" w:type="dxa"/>
            </w:tcMar>
            <w:vAlign w:val="center"/>
          </w:tcPr>
          <w:p>
            <w:pPr>
              <w:pStyle w:val="TableContents"/>
              <w:bidi w:val="0"/>
              <w:spacing w:before="0" w:after="283"/>
              <w:jc w:val="left"/>
              <w:rPr/>
            </w:pPr>
            <w:r>
              <w:rPr/>
              <w:t> </w:t>
            </w:r>
          </w:p>
        </w:tc>
        <w:tc>
          <w:tcPr>
            <w:tcW w:w="1120"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0"/>
              <w:jc w:val="right"/>
              <w:rPr/>
            </w:pPr>
            <w:r>
              <w:rPr/>
              <w:t>            —</w:t>
            </w:r>
          </w:p>
        </w:tc>
        <w:tc>
          <w:tcPr>
            <w:tcW w:w="13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pPr>
            <w:r>
              <w:rPr/>
              <w:t>Unvested balance as of March 31, 2026</w:t>
            </w:r>
          </w:p>
        </w:tc>
        <w:tc>
          <w:tcPr>
            <w:tcW w:w="90" w:type="dxa"/>
            <w:tcBorders/>
            <w:shd w:fill="CCEEFF" w:val="clear"/>
            <w:vAlign w:val="center"/>
          </w:tcPr>
          <w:p>
            <w:pPr>
              <w:pStyle w:val="TableContents"/>
              <w:bidi w:val="0"/>
              <w:spacing w:before="0" w:after="283"/>
              <w:jc w:val="left"/>
              <w:rPr/>
            </w:pPr>
            <w:r>
              <w:rPr/>
              <w:t> </w:t>
            </w:r>
          </w:p>
        </w:tc>
        <w:tc>
          <w:tcPr>
            <w:tcW w:w="9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double" w:sz="10" w:space="0" w:color="000000"/>
            </w:tcBorders>
            <w:shd w:fill="CCEEFF" w:val="clear"/>
            <w:tcMar>
              <w:bottom w:w="28" w:type="dxa"/>
            </w:tcMar>
            <w:vAlign w:val="center"/>
          </w:tcPr>
          <w:p>
            <w:pPr>
              <w:pStyle w:val="TableContents"/>
              <w:bidi w:val="0"/>
              <w:spacing w:before="0" w:after="283"/>
              <w:jc w:val="right"/>
              <w:rPr/>
            </w:pPr>
            <w:r>
              <w:rPr/>
              <w:t>1,023,870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RSAs that vested during the three months ended March 31, 2026 was $4.5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March 31, 2025, stock-based compensation expenses related to RSAs were less than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Agreements and Paruka Warrant Obligation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Option Agreements (defined in Note 10 below), the Company granted warrants to purchase a number of shares equal to 1.00% of outstanding shares as of the date of the grant on a fully-diluted basis, or based upon the agreed number of warrants as disclosed in the Warrant Agreement, with an exercise price equal to the fair market value of the underlying shares on the grant date (the “Paruka Warrant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dates for the issuance of warrants were expected to be December 31, 2024 and December 31, 2025 as all terms of the award, including number of shares and exercise price, will be known by all parties. The Company determined that the 2024 and 2025 grants are two separate grants, as there would be no obligation for the 2025 grant had the Company exercised or terminated all of the options under the Option Agreements prior to December 31, 2024. The service inception period for the grant precedes the grant date, with the full award being vested as of the grant date with no post-grant date service requirement. Accordingly, a liability related to the Paruka Warrant Obligation was recorded during the 2024 and 2025 interim periods. The liability is adjusted to fair value at the end of each interim reporting period, with changes in fair value recorded in the consolidated statements of operations as stock-based compensation expenses under 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settled its 2024 and 2025 obligations under the Paruka Warrant Obligation by issuing Paruka 596,930 and 375,000 warrants, respectively, to purchase common stock at an exercise price per warrant of $19.39 and $30.18, respectively. For the three months ended March 31, 2026 and 2025, nil and $1.4 million, respectively, was recognized as stock-based compensation expense related to the Paruka Warrant Obligation. As of each of March 31, 2026 and December 31, 2025, the unamortized expense related to the Paruka Warrant Obligation was nil.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employee warrant activity during the three months ended March 31,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7"/>
        <w:gridCol w:w="90"/>
        <w:gridCol w:w="107"/>
        <w:gridCol w:w="1203"/>
        <w:gridCol w:w="125"/>
        <w:gridCol w:w="90"/>
        <w:gridCol w:w="285"/>
        <w:gridCol w:w="793"/>
        <w:gridCol w:w="90"/>
        <w:gridCol w:w="90"/>
        <w:gridCol w:w="272"/>
        <w:gridCol w:w="1062"/>
        <w:gridCol w:w="90"/>
        <w:gridCol w:w="90"/>
        <w:gridCol w:w="266"/>
        <w:gridCol w:w="1307"/>
        <w:gridCol w:w="138"/>
      </w:tblGrid>
      <w:tr>
        <w:trPr/>
        <w:tc>
          <w:tcPr>
            <w:tcW w:w="410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 xml:space="preserve">Employee </w:t>
              <w:br/>
              <w:t xml:space="preserve">Warrants </w:t>
              <w:br/>
              <w:t>Outstanding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Exercise</w:t>
              <w:br/>
              <w:t xml:space="preserve">Price </w:t>
              <w:br/>
              <w:t>Per 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Remaining </w:t>
              <w:br/>
              <w:t xml:space="preserve">Contractual </w:t>
              <w:br/>
              <w:t>Term</w:t>
              <w:br/>
              <w:t>(in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Aggregate </w:t>
              <w:br/>
              <w:t xml:space="preserve">Intrinsic </w:t>
              <w:br/>
              <w:t>Value</w:t>
              <w:br/>
              <w:t>(in Thousands)</w:t>
            </w:r>
          </w:p>
        </w:tc>
        <w:tc>
          <w:tcPr>
            <w:tcW w:w="138" w:type="dxa"/>
            <w:tcBorders/>
            <w:vAlign w:val="center"/>
          </w:tcPr>
          <w:p>
            <w:pPr>
              <w:pStyle w:val="TableContents"/>
              <w:bidi w:val="0"/>
              <w:spacing w:before="0" w:after="283"/>
              <w:jc w:val="left"/>
              <w:rPr/>
            </w:pPr>
            <w:r>
              <w:rPr/>
              <w:t> </w:t>
            </w:r>
          </w:p>
        </w:tc>
      </w:tr>
      <w:tr>
        <w:trPr/>
        <w:tc>
          <w:tcPr>
            <w:tcW w:w="4107" w:type="dxa"/>
            <w:tcBorders/>
            <w:shd w:fill="CCEEFF" w:val="clear"/>
            <w:vAlign w:val="center"/>
          </w:tcPr>
          <w:p>
            <w:pPr>
              <w:pStyle w:val="TableContents"/>
              <w:bidi w:val="0"/>
              <w:spacing w:before="0" w:after="283"/>
              <w:jc w:val="left"/>
              <w:rPr/>
            </w:pPr>
            <w:r>
              <w:rPr/>
              <w:t>Balance as of December 31, 2025</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3,029,510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793" w:type="dxa"/>
            <w:tcBorders/>
            <w:shd w:fill="CCEEFF" w:val="clear"/>
            <w:vAlign w:val="center"/>
          </w:tcPr>
          <w:p>
            <w:pPr>
              <w:pStyle w:val="TableContents"/>
              <w:bidi w:val="0"/>
              <w:spacing w:before="0" w:after="283"/>
              <w:jc w:val="right"/>
              <w:rPr/>
            </w:pPr>
            <w:r>
              <w:rPr/>
              <w:t>7.80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center"/>
              <w:rPr/>
            </w:pPr>
            <w:r>
              <w:rPr/>
              <w:t>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68,194</w:t>
            </w:r>
          </w:p>
        </w:tc>
        <w:tc>
          <w:tcPr>
            <w:tcW w:w="138" w:type="dxa"/>
            <w:tcBorders/>
            <w:shd w:fill="CCEEFF" w:val="clear"/>
            <w:vAlign w:val="center"/>
          </w:tcPr>
          <w:p>
            <w:pPr>
              <w:pStyle w:val="TableContents"/>
              <w:bidi w:val="0"/>
              <w:spacing w:before="0" w:after="283"/>
              <w:jc w:val="left"/>
              <w:rPr/>
            </w:pPr>
            <w:r>
              <w:rPr/>
              <w:t> </w:t>
            </w:r>
          </w:p>
        </w:tc>
      </w:tr>
      <w:tr>
        <w:trPr/>
        <w:tc>
          <w:tcPr>
            <w:tcW w:w="4107"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r>
      <w:tr>
        <w:trPr/>
        <w:tc>
          <w:tcPr>
            <w:tcW w:w="4107"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(137,003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793" w:type="dxa"/>
            <w:tcBorders/>
            <w:shd w:fill="CCEEFF" w:val="clear"/>
            <w:vAlign w:val="center"/>
          </w:tcPr>
          <w:p>
            <w:pPr>
              <w:pStyle w:val="TableContents"/>
              <w:bidi w:val="0"/>
              <w:spacing w:before="0" w:after="283"/>
              <w:jc w:val="right"/>
              <w:rPr/>
            </w:pPr>
            <w:r>
              <w:rPr/>
              <w:t>7.80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4107" w:type="dxa"/>
            <w:tcBorders/>
            <w:vAlign w:val="center"/>
          </w:tcPr>
          <w:p>
            <w:pPr>
              <w:pStyle w:val="TableContents"/>
              <w:bidi w:val="0"/>
              <w:spacing w:before="0" w:after="283"/>
              <w:jc w:val="left"/>
              <w:rPr/>
            </w:pPr>
            <w:r>
              <w:rPr/>
              <w:t>Canceled/forfeited</w:t>
            </w:r>
          </w:p>
        </w:tc>
        <w:tc>
          <w:tcPr>
            <w:tcW w:w="90" w:type="dxa"/>
            <w:tcBorders/>
            <w:vAlign w:val="center"/>
          </w:tcPr>
          <w:p>
            <w:pPr>
              <w:pStyle w:val="TableContents"/>
              <w:bidi w:val="0"/>
              <w:spacing w:before="0" w:after="283"/>
              <w:jc w:val="left"/>
              <w:rPr/>
            </w:pPr>
            <w:r>
              <w:rPr/>
              <w:t> </w:t>
            </w:r>
          </w:p>
        </w:tc>
        <w:tc>
          <w:tcPr>
            <w:tcW w:w="1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tcMar>
              <w:bottom w:w="28" w:type="dxa"/>
            </w:tcMar>
            <w:vAlign w:val="center"/>
          </w:tcPr>
          <w:p>
            <w:pPr>
              <w:pStyle w:val="TableContents"/>
              <w:bidi w:val="0"/>
              <w:spacing w:before="0" w:after="283"/>
              <w:jc w:val="right"/>
              <w:rPr/>
            </w:pPr>
            <w:r>
              <w:rPr/>
              <w:t>(124,996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7.80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r>
      <w:tr>
        <w:trPr/>
        <w:tc>
          <w:tcPr>
            <w:tcW w:w="4107" w:type="dxa"/>
            <w:tcBorders/>
            <w:shd w:fill="CCEEFF" w:val="clear"/>
            <w:vAlign w:val="center"/>
          </w:tcPr>
          <w:p>
            <w:pPr>
              <w:pStyle w:val="TableContents"/>
              <w:bidi w:val="0"/>
              <w:spacing w:before="0" w:after="283"/>
              <w:jc w:val="left"/>
              <w:rPr/>
            </w:pPr>
            <w:r>
              <w:rPr/>
              <w:t>Balance as of March 31, 2026</w:t>
            </w:r>
          </w:p>
        </w:tc>
        <w:tc>
          <w:tcPr>
            <w:tcW w:w="9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shd w:fill="CCEEFF" w:val="clear"/>
            <w:tcMar>
              <w:bottom w:w="28" w:type="dxa"/>
            </w:tcMar>
            <w:vAlign w:val="center"/>
          </w:tcPr>
          <w:p>
            <w:pPr>
              <w:pStyle w:val="TableContents"/>
              <w:bidi w:val="0"/>
              <w:spacing w:before="0" w:after="283"/>
              <w:jc w:val="right"/>
              <w:rPr/>
            </w:pPr>
            <w:r>
              <w:rPr/>
              <w:t>2,767,511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793" w:type="dxa"/>
            <w:tcBorders/>
            <w:shd w:fill="CCEEFF" w:val="clear"/>
            <w:vAlign w:val="center"/>
          </w:tcPr>
          <w:p>
            <w:pPr>
              <w:pStyle w:val="TableContents"/>
              <w:bidi w:val="0"/>
              <w:spacing w:before="0" w:after="283"/>
              <w:jc w:val="right"/>
              <w:rPr/>
            </w:pPr>
            <w:r>
              <w:rPr/>
              <w:t>7.80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center"/>
              <w:rPr/>
            </w:pPr>
            <w:r>
              <w:rPr/>
              <w:t>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114,160</w:t>
            </w:r>
          </w:p>
        </w:tc>
        <w:tc>
          <w:tcPr>
            <w:tcW w:w="138" w:type="dxa"/>
            <w:tcBorders/>
            <w:shd w:fill="CCEEFF" w:val="clear"/>
            <w:vAlign w:val="center"/>
          </w:tcPr>
          <w:p>
            <w:pPr>
              <w:pStyle w:val="TableContents"/>
              <w:bidi w:val="0"/>
              <w:spacing w:before="0" w:after="283"/>
              <w:jc w:val="left"/>
              <w:rPr/>
            </w:pPr>
            <w:r>
              <w:rPr/>
              <w:t> </w:t>
            </w:r>
          </w:p>
        </w:tc>
      </w:tr>
      <w:tr>
        <w:trPr/>
        <w:tc>
          <w:tcPr>
            <w:tcW w:w="4107" w:type="dxa"/>
            <w:tcBorders/>
            <w:vAlign w:val="center"/>
          </w:tcPr>
          <w:p>
            <w:pPr>
              <w:pStyle w:val="TableContents"/>
              <w:bidi w:val="0"/>
              <w:spacing w:before="0" w:after="283"/>
              <w:jc w:val="left"/>
              <w:rPr/>
            </w:pPr>
            <w:r>
              <w:rPr/>
              <w:t>Vested and expected to vest, March 31, 2026</w:t>
            </w:r>
          </w:p>
        </w:tc>
        <w:tc>
          <w:tcPr>
            <w:tcW w:w="90" w:type="dxa"/>
            <w:tcBorders/>
            <w:vAlign w:val="center"/>
          </w:tcPr>
          <w:p>
            <w:pPr>
              <w:pStyle w:val="TableContents"/>
              <w:bidi w:val="0"/>
              <w:spacing w:before="0" w:after="283"/>
              <w:jc w:val="left"/>
              <w:rPr/>
            </w:pPr>
            <w:r>
              <w:rPr/>
              <w:t> </w:t>
            </w:r>
          </w:p>
        </w:tc>
        <w:tc>
          <w:tcPr>
            <w:tcW w:w="107"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tcMar>
              <w:bottom w:w="28" w:type="dxa"/>
            </w:tcMar>
            <w:vAlign w:val="center"/>
          </w:tcPr>
          <w:p>
            <w:pPr>
              <w:pStyle w:val="TableContents"/>
              <w:bidi w:val="0"/>
              <w:spacing w:before="0" w:after="283"/>
              <w:jc w:val="right"/>
              <w:rPr/>
            </w:pPr>
            <w:r>
              <w:rPr/>
              <w:t>2,767,511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7.80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center"/>
              <w:rPr/>
            </w:pPr>
            <w:r>
              <w:rPr/>
              <w:t>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114,160</w:t>
            </w:r>
          </w:p>
        </w:tc>
        <w:tc>
          <w:tcPr>
            <w:tcW w:w="138" w:type="dxa"/>
            <w:tcBorders/>
            <w:vAlign w:val="center"/>
          </w:tcPr>
          <w:p>
            <w:pPr>
              <w:pStyle w:val="TableContents"/>
              <w:bidi w:val="0"/>
              <w:spacing w:before="0" w:after="283"/>
              <w:jc w:val="left"/>
              <w:rPr/>
            </w:pPr>
            <w:r>
              <w:rPr/>
              <w:t> </w:t>
            </w:r>
          </w:p>
        </w:tc>
      </w:tr>
      <w:tr>
        <w:trPr/>
        <w:tc>
          <w:tcPr>
            <w:tcW w:w="4107" w:type="dxa"/>
            <w:tcBorders/>
            <w:shd w:fill="CCEEFF" w:val="clear"/>
            <w:vAlign w:val="center"/>
          </w:tcPr>
          <w:p>
            <w:pPr>
              <w:pStyle w:val="TableContents"/>
              <w:bidi w:val="0"/>
              <w:spacing w:before="0" w:after="283"/>
              <w:jc w:val="left"/>
              <w:rPr/>
            </w:pPr>
            <w:r>
              <w:rPr/>
              <w:t>Exercisable, March 31, 2026</w:t>
            </w:r>
          </w:p>
        </w:tc>
        <w:tc>
          <w:tcPr>
            <w:tcW w:w="9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shd w:fill="CCEEFF" w:val="clear"/>
            <w:tcMar>
              <w:bottom w:w="28" w:type="dxa"/>
            </w:tcMar>
            <w:vAlign w:val="center"/>
          </w:tcPr>
          <w:p>
            <w:pPr>
              <w:pStyle w:val="TableContents"/>
              <w:bidi w:val="0"/>
              <w:spacing w:before="0" w:after="283"/>
              <w:jc w:val="right"/>
              <w:rPr/>
            </w:pPr>
            <w:r>
              <w:rPr/>
              <w:t>1,265,741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793" w:type="dxa"/>
            <w:tcBorders/>
            <w:shd w:fill="CCEEFF" w:val="clear"/>
            <w:vAlign w:val="center"/>
          </w:tcPr>
          <w:p>
            <w:pPr>
              <w:pStyle w:val="TableContents"/>
              <w:bidi w:val="0"/>
              <w:spacing w:before="0" w:after="283"/>
              <w:jc w:val="right"/>
              <w:rPr/>
            </w:pPr>
            <w:r>
              <w:rPr/>
              <w:t>7.80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center"/>
              <w:rPr/>
            </w:pPr>
            <w:r>
              <w:rPr/>
              <w:t>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52,212</w:t>
            </w:r>
          </w:p>
        </w:tc>
        <w:tc>
          <w:tcPr>
            <w:tcW w:w="13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represents the difference between the closing price of the Company’s common stock as of March 31, 2026 and the exercise price of outstanding, in-the-money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of the employee warrants exercised during the three months ended March 31, 2026 and 2025 was $3.5 million and nil,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classification of the Company’s stock-based compensation expense in the condensed consolidated statements of operations (in thousands):</w:t>
      </w:r>
    </w:p>
    <w:p>
      <w:pPr>
        <w:pStyle w:val="TextBody"/>
        <w:bidi w:val="0"/>
        <w:spacing w:before="0" w:after="0"/>
        <w:ind w:left="0" w:right="0" w:hanging="0"/>
        <w:jc w:val="left"/>
        <w:rPr>
          <w:caps w:val="false"/>
          <w:smallCaps w:val="false"/>
        </w:rPr>
      </w:pPr>
      <w:r>
        <w:rPr>
          <w:caps w:val="false"/>
          <w:smallCaps w:val="false"/>
        </w:rPr>
        <w:t> </w:t>
      </w:r>
    </w:p>
    <w:tbl>
      <w:tblPr>
        <w:tblW w:w="5078" w:type="dxa"/>
        <w:jc w:val="left"/>
        <w:tblInd w:w="0" w:type="dxa"/>
        <w:tblLayout w:type="fixed"/>
        <w:tblCellMar>
          <w:top w:w="0" w:type="dxa"/>
          <w:left w:w="0" w:type="dxa"/>
          <w:bottom w:w="0" w:type="dxa"/>
          <w:right w:w="0" w:type="dxa"/>
        </w:tblCellMar>
      </w:tblPr>
      <w:tblGrid>
        <w:gridCol w:w="2615"/>
        <w:gridCol w:w="90"/>
        <w:gridCol w:w="224"/>
        <w:gridCol w:w="777"/>
        <w:gridCol w:w="118"/>
        <w:gridCol w:w="118"/>
        <w:gridCol w:w="224"/>
        <w:gridCol w:w="777"/>
        <w:gridCol w:w="135"/>
      </w:tblGrid>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3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Research and development</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3,579</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3,003</w:t>
            </w:r>
          </w:p>
        </w:tc>
        <w:tc>
          <w:tcPr>
            <w:tcW w:w="13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General and administrative</w:t>
            </w:r>
          </w:p>
        </w:tc>
        <w:tc>
          <w:tcPr>
            <w:tcW w:w="90"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tcMar>
              <w:bottom w:w="28" w:type="dxa"/>
            </w:tcMar>
            <w:vAlign w:val="center"/>
          </w:tcPr>
          <w:p>
            <w:pPr>
              <w:pStyle w:val="TableContents"/>
              <w:bidi w:val="0"/>
              <w:spacing w:before="0" w:after="283"/>
              <w:jc w:val="right"/>
              <w:rPr/>
            </w:pPr>
            <w:r>
              <w:rPr/>
              <w:t>3,389</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tcMar>
              <w:bottom w:w="28" w:type="dxa"/>
            </w:tcMar>
            <w:vAlign w:val="center"/>
          </w:tcPr>
          <w:p>
            <w:pPr>
              <w:pStyle w:val="TableContents"/>
              <w:bidi w:val="0"/>
              <w:spacing w:before="0" w:after="283"/>
              <w:jc w:val="right"/>
              <w:rPr/>
            </w:pPr>
            <w:r>
              <w:rPr/>
              <w:t>1,880</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22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6,968</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4,883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total unrecognized stock-based compensation expenses related to the unvested stock options, RSUs, RSAs, employee warrants, and ESPP was $84.1 million, which is expected to be recognized over a weighted average period of approximately 3.1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award types of the Company’s stock-based compensation expense in the condensed consolidated statements of operations (in thousands): </w:t>
      </w:r>
    </w:p>
    <w:p>
      <w:pPr>
        <w:pStyle w:val="TextBody"/>
        <w:bidi w:val="0"/>
        <w:spacing w:before="0" w:after="0"/>
        <w:ind w:left="0" w:right="0" w:hanging="0"/>
        <w:jc w:val="both"/>
        <w:rPr>
          <w:caps w:val="false"/>
          <w:smallCaps w:val="false"/>
        </w:rPr>
      </w:pPr>
      <w:r>
        <w:rPr>
          <w:caps w:val="false"/>
          <w:smallCaps w:val="false"/>
        </w:rPr>
        <w:t> </w:t>
      </w:r>
    </w:p>
    <w:tbl>
      <w:tblPr>
        <w:tblW w:w="5408" w:type="dxa"/>
        <w:jc w:val="left"/>
        <w:tblInd w:w="0" w:type="dxa"/>
        <w:tblLayout w:type="fixed"/>
        <w:tblCellMar>
          <w:top w:w="0" w:type="dxa"/>
          <w:left w:w="0" w:type="dxa"/>
          <w:bottom w:w="0" w:type="dxa"/>
          <w:right w:w="0" w:type="dxa"/>
        </w:tblCellMar>
      </w:tblPr>
      <w:tblGrid>
        <w:gridCol w:w="2945"/>
        <w:gridCol w:w="90"/>
        <w:gridCol w:w="224"/>
        <w:gridCol w:w="777"/>
        <w:gridCol w:w="118"/>
        <w:gridCol w:w="118"/>
        <w:gridCol w:w="224"/>
        <w:gridCol w:w="777"/>
        <w:gridCol w:w="135"/>
      </w:tblGrid>
      <w:tr>
        <w:trPr/>
        <w:tc>
          <w:tcPr>
            <w:tcW w:w="2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3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Paruka Warrant Obligation</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0"/>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1,415</w:t>
            </w:r>
          </w:p>
        </w:tc>
        <w:tc>
          <w:tcPr>
            <w:tcW w:w="13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Employee warrants</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1,128</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1,551</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Stock options</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4,737</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1,889</w:t>
            </w:r>
          </w:p>
        </w:tc>
        <w:tc>
          <w:tcPr>
            <w:tcW w:w="13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Restricted stock units</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1,018</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Employee stock purchase plan</w:t>
            </w:r>
          </w:p>
        </w:tc>
        <w:tc>
          <w:tcPr>
            <w:tcW w:w="90" w:type="dxa"/>
            <w:tcBorders/>
            <w:shd w:fill="CCEEFF" w:val="clear"/>
            <w:vAlign w:val="center"/>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CCEEFF" w:val="clear"/>
            <w:tcMar>
              <w:bottom w:w="28" w:type="dxa"/>
            </w:tcMar>
            <w:vAlign w:val="center"/>
          </w:tcPr>
          <w:p>
            <w:pPr>
              <w:pStyle w:val="TableContents"/>
              <w:bidi w:val="0"/>
              <w:spacing w:before="0" w:after="283"/>
              <w:jc w:val="right"/>
              <w:rPr/>
            </w:pPr>
            <w:r>
              <w:rPr/>
              <w:t>85</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CCEEFF" w:val="clear"/>
            <w:tcMar>
              <w:bottom w:w="28" w:type="dxa"/>
            </w:tcMar>
            <w:vAlign w:val="center"/>
          </w:tcPr>
          <w:p>
            <w:pPr>
              <w:pStyle w:val="TableContents"/>
              <w:bidi w:val="0"/>
              <w:spacing w:before="0" w:after="283"/>
              <w:jc w:val="right"/>
              <w:rPr/>
            </w:pPr>
            <w:r>
              <w:rPr/>
              <w:t>28</w:t>
            </w:r>
          </w:p>
        </w:tc>
        <w:tc>
          <w:tcPr>
            <w:tcW w:w="13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224" w:type="dxa"/>
            <w:tcBorders>
              <w:bottom w:val="double" w:sz="10" w:space="0" w:color="000000"/>
            </w:tcBorders>
            <w:tcMar>
              <w:bottom w:w="28" w:type="dxa"/>
            </w:tcMar>
            <w:vAlign w:val="center"/>
          </w:tcPr>
          <w:p>
            <w:pPr>
              <w:pStyle w:val="TableContents"/>
              <w:bidi w:val="0"/>
              <w:spacing w:before="0" w:after="283"/>
              <w:jc w:val="left"/>
              <w:rPr/>
            </w:pPr>
            <w:r>
              <w:rPr/>
              <w:t>$</w:t>
            </w:r>
          </w:p>
        </w:tc>
        <w:tc>
          <w:tcPr>
            <w:tcW w:w="777" w:type="dxa"/>
            <w:tcBorders>
              <w:bottom w:val="double" w:sz="10" w:space="0" w:color="000000"/>
            </w:tcBorders>
            <w:tcMar>
              <w:bottom w:w="28" w:type="dxa"/>
            </w:tcMar>
            <w:vAlign w:val="center"/>
          </w:tcPr>
          <w:p>
            <w:pPr>
              <w:pStyle w:val="TableContents"/>
              <w:bidi w:val="0"/>
              <w:spacing w:before="0" w:after="283"/>
              <w:jc w:val="right"/>
              <w:rPr/>
            </w:pPr>
            <w:r>
              <w:rPr/>
              <w:t>6,968</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bottom w:val="double" w:sz="10" w:space="0" w:color="000000"/>
            </w:tcBorders>
            <w:tcMar>
              <w:bottom w:w="28" w:type="dxa"/>
            </w:tcMar>
            <w:vAlign w:val="center"/>
          </w:tcPr>
          <w:p>
            <w:pPr>
              <w:pStyle w:val="TableContents"/>
              <w:bidi w:val="0"/>
              <w:spacing w:before="0" w:after="283"/>
              <w:jc w:val="left"/>
              <w:rPr/>
            </w:pPr>
            <w:r>
              <w:rPr/>
              <w:t>$</w:t>
            </w:r>
          </w:p>
        </w:tc>
        <w:tc>
          <w:tcPr>
            <w:tcW w:w="777" w:type="dxa"/>
            <w:tcBorders>
              <w:bottom w:val="double" w:sz="10" w:space="0" w:color="000000"/>
            </w:tcBorders>
            <w:tcMar>
              <w:bottom w:w="28" w:type="dxa"/>
            </w:tcMar>
            <w:vAlign w:val="center"/>
          </w:tcPr>
          <w:p>
            <w:pPr>
              <w:pStyle w:val="TableContents"/>
              <w:bidi w:val="0"/>
              <w:spacing w:before="0" w:after="283"/>
              <w:jc w:val="right"/>
              <w:rPr/>
            </w:pPr>
            <w:r>
              <w:rPr/>
              <w:t>4,883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Segment Disclosures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activities on a consolidated basis and operates in one reportable segment.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reportable and operating segment. Its Chief Executive Officer, serving as the Chief Operating Decision Maker (“CODM”), oversees operations on an aggregated basis to allocate resources effectively. In assessing the Company’s financial performance, the CODM regularly reviews total operating expenses and consolidated net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assets is reported on the balance sheet as total consolidated assets. The Company’s long-lived assets consist primarily of property and equipment, net. As of March 31, 2026 and December 31, 2025 all long-lived assets were in the 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segment loss from operations, including significant segment expenses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17"/>
        <w:gridCol w:w="90"/>
        <w:gridCol w:w="178"/>
        <w:gridCol w:w="823"/>
        <w:gridCol w:w="130"/>
        <w:gridCol w:w="93"/>
        <w:gridCol w:w="178"/>
        <w:gridCol w:w="823"/>
        <w:gridCol w:w="173"/>
      </w:tblGrid>
      <w:tr>
        <w:trPr/>
        <w:tc>
          <w:tcPr>
            <w:tcW w:w="77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73" w:type="dxa"/>
            <w:tcBorders/>
            <w:vAlign w:val="center"/>
          </w:tcPr>
          <w:p>
            <w:pPr>
              <w:pStyle w:val="TableContents"/>
              <w:bidi w:val="0"/>
              <w:spacing w:before="0" w:after="283"/>
              <w:jc w:val="left"/>
              <w:rPr/>
            </w:pPr>
            <w:r>
              <w:rPr/>
              <w:t> </w:t>
            </w:r>
          </w:p>
        </w:tc>
      </w:tr>
      <w:tr>
        <w:trPr/>
        <w:tc>
          <w:tcPr>
            <w:tcW w:w="77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3" w:type="dxa"/>
            <w:tcBorders/>
            <w:vAlign w:val="center"/>
          </w:tcPr>
          <w:p>
            <w:pPr>
              <w:pStyle w:val="TableContents"/>
              <w:bidi w:val="0"/>
              <w:spacing w:before="0" w:after="283"/>
              <w:jc w:val="left"/>
              <w:rPr/>
            </w:pPr>
            <w:r>
              <w:rPr/>
              <w:t> </w:t>
            </w:r>
          </w:p>
        </w:tc>
      </w:tr>
      <w:tr>
        <w:trPr/>
        <w:tc>
          <w:tcPr>
            <w:tcW w:w="7717" w:type="dxa"/>
            <w:tcBorders/>
            <w:shd w:fill="CCEEFF" w:val="clear"/>
            <w:vAlign w:val="center"/>
          </w:tcPr>
          <w:p>
            <w:pPr>
              <w:pStyle w:val="TableContents"/>
              <w:bidi w:val="0"/>
              <w:spacing w:before="0" w:after="283"/>
              <w:jc w:val="left"/>
              <w:rPr/>
            </w:pPr>
            <w:r>
              <w:rPr/>
              <w:t>Research and development personnel-related (excluding stock-based compensation)</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6,077</w:t>
            </w:r>
          </w:p>
        </w:tc>
        <w:tc>
          <w:tcPr>
            <w:tcW w:w="13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2,463</w:t>
            </w:r>
          </w:p>
        </w:tc>
        <w:tc>
          <w:tcPr>
            <w:tcW w:w="173" w:type="dxa"/>
            <w:tcBorders/>
            <w:shd w:fill="CCEEFF" w:val="clear"/>
            <w:vAlign w:val="center"/>
          </w:tcPr>
          <w:p>
            <w:pPr>
              <w:pStyle w:val="TableContents"/>
              <w:bidi w:val="0"/>
              <w:spacing w:before="0" w:after="283"/>
              <w:jc w:val="left"/>
              <w:rPr/>
            </w:pPr>
            <w:r>
              <w:rPr/>
              <w:t> </w:t>
            </w:r>
          </w:p>
        </w:tc>
      </w:tr>
      <w:tr>
        <w:trPr/>
        <w:tc>
          <w:tcPr>
            <w:tcW w:w="7717" w:type="dxa"/>
            <w:tcBorders/>
            <w:vAlign w:val="center"/>
          </w:tcPr>
          <w:p>
            <w:pPr>
              <w:pStyle w:val="TableContents"/>
              <w:bidi w:val="0"/>
              <w:spacing w:before="0" w:after="283"/>
              <w:jc w:val="left"/>
              <w:rPr/>
            </w:pPr>
            <w:r>
              <w:rPr/>
              <w:t>General and administrative personnel-related (excluding stock-based compensation)</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2,117</w:t>
            </w:r>
          </w:p>
        </w:tc>
        <w:tc>
          <w:tcPr>
            <w:tcW w:w="13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1,694</w:t>
            </w:r>
          </w:p>
        </w:tc>
        <w:tc>
          <w:tcPr>
            <w:tcW w:w="173" w:type="dxa"/>
            <w:tcBorders/>
            <w:vAlign w:val="center"/>
          </w:tcPr>
          <w:p>
            <w:pPr>
              <w:pStyle w:val="TableContents"/>
              <w:bidi w:val="0"/>
              <w:spacing w:before="0" w:after="283"/>
              <w:jc w:val="left"/>
              <w:rPr/>
            </w:pPr>
            <w:r>
              <w:rPr/>
              <w:t> </w:t>
            </w:r>
          </w:p>
        </w:tc>
      </w:tr>
      <w:tr>
        <w:trPr/>
        <w:tc>
          <w:tcPr>
            <w:tcW w:w="7717" w:type="dxa"/>
            <w:tcBorders/>
            <w:shd w:fill="CCEEFF" w:val="clear"/>
            <w:vAlign w:val="center"/>
          </w:tcPr>
          <w:p>
            <w:pPr>
              <w:pStyle w:val="TableContents"/>
              <w:bidi w:val="0"/>
              <w:spacing w:before="0" w:after="283"/>
              <w:jc w:val="left"/>
              <w:rPr/>
            </w:pPr>
            <w:r>
              <w:rPr/>
              <w:t>Research and development stock-based compensation</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3,579</w:t>
            </w:r>
          </w:p>
        </w:tc>
        <w:tc>
          <w:tcPr>
            <w:tcW w:w="13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3,003</w:t>
            </w:r>
          </w:p>
        </w:tc>
        <w:tc>
          <w:tcPr>
            <w:tcW w:w="173" w:type="dxa"/>
            <w:tcBorders/>
            <w:shd w:fill="CCEEFF" w:val="clear"/>
            <w:vAlign w:val="center"/>
          </w:tcPr>
          <w:p>
            <w:pPr>
              <w:pStyle w:val="TableContents"/>
              <w:bidi w:val="0"/>
              <w:spacing w:before="0" w:after="283"/>
              <w:jc w:val="left"/>
              <w:rPr/>
            </w:pPr>
            <w:r>
              <w:rPr/>
              <w:t> </w:t>
            </w:r>
          </w:p>
        </w:tc>
      </w:tr>
      <w:tr>
        <w:trPr/>
        <w:tc>
          <w:tcPr>
            <w:tcW w:w="7717" w:type="dxa"/>
            <w:tcBorders/>
            <w:vAlign w:val="center"/>
          </w:tcPr>
          <w:p>
            <w:pPr>
              <w:pStyle w:val="TableContents"/>
              <w:bidi w:val="0"/>
              <w:spacing w:before="0" w:after="283"/>
              <w:jc w:val="left"/>
              <w:rPr/>
            </w:pPr>
            <w:r>
              <w:rPr/>
              <w:t>General and administrative stock-based compensation</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3,389</w:t>
            </w:r>
          </w:p>
        </w:tc>
        <w:tc>
          <w:tcPr>
            <w:tcW w:w="13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1,880</w:t>
            </w:r>
          </w:p>
        </w:tc>
        <w:tc>
          <w:tcPr>
            <w:tcW w:w="173" w:type="dxa"/>
            <w:tcBorders/>
            <w:vAlign w:val="center"/>
          </w:tcPr>
          <w:p>
            <w:pPr>
              <w:pStyle w:val="TableContents"/>
              <w:bidi w:val="0"/>
              <w:spacing w:before="0" w:after="283"/>
              <w:jc w:val="left"/>
              <w:rPr/>
            </w:pPr>
            <w:r>
              <w:rPr/>
              <w:t> </w:t>
            </w:r>
          </w:p>
        </w:tc>
      </w:tr>
      <w:tr>
        <w:trPr/>
        <w:tc>
          <w:tcPr>
            <w:tcW w:w="7717" w:type="dxa"/>
            <w:tcBorders/>
            <w:shd w:fill="CCEEFF" w:val="clear"/>
            <w:vAlign w:val="center"/>
          </w:tcPr>
          <w:p>
            <w:pPr>
              <w:pStyle w:val="TableContents"/>
              <w:bidi w:val="0"/>
              <w:spacing w:before="0" w:after="283"/>
              <w:jc w:val="left"/>
              <w:rPr/>
            </w:pPr>
            <w:r>
              <w:rPr/>
              <w:t>External research and development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18,329</w:t>
            </w:r>
          </w:p>
        </w:tc>
        <w:tc>
          <w:tcPr>
            <w:tcW w:w="13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13,610</w:t>
            </w:r>
          </w:p>
        </w:tc>
        <w:tc>
          <w:tcPr>
            <w:tcW w:w="173" w:type="dxa"/>
            <w:tcBorders/>
            <w:shd w:fill="CCEEFF" w:val="clear"/>
            <w:vAlign w:val="center"/>
          </w:tcPr>
          <w:p>
            <w:pPr>
              <w:pStyle w:val="TableContents"/>
              <w:bidi w:val="0"/>
              <w:spacing w:before="0" w:after="283"/>
              <w:jc w:val="left"/>
              <w:rPr/>
            </w:pPr>
            <w:r>
              <w:rPr/>
              <w:t> </w:t>
            </w:r>
          </w:p>
        </w:tc>
      </w:tr>
      <w:tr>
        <w:trPr/>
        <w:tc>
          <w:tcPr>
            <w:tcW w:w="7717" w:type="dxa"/>
            <w:tcBorders/>
            <w:vAlign w:val="center"/>
          </w:tcPr>
          <w:p>
            <w:pPr>
              <w:pStyle w:val="TableContents"/>
              <w:bidi w:val="0"/>
              <w:spacing w:before="0" w:after="283"/>
              <w:jc w:val="left"/>
              <w:rPr/>
            </w:pPr>
            <w:r>
              <w:rPr/>
              <w:t>Other research and development</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1,160</w:t>
            </w:r>
          </w:p>
        </w:tc>
        <w:tc>
          <w:tcPr>
            <w:tcW w:w="13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849</w:t>
            </w:r>
          </w:p>
        </w:tc>
        <w:tc>
          <w:tcPr>
            <w:tcW w:w="173" w:type="dxa"/>
            <w:tcBorders/>
            <w:vAlign w:val="center"/>
          </w:tcPr>
          <w:p>
            <w:pPr>
              <w:pStyle w:val="TableContents"/>
              <w:bidi w:val="0"/>
              <w:spacing w:before="0" w:after="283"/>
              <w:jc w:val="left"/>
              <w:rPr/>
            </w:pPr>
            <w:r>
              <w:rPr/>
              <w:t> </w:t>
            </w:r>
          </w:p>
        </w:tc>
      </w:tr>
      <w:tr>
        <w:trPr/>
        <w:tc>
          <w:tcPr>
            <w:tcW w:w="7717" w:type="dxa"/>
            <w:tcBorders/>
            <w:shd w:fill="CCEEFF" w:val="clear"/>
            <w:vAlign w:val="center"/>
          </w:tcPr>
          <w:p>
            <w:pPr>
              <w:pStyle w:val="TableContents"/>
              <w:bidi w:val="0"/>
              <w:spacing w:before="0" w:after="283"/>
              <w:jc w:val="left"/>
              <w:rPr/>
            </w:pPr>
            <w:r>
              <w:rPr/>
              <w:t>General and administrative, excluding personnel-related and stock-based compensation</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center"/>
          </w:tcPr>
          <w:p>
            <w:pPr>
              <w:pStyle w:val="TableContents"/>
              <w:bidi w:val="0"/>
              <w:spacing w:before="0" w:after="283"/>
              <w:jc w:val="right"/>
              <w:rPr/>
            </w:pPr>
            <w:r>
              <w:rPr/>
              <w:t>1,783</w:t>
            </w:r>
          </w:p>
        </w:tc>
        <w:tc>
          <w:tcPr>
            <w:tcW w:w="13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center"/>
          </w:tcPr>
          <w:p>
            <w:pPr>
              <w:pStyle w:val="TableContents"/>
              <w:bidi w:val="0"/>
              <w:spacing w:before="0" w:after="283"/>
              <w:jc w:val="right"/>
              <w:rPr/>
            </w:pPr>
            <w:r>
              <w:rPr/>
              <w:t>1,587</w:t>
            </w:r>
          </w:p>
        </w:tc>
        <w:tc>
          <w:tcPr>
            <w:tcW w:w="173" w:type="dxa"/>
            <w:tcBorders/>
            <w:shd w:fill="CCEEFF" w:val="clear"/>
            <w:vAlign w:val="center"/>
          </w:tcPr>
          <w:p>
            <w:pPr>
              <w:pStyle w:val="TableContents"/>
              <w:bidi w:val="0"/>
              <w:spacing w:before="0" w:after="283"/>
              <w:jc w:val="left"/>
              <w:rPr/>
            </w:pPr>
            <w:r>
              <w:rPr/>
              <w:t> </w:t>
            </w:r>
          </w:p>
        </w:tc>
      </w:tr>
      <w:tr>
        <w:trPr/>
        <w:tc>
          <w:tcPr>
            <w:tcW w:w="7717"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tcMar>
              <w:bottom w:w="28" w:type="dxa"/>
            </w:tcMar>
            <w:vAlign w:val="center"/>
          </w:tcPr>
          <w:p>
            <w:pPr>
              <w:pStyle w:val="TableContents"/>
              <w:bidi w:val="0"/>
              <w:spacing w:before="0" w:after="283"/>
              <w:jc w:val="right"/>
              <w:rPr/>
            </w:pPr>
            <w:r>
              <w:rPr/>
              <w:t>36,434</w:t>
            </w:r>
          </w:p>
        </w:tc>
        <w:tc>
          <w:tcPr>
            <w:tcW w:w="13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tcMar>
              <w:bottom w:w="28" w:type="dxa"/>
            </w:tcMar>
            <w:vAlign w:val="center"/>
          </w:tcPr>
          <w:p>
            <w:pPr>
              <w:pStyle w:val="TableContents"/>
              <w:bidi w:val="0"/>
              <w:spacing w:before="0" w:after="283"/>
              <w:jc w:val="right"/>
              <w:rPr/>
            </w:pPr>
            <w:r>
              <w:rPr/>
              <w:t>25,086</w:t>
            </w:r>
          </w:p>
        </w:tc>
        <w:tc>
          <w:tcPr>
            <w:tcW w:w="173" w:type="dxa"/>
            <w:tcBorders/>
            <w:vAlign w:val="center"/>
          </w:tcPr>
          <w:p>
            <w:pPr>
              <w:pStyle w:val="TableContents"/>
              <w:bidi w:val="0"/>
              <w:spacing w:before="0" w:after="283"/>
              <w:jc w:val="left"/>
              <w:rPr/>
            </w:pPr>
            <w:r>
              <w:rPr/>
              <w:t> </w:t>
            </w:r>
          </w:p>
        </w:tc>
      </w:tr>
      <w:tr>
        <w:trPr/>
        <w:tc>
          <w:tcPr>
            <w:tcW w:w="7717"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3" w:type="dxa"/>
            <w:tcBorders>
              <w:bottom w:val="double" w:sz="10" w:space="0" w:color="000000"/>
            </w:tcBorders>
            <w:shd w:fill="CCEEFF" w:val="clear"/>
            <w:tcMar>
              <w:bottom w:w="28" w:type="dxa"/>
            </w:tcMar>
            <w:vAlign w:val="center"/>
          </w:tcPr>
          <w:p>
            <w:pPr>
              <w:pStyle w:val="TableContents"/>
              <w:bidi w:val="0"/>
              <w:spacing w:before="0" w:after="283"/>
              <w:jc w:val="right"/>
              <w:rPr/>
            </w:pPr>
            <w:r>
              <w:rPr/>
              <w:t>(36,434</w:t>
            </w:r>
          </w:p>
        </w:tc>
        <w:tc>
          <w:tcPr>
            <w:tcW w:w="130"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3" w:type="dxa"/>
            <w:tcBorders>
              <w:bottom w:val="double" w:sz="10" w:space="0" w:color="000000"/>
            </w:tcBorders>
            <w:shd w:fill="CCEEFF" w:val="clear"/>
            <w:tcMar>
              <w:bottom w:w="28" w:type="dxa"/>
            </w:tcMar>
            <w:vAlign w:val="center"/>
          </w:tcPr>
          <w:p>
            <w:pPr>
              <w:pStyle w:val="TableContents"/>
              <w:bidi w:val="0"/>
              <w:spacing w:before="0" w:after="283"/>
              <w:jc w:val="right"/>
              <w:rPr/>
            </w:pPr>
            <w:r>
              <w:rPr/>
              <w:t>(25,086</w:t>
            </w:r>
          </w:p>
        </w:tc>
        <w:tc>
          <w:tcPr>
            <w:tcW w:w="17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Option Agreements and License Agreements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 Agreements – Paragon Therapeutics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entered into two antibody discovery and option agreements (the “Option Agreements”) with Paragon Therapeutics, Inc. (“Paragon”) and Paruka. Under the terms of each agreement, Paragon identifies, evaluates, and develops antibodies directed against certain mutually agreed therapeutic targets of interest to the Company. The Company has initiated certain research programs with Paragon that generally focus on discovering, generating, identifying and/or characterizing antibodies directed to a particular target (each, a “Research Program”), including for IL-23 and IL-17A/F for ORKA-001 and ORKA-002,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Company entered into an additional option agreement for an antibody with Paragon and Paruka to enter into a license agreement, which the Company exercised in December 2025. Per the terms of this option agreement, once the Company enters into the corresponding license agreement, it will be required to make non-refundable milestone payments to Paragon of up to $12.0 million under the agreement upon the achievement of certain clinical development milestones, up to $10.0 million under the agreement upon the achievement of a certain regulatory milestone, as well as a low single-digit percentage royalty for antibody products beginning on the first commercial sale. As of March 31, 2026, the Company has not entered into a license agreement with Paragon and Paruka related to this additional option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Option Agreements and the additional option agreement mentioned above, on December 31, 2024, the Company settled its 2024 obligations under the Paruka Warrant Obligation by issuing Paruka a warrant to purchase 596,930 shares of the Company’s common stock at an exercise price of $19.39 per share, and on December 12, 2025, the Company settled its 2025 obligations under the Paruka Warrant Obligation by issuing Paruka a warrant to purchase 375,000 shares of the Company’s common stock at an exercise price of $30.18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Agreements – Paragon Therapeutics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the Company exercised its exclusive option to acquire certain rights to ORKA-001, and in December 2024, it entered into a corresponding license agreement with Paragon (the “ORKA-001 License Agreement”), pursuant to which Paragon granted the Company a royalty-bearing, world-wide, exclusive license to develop, manufacture, commercialize, or otherwise exploit certain antibodies and products targeting IL-23 in all fields other than the field of inflammatory bowel disease (“ORKA-001 Field”). In December 2024, the Company exercised its exclusive option to acquire certain rights to ORKA-002, and in February 2025, it entered into the corresponding license agreement with Paragon (the “ORKA-002 License Agreement” and together with the ORKA-001 License Agreement, the “License Agreements”), pursuant to which Paragon granted the Company a royalty-bearing, world-wide, exclusive license to develop, manufacture, commercialize, or otherwise exploit certain antibodies and products targeting IL-17A/F in all fields (“ORKA-002 Field” and together with the ORKA-001 Field, the “Fields”). Pursuant to each of the two License Agreements, Paragon has agreed not to conduct any new campaigns that generate anti-IL-23 monospecific antibodies or anti-IL-17A/F monospecific antibodies in the respective agreed-upon fields.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 Agreements provide the Company with exclusive licenses in the Fields to Paragon’s patent applications covering the related antibodies, their method of use and their method of manufacture and Paragon has agreed not to conduct any new campaigns that generate anti-IL-23 monospecific antibodies or anti-IL-17A/F monospecific antibodies for the ORKA-001 Field or the ORKA-002 Field, respectively, for at least five years. Each of the License Agreements may be terminated on 60 days’ notice to Paragon, on material breach without cure, and on a party’s insolvency or bankruptcy to the extent permitted by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each of the License Agreements, the Company is obligated to pay Paragon non-refundable milestone payments of up to $12.0 million under each respective agreement upon the achievement of certain clinical development milestones and up to $10.0 million under each respective agreement upon the achievement of certain regulatory milestones. In addition, the Company is obligated to pay Paragon a low single-digit percentage royalty for antibody products for each of ORKA-001 and ORKA-002. For each of the License Agreements, the royalty term ends on the later of (i) the last-to-expire licensed patent or our patent directed to the manufacture, use or sale of a licensed antibody in the country at issue or (ii) 12 years from the date of first sale of a Company product. There is also a royalty step-down if there is no Paragon patent in effect during the royalty term for each program. Each of the License Agreements may be terminated on 60 days’ notice to Paragon, on material breach without cure, and on a party’s insolvency or bankruptcy to the extent permitted by law. During the quarter ended March 31, 2026, the Company incurred and expensed a milestone of $3.0 million related to the dosing of the first patient in a Phase 2 trial for the ORKA-002 License Agreement. As of March 31, 2026, the Company has incurred and expensed milestone payments of $7.0 million in connection with each of the ORKA-001 License Agreement and the ORKA-002 License Agreement. As of December 31, 2025, the Company had incurred and expensed milestone payments of $7.0 million and $4.0 million for the ORKA-001 License Agreement and the ORKA-002 License Agreement, respectively. These costs were recorded as research and development expenses in the accompanying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$3.0 million and nil, respectively were included in related party accounts payable and other current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recognized $3.0 million and $1.5 million, respectively, of expenses in connection with milestone payable and services provided by Paragon and Paruka under the Option and License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Commitments and Contingencies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the Company entered into an operating lease agreement for the Company’s headquarters in Menlo Park, California, which commenced on June 15, 2024 with an initial term of 39.5 months. In February 2025, the Company entered into an operating lease agreement in Waltham, Massachusetts, which commenced on April 1, 2025 with an initial term of 54 months. The Company leases office spaces under noncancelable operating lease agreements. Lease liabilities are based on the net present value of the remaining lease payments over the remaining lease terms. In determining the present value of lease payments, the Company used its incremental borrowing rate when measuring operating lease liabilities as discount rates were not implicit or readily determinable.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recorded operating and variable lease expenses of $0.2 million and $0.1 million, respectively, in general and administrative expenses in its condensed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supplemental cash flow information related to leases (in thousands):</w:t>
      </w:r>
    </w:p>
    <w:p>
      <w:pPr>
        <w:pStyle w:val="TextBody"/>
        <w:bidi w:val="0"/>
        <w:spacing w:before="0" w:after="0"/>
        <w:ind w:left="0" w:right="0" w:hanging="0"/>
        <w:jc w:val="both"/>
        <w:rPr>
          <w:caps w:val="false"/>
          <w:smallCaps w:val="false"/>
        </w:rPr>
      </w:pPr>
      <w:r>
        <w:rPr>
          <w:caps w:val="false"/>
          <w:smallCaps w:val="false"/>
        </w:rPr>
        <w:t> </w:t>
      </w:r>
    </w:p>
    <w:tbl>
      <w:tblPr>
        <w:tblW w:w="8394" w:type="dxa"/>
        <w:jc w:val="left"/>
        <w:tblInd w:w="0" w:type="dxa"/>
        <w:tblLayout w:type="fixed"/>
        <w:tblCellMar>
          <w:top w:w="0" w:type="dxa"/>
          <w:left w:w="0" w:type="dxa"/>
          <w:bottom w:w="0" w:type="dxa"/>
          <w:right w:w="0" w:type="dxa"/>
        </w:tblCellMar>
      </w:tblPr>
      <w:tblGrid>
        <w:gridCol w:w="6635"/>
        <w:gridCol w:w="90"/>
        <w:gridCol w:w="448"/>
        <w:gridCol w:w="1086"/>
        <w:gridCol w:w="135"/>
      </w:tblGrid>
      <w:tr>
        <w:trPr/>
        <w:tc>
          <w:tcPr>
            <w:tcW w:w="6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w:t>
              <w:br/>
              <w:t>Ended</w:t>
              <w:br/>
              <w:t xml:space="preserve">March 31, </w:t>
              <w:br/>
              <w:t>2026</w:t>
            </w:r>
          </w:p>
        </w:tc>
        <w:tc>
          <w:tcPr>
            <w:tcW w:w="135" w:type="dxa"/>
            <w:tcBorders/>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9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w:t>
            </w:r>
          </w:p>
        </w:tc>
        <w:tc>
          <w:tcPr>
            <w:tcW w:w="1086" w:type="dxa"/>
            <w:tcBorders/>
            <w:shd w:fill="CCEEFF" w:val="clear"/>
            <w:vAlign w:val="center"/>
          </w:tcPr>
          <w:p>
            <w:pPr>
              <w:pStyle w:val="TableContents"/>
              <w:bidi w:val="0"/>
              <w:spacing w:before="0" w:after="283"/>
              <w:jc w:val="right"/>
              <w:rPr/>
            </w:pPr>
            <w:r>
              <w:rPr/>
              <w:t>186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 maturity analysis of the Company’s net operating lease liabilities showing the aggregate lease payments as of March 31, 2026 (in thousands): </w:t>
      </w:r>
    </w:p>
    <w:p>
      <w:pPr>
        <w:pStyle w:val="TextBody"/>
        <w:bidi w:val="0"/>
        <w:spacing w:before="0" w:after="0"/>
        <w:ind w:left="0" w:right="0" w:hanging="0"/>
        <w:jc w:val="both"/>
        <w:rPr>
          <w:caps w:val="false"/>
          <w:smallCaps w:val="false"/>
        </w:rPr>
      </w:pPr>
      <w:r>
        <w:rPr>
          <w:caps w:val="false"/>
          <w:smallCaps w:val="false"/>
        </w:rPr>
        <w:t> </w:t>
      </w:r>
    </w:p>
    <w:tbl>
      <w:tblPr>
        <w:tblW w:w="4710" w:type="dxa"/>
        <w:jc w:val="left"/>
        <w:tblInd w:w="0" w:type="dxa"/>
        <w:tblLayout w:type="fixed"/>
        <w:tblCellMar>
          <w:top w:w="0" w:type="dxa"/>
          <w:left w:w="0" w:type="dxa"/>
          <w:bottom w:w="28" w:type="dxa"/>
          <w:right w:w="0" w:type="dxa"/>
        </w:tblCellMar>
      </w:tblPr>
      <w:tblGrid>
        <w:gridCol w:w="3560"/>
        <w:gridCol w:w="90"/>
        <w:gridCol w:w="199"/>
        <w:gridCol w:w="691"/>
        <w:gridCol w:w="170"/>
      </w:tblGrid>
      <w:tr>
        <w:trPr/>
        <w:tc>
          <w:tcPr>
            <w:tcW w:w="3560" w:type="dxa"/>
            <w:tcBorders>
              <w:bottom w:val="single" w:sz="12" w:space="0" w:color="000000"/>
            </w:tcBorders>
            <w:vAlign w:val="center"/>
          </w:tcPr>
          <w:p>
            <w:pPr>
              <w:pStyle w:val="TableContents"/>
              <w:bidi w:val="0"/>
              <w:spacing w:before="0" w:after="283"/>
              <w:jc w:val="left"/>
              <w:rPr>
                <w:b/>
              </w:rPr>
            </w:pPr>
            <w:r>
              <w:rPr>
                <w:b/>
              </w:rPr>
              <w:t>Year ending December 31,</w:t>
            </w:r>
          </w:p>
        </w:tc>
        <w:tc>
          <w:tcPr>
            <w:tcW w:w="9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70" w:type="dxa"/>
            <w:tcBorders/>
            <w:tcMar>
              <w:bottom w:w="0" w:type="dxa"/>
            </w:tcM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283"/>
              <w:jc w:val="left"/>
              <w:rPr/>
            </w:pPr>
            <w:r>
              <w:rPr/>
              <w:t>2026 (remainder of the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right"/>
              <w:rPr/>
            </w:pPr>
            <w:r>
              <w:rPr/>
              <w:t>637</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60" w:type="dxa"/>
            <w:tcBorders/>
            <w:tcMar>
              <w:bottom w:w="0" w:type="dxa"/>
            </w:tcMar>
            <w:vAlign w:val="center"/>
          </w:tcPr>
          <w:p>
            <w:pPr>
              <w:pStyle w:val="TableContents"/>
              <w:bidi w:val="0"/>
              <w:spacing w:before="0" w:after="283"/>
              <w:jc w:val="left"/>
              <w:rPr/>
            </w:pPr>
            <w:r>
              <w:rPr/>
              <w:t>2027</w:t>
            </w:r>
          </w:p>
        </w:tc>
        <w:tc>
          <w:tcPr>
            <w:tcW w:w="9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 </w:t>
            </w:r>
          </w:p>
        </w:tc>
        <w:tc>
          <w:tcPr>
            <w:tcW w:w="691" w:type="dxa"/>
            <w:tcBorders/>
            <w:tcMar>
              <w:bottom w:w="0" w:type="dxa"/>
            </w:tcMar>
            <w:vAlign w:val="center"/>
          </w:tcPr>
          <w:p>
            <w:pPr>
              <w:pStyle w:val="TableContents"/>
              <w:bidi w:val="0"/>
              <w:spacing w:before="0" w:after="283"/>
              <w:jc w:val="right"/>
              <w:rPr/>
            </w:pPr>
            <w:r>
              <w:rPr/>
              <w:t>768</w:t>
            </w:r>
          </w:p>
        </w:tc>
        <w:tc>
          <w:tcPr>
            <w:tcW w:w="170" w:type="dxa"/>
            <w:tcBorders/>
            <w:tcMar>
              <w:bottom w:w="0" w:type="dxa"/>
            </w:tcM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283"/>
              <w:jc w:val="left"/>
              <w:rPr/>
            </w:pPr>
            <w:r>
              <w:rPr/>
              <w:t>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691" w:type="dxa"/>
            <w:tcBorders/>
            <w:shd w:fill="CCEEFF" w:val="clear"/>
            <w:tcMar>
              <w:bottom w:w="0" w:type="dxa"/>
            </w:tcMar>
            <w:vAlign w:val="center"/>
          </w:tcPr>
          <w:p>
            <w:pPr>
              <w:pStyle w:val="TableContents"/>
              <w:bidi w:val="0"/>
              <w:spacing w:before="0" w:after="283"/>
              <w:jc w:val="right"/>
              <w:rPr/>
            </w:pPr>
            <w:r>
              <w:rPr/>
              <w:t>397</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60" w:type="dxa"/>
            <w:tcBorders/>
            <w:tcMar>
              <w:bottom w:w="0" w:type="dxa"/>
            </w:tcMar>
            <w:vAlign w:val="center"/>
          </w:tcPr>
          <w:p>
            <w:pPr>
              <w:pStyle w:val="TableContents"/>
              <w:bidi w:val="0"/>
              <w:spacing w:before="0" w:after="283"/>
              <w:jc w:val="left"/>
              <w:rPr/>
            </w:pPr>
            <w:r>
              <w:rPr/>
              <w:t>2029</w:t>
            </w:r>
          </w:p>
        </w:tc>
        <w:tc>
          <w:tcPr>
            <w:tcW w:w="90" w:type="dxa"/>
            <w:tcBorders/>
            <w:tcMar>
              <w:bottom w:w="0" w:type="dxa"/>
            </w:tcMar>
            <w:vAlign w:val="center"/>
          </w:tcPr>
          <w:p>
            <w:pPr>
              <w:pStyle w:val="TableContents"/>
              <w:bidi w:val="0"/>
              <w:spacing w:before="0" w:after="283"/>
              <w:jc w:val="left"/>
              <w:rPr/>
            </w:pPr>
            <w:r>
              <w:rPr/>
              <w:t> </w:t>
            </w:r>
          </w:p>
        </w:tc>
        <w:tc>
          <w:tcPr>
            <w:tcW w:w="199" w:type="dxa"/>
            <w:tcBorders>
              <w:bottom w:val="single" w:sz="12" w:space="0" w:color="000000"/>
            </w:tcBorders>
            <w:vAlign w:val="center"/>
          </w:tcPr>
          <w:p>
            <w:pPr>
              <w:pStyle w:val="TableContents"/>
              <w:bidi w:val="0"/>
              <w:spacing w:before="0" w:after="283"/>
              <w:jc w:val="left"/>
              <w:rPr/>
            </w:pPr>
            <w:r>
              <w:rPr/>
              <w:t> </w:t>
            </w:r>
          </w:p>
        </w:tc>
        <w:tc>
          <w:tcPr>
            <w:tcW w:w="691" w:type="dxa"/>
            <w:tcBorders>
              <w:bottom w:val="single" w:sz="12" w:space="0" w:color="000000"/>
            </w:tcBorders>
            <w:vAlign w:val="center"/>
          </w:tcPr>
          <w:p>
            <w:pPr>
              <w:pStyle w:val="TableContents"/>
              <w:bidi w:val="0"/>
              <w:spacing w:before="0" w:after="283"/>
              <w:jc w:val="right"/>
              <w:rPr/>
            </w:pPr>
            <w:r>
              <w:rPr/>
              <w:t>304</w:t>
            </w:r>
          </w:p>
        </w:tc>
        <w:tc>
          <w:tcPr>
            <w:tcW w:w="170" w:type="dxa"/>
            <w:tcBorders/>
            <w:tcMar>
              <w:bottom w:w="0" w:type="dxa"/>
            </w:tcM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283"/>
              <w:jc w:val="left"/>
              <w:rPr/>
            </w:pPr>
            <w:r>
              <w:rPr/>
              <w:t>Total undiscounted lease payments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691" w:type="dxa"/>
            <w:tcBorders/>
            <w:shd w:fill="CCEEFF" w:val="clear"/>
            <w:tcMar>
              <w:bottom w:w="0" w:type="dxa"/>
            </w:tcMar>
            <w:vAlign w:val="center"/>
          </w:tcPr>
          <w:p>
            <w:pPr>
              <w:pStyle w:val="TableContents"/>
              <w:bidi w:val="0"/>
              <w:spacing w:before="0" w:after="283"/>
              <w:jc w:val="right"/>
              <w:rPr/>
            </w:pPr>
            <w:r>
              <w:rPr/>
              <w:t>2,106</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60" w:type="dxa"/>
            <w:tcBorders/>
            <w:tcMar>
              <w:bottom w:w="0" w:type="dxa"/>
            </w:tcMar>
            <w:vAlign w:val="center"/>
          </w:tcPr>
          <w:p>
            <w:pPr>
              <w:pStyle w:val="TableContents"/>
              <w:bidi w:val="0"/>
              <w:spacing w:before="0" w:after="283"/>
              <w:jc w:val="left"/>
              <w:rPr/>
            </w:pPr>
            <w:r>
              <w:rPr/>
              <w:t>Less: imputed interest</w:t>
            </w:r>
          </w:p>
        </w:tc>
        <w:tc>
          <w:tcPr>
            <w:tcW w:w="90" w:type="dxa"/>
            <w:tcBorders/>
            <w:tcMar>
              <w:bottom w:w="0" w:type="dxa"/>
            </w:tcMar>
            <w:vAlign w:val="center"/>
          </w:tcPr>
          <w:p>
            <w:pPr>
              <w:pStyle w:val="TableContents"/>
              <w:bidi w:val="0"/>
              <w:spacing w:before="0" w:after="283"/>
              <w:jc w:val="left"/>
              <w:rPr/>
            </w:pPr>
            <w:r>
              <w:rPr/>
              <w:t> </w:t>
            </w:r>
          </w:p>
        </w:tc>
        <w:tc>
          <w:tcPr>
            <w:tcW w:w="199" w:type="dxa"/>
            <w:tcBorders>
              <w:bottom w:val="single" w:sz="12" w:space="0" w:color="000000"/>
            </w:tcBorders>
            <w:vAlign w:val="center"/>
          </w:tcPr>
          <w:p>
            <w:pPr>
              <w:pStyle w:val="TableContents"/>
              <w:bidi w:val="0"/>
              <w:spacing w:before="0" w:after="283"/>
              <w:jc w:val="left"/>
              <w:rPr/>
            </w:pPr>
            <w:r>
              <w:rPr/>
              <w:t> </w:t>
            </w:r>
          </w:p>
        </w:tc>
        <w:tc>
          <w:tcPr>
            <w:tcW w:w="691" w:type="dxa"/>
            <w:tcBorders>
              <w:bottom w:val="single" w:sz="12" w:space="0" w:color="000000"/>
            </w:tcBorders>
            <w:vAlign w:val="center"/>
          </w:tcPr>
          <w:p>
            <w:pPr>
              <w:pStyle w:val="TableContents"/>
              <w:bidi w:val="0"/>
              <w:spacing w:before="0" w:after="283"/>
              <w:jc w:val="right"/>
              <w:rPr/>
            </w:pPr>
            <w:r>
              <w:rPr/>
              <w:t>(299</w:t>
            </w:r>
          </w:p>
        </w:tc>
        <w:tc>
          <w:tcPr>
            <w:tcW w:w="170" w:type="dxa"/>
            <w:tcBorders/>
            <w:tcMar>
              <w:bottom w:w="0" w:type="dxa"/>
            </w:tcMar>
            <w:vAlign w:val="center"/>
          </w:tcPr>
          <w:p>
            <w:pPr>
              <w:pStyle w:val="TableContents"/>
              <w:bidi w:val="0"/>
              <w:spacing w:before="0" w:after="283"/>
              <w:jc w:val="left"/>
              <w:rPr/>
            </w:pPr>
            <w:r>
              <w:rPr/>
              <w:t>)</w:t>
            </w:r>
          </w:p>
        </w:tc>
      </w:tr>
      <w:tr>
        <w:trPr/>
        <w:tc>
          <w:tcPr>
            <w:tcW w:w="3560" w:type="dxa"/>
            <w:tcBorders/>
            <w:shd w:fill="CCEEFF" w:val="clear"/>
            <w:tcMar>
              <w:bottom w:w="0" w:type="dxa"/>
            </w:tcMar>
            <w:vAlign w:val="center"/>
          </w:tcPr>
          <w:p>
            <w:pPr>
              <w:pStyle w:val="TableContents"/>
              <w:bidi w:val="0"/>
              <w:spacing w:before="0" w:after="283"/>
              <w:jc w:val="left"/>
              <w:rPr/>
            </w:pPr>
            <w:r>
              <w:rPr/>
              <w:t>Total discounted lease payments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691" w:type="dxa"/>
            <w:tcBorders/>
            <w:shd w:fill="CCEEFF" w:val="clear"/>
            <w:tcMar>
              <w:bottom w:w="0" w:type="dxa"/>
            </w:tcMar>
            <w:vAlign w:val="center"/>
          </w:tcPr>
          <w:p>
            <w:pPr>
              <w:pStyle w:val="TableContents"/>
              <w:bidi w:val="0"/>
              <w:spacing w:before="0" w:after="283"/>
              <w:jc w:val="right"/>
              <w:rPr/>
            </w:pPr>
            <w:r>
              <w:rPr/>
              <w:t>1,807</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60" w:type="dxa"/>
            <w:tcBorders/>
            <w:tcMar>
              <w:bottom w:w="0" w:type="dxa"/>
            </w:tcMar>
            <w:vAlign w:val="center"/>
          </w:tcPr>
          <w:p>
            <w:pPr>
              <w:pStyle w:val="TableContents"/>
              <w:bidi w:val="0"/>
              <w:spacing w:before="0" w:after="283"/>
              <w:jc w:val="left"/>
              <w:rPr/>
            </w:pPr>
            <w:r>
              <w:rPr/>
              <w:t>Less: current portion of lease liability</w:t>
            </w:r>
          </w:p>
        </w:tc>
        <w:tc>
          <w:tcPr>
            <w:tcW w:w="90" w:type="dxa"/>
            <w:tcBorders/>
            <w:tcMar>
              <w:bottom w:w="0" w:type="dxa"/>
            </w:tcMar>
            <w:vAlign w:val="center"/>
          </w:tcPr>
          <w:p>
            <w:pPr>
              <w:pStyle w:val="TableContents"/>
              <w:bidi w:val="0"/>
              <w:spacing w:before="0" w:after="283"/>
              <w:jc w:val="left"/>
              <w:rPr/>
            </w:pPr>
            <w:r>
              <w:rPr/>
              <w:t> </w:t>
            </w:r>
          </w:p>
        </w:tc>
        <w:tc>
          <w:tcPr>
            <w:tcW w:w="199" w:type="dxa"/>
            <w:tcBorders>
              <w:bottom w:val="single" w:sz="12" w:space="0" w:color="000000"/>
            </w:tcBorders>
            <w:vAlign w:val="center"/>
          </w:tcPr>
          <w:p>
            <w:pPr>
              <w:pStyle w:val="TableContents"/>
              <w:bidi w:val="0"/>
              <w:spacing w:before="0" w:after="283"/>
              <w:jc w:val="left"/>
              <w:rPr/>
            </w:pPr>
            <w:r>
              <w:rPr/>
              <w:t> </w:t>
            </w:r>
          </w:p>
        </w:tc>
        <w:tc>
          <w:tcPr>
            <w:tcW w:w="691" w:type="dxa"/>
            <w:tcBorders>
              <w:bottom w:val="single" w:sz="12" w:space="0" w:color="000000"/>
            </w:tcBorders>
            <w:vAlign w:val="center"/>
          </w:tcPr>
          <w:p>
            <w:pPr>
              <w:pStyle w:val="TableContents"/>
              <w:bidi w:val="0"/>
              <w:spacing w:before="0" w:after="283"/>
              <w:jc w:val="right"/>
              <w:rPr/>
            </w:pPr>
            <w:r>
              <w:rPr/>
              <w:t>(680</w:t>
            </w:r>
          </w:p>
        </w:tc>
        <w:tc>
          <w:tcPr>
            <w:tcW w:w="170" w:type="dxa"/>
            <w:tcBorders/>
            <w:tcMar>
              <w:bottom w:w="0" w:type="dxa"/>
            </w:tcMar>
            <w:vAlign w:val="center"/>
          </w:tcPr>
          <w:p>
            <w:pPr>
              <w:pStyle w:val="TableContents"/>
              <w:bidi w:val="0"/>
              <w:spacing w:before="0" w:after="283"/>
              <w:jc w:val="left"/>
              <w:rPr/>
            </w:pPr>
            <w:r>
              <w:rPr/>
              <w:t>)</w:t>
            </w:r>
          </w:p>
        </w:tc>
      </w:tr>
      <w:tr>
        <w:trPr/>
        <w:tc>
          <w:tcPr>
            <w:tcW w:w="3560" w:type="dxa"/>
            <w:tcBorders/>
            <w:shd w:fill="CCEEFF" w:val="clear"/>
            <w:tcMar>
              <w:bottom w:w="0" w:type="dxa"/>
            </w:tcMar>
            <w:vAlign w:val="center"/>
          </w:tcPr>
          <w:p>
            <w:pPr>
              <w:pStyle w:val="TableContents"/>
              <w:bidi w:val="0"/>
              <w:spacing w:before="0" w:after="283"/>
              <w:jc w:val="left"/>
              <w:rPr/>
            </w:pPr>
            <w:r>
              <w:rPr/>
              <w:t>Non-current portion of lease liability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double" w:sz="10" w:space="0" w:color="000000"/>
            </w:tcBorders>
            <w:shd w:fill="CCEEFF" w:val="clear"/>
            <w:vAlign w:val="center"/>
          </w:tcPr>
          <w:p>
            <w:pPr>
              <w:pStyle w:val="TableContents"/>
              <w:bidi w:val="0"/>
              <w:spacing w:before="0" w:after="283"/>
              <w:jc w:val="left"/>
              <w:rPr/>
            </w:pPr>
            <w:r>
              <w:rPr/>
              <w:t>$</w:t>
            </w:r>
          </w:p>
        </w:tc>
        <w:tc>
          <w:tcPr>
            <w:tcW w:w="691" w:type="dxa"/>
            <w:tcBorders>
              <w:bottom w:val="double" w:sz="10" w:space="0" w:color="000000"/>
            </w:tcBorders>
            <w:shd w:fill="CCEEFF" w:val="clear"/>
            <w:vAlign w:val="center"/>
          </w:tcPr>
          <w:p>
            <w:pPr>
              <w:pStyle w:val="TableContents"/>
              <w:bidi w:val="0"/>
              <w:spacing w:before="0" w:after="283"/>
              <w:jc w:val="right"/>
              <w:rPr/>
            </w:pPr>
            <w:r>
              <w:rPr/>
              <w:t>1,127</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Cell Line License Agreement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entered into the Cell Line License Agreement (the “Cell Line License Agreement”) with WuXi Biologics Ireland Limited (“WuXi Biologics”). Under the Cell Line License Agreement, the Company received a non-exclusive, worldwide, sublicensable license to certain of WuXi Biologics’ know-how, cell line, biological materials (the “WuXi Biologics Licensed Technology”) and media and feeds to make, have made, use, sell and import certain therapeutic products produced through the use of the cell line licensed by WuXi Biologics under the Cell Line License Agreement (the “WuXi Biologics Licensed Products”). Specifically, the WuXi Biologics Licensed Technology is used in certain manufacturing activities in support of the ORKA-001 and ORKA-002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license, the Company agreed to pay WuXi Biologics a non-refundable license fee of $150,000, which was recognized as a research and development expense during the period from February 6, 2024 (inception) to December 31, 2024. Additionally, to the extent that the Company manufactures its commercial supplies of bulk drug product with a manufacturer other than WuXi Biologics or its affiliates, the Company is required to make royalty payments to WuXi Biologics at a rate of less than one percent of net sales of WuXi Biologics Licensed Products manufactured by the third-party manufacturer. Pursuant to an amendment to the Cell Line License Agreement effective in November 2024, a provision was added that permits the royalties owed under the agreement to be bought out on a product-by-product basis for a lump-sum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Cell Line License Agreement will continue indefinitely unless terminated (i) by the Company upon six months’ prior written notice and its payment of all undisputed amounts due to WuXi Biologics through the effective date of termination, (ii) by WuXi Biologics for a material breach by the Company that remains uncured for 60 days after written notice, (iii) by WuXi Biologics if the Company fails to make a payment and such failure continues for 30 days after receiving notice of such failure, or (iv) by either party upon the other party’s bankruptcy.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currently party to any material legal proceedings. At each reporting date, the Company evaluates whether or not a potential loss amount or a potential range of loss is probable and reasonably estimable under the provisions of FASB ASC Topic 450, Contingencies (“ASC 450”). The Company expenses as incurred the costs related to its 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Net Loss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basic and diluted net loss per share attributable to stockholders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1"/>
        <w:gridCol w:w="90"/>
        <w:gridCol w:w="137"/>
        <w:gridCol w:w="1208"/>
        <w:gridCol w:w="135"/>
        <w:gridCol w:w="97"/>
        <w:gridCol w:w="105"/>
        <w:gridCol w:w="1263"/>
        <w:gridCol w:w="97"/>
        <w:gridCol w:w="97"/>
        <w:gridCol w:w="221"/>
        <w:gridCol w:w="871"/>
        <w:gridCol w:w="125"/>
        <w:gridCol w:w="90"/>
        <w:gridCol w:w="194"/>
        <w:gridCol w:w="893"/>
        <w:gridCol w:w="133"/>
        <w:gridCol w:w="95"/>
        <w:gridCol w:w="102"/>
        <w:gridCol w:w="1248"/>
        <w:gridCol w:w="95"/>
        <w:gridCol w:w="95"/>
        <w:gridCol w:w="222"/>
        <w:gridCol w:w="870"/>
        <w:gridCol w:w="161"/>
      </w:tblGrid>
      <w:tr>
        <w:trPr/>
        <w:tc>
          <w:tcPr>
            <w:tcW w:w="15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 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4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 2025</w:t>
            </w:r>
          </w:p>
        </w:tc>
        <w:tc>
          <w:tcPr>
            <w:tcW w:w="161"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Allocation</w:t>
            </w:r>
          </w:p>
        </w:tc>
        <w:tc>
          <w:tcPr>
            <w:tcW w:w="13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Shares</w:t>
              <w:br/>
              <w:t>Outstanding</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 Loss Per</w:t>
              <w:br/>
              <w:t>Share,</w:t>
              <w:br/>
              <w:t>Basic and</w:t>
              <w:br/>
              <w:t>Diluted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br/>
              <w:t>Allocation</w:t>
            </w:r>
          </w:p>
        </w:tc>
        <w:tc>
          <w:tcPr>
            <w:tcW w:w="133"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3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Shares</w:t>
              <w:br/>
              <w:t>Outstanding</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 Loss Per</w:t>
              <w:br/>
              <w:t>Share,</w:t>
              <w:br/>
              <w:t>Basic and</w:t>
              <w:br/>
              <w:t>Diluted</w:t>
            </w:r>
          </w:p>
        </w:tc>
        <w:tc>
          <w:tcPr>
            <w:tcW w:w="161" w:type="dxa"/>
            <w:tcBorders/>
            <w:vAlign w:val="center"/>
          </w:tcPr>
          <w:p>
            <w:pPr>
              <w:pStyle w:val="TableContents"/>
              <w:bidi w:val="0"/>
              <w:spacing w:before="0" w:after="283"/>
              <w:ind w:left="0" w:right="0" w:hanging="180"/>
              <w:jc w:val="left"/>
              <w:rPr/>
            </w:pPr>
            <w:r>
              <w:rPr/>
              <w:t> </w:t>
            </w:r>
          </w:p>
        </w:tc>
      </w:tr>
      <w:tr>
        <w:trPr/>
        <w:tc>
          <w:tcPr>
            <w:tcW w:w="1561" w:type="dxa"/>
            <w:tcBorders/>
            <w:shd w:fill="CCEEFF" w:val="clear"/>
            <w:vAlign w:val="center"/>
          </w:tcPr>
          <w:p>
            <w:pPr>
              <w:pStyle w:val="TableContents"/>
              <w:bidi w:val="0"/>
              <w:spacing w:before="0" w:after="283"/>
              <w:jc w:val="left"/>
              <w:rPr/>
            </w:pPr>
            <w:r>
              <w:rPr/>
              <w:t>Common Stock</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(26,360</w:t>
            </w:r>
          </w:p>
        </w:tc>
        <w:tc>
          <w:tcPr>
            <w:tcW w:w="135"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55,172,410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71" w:type="dxa"/>
            <w:tcBorders/>
            <w:shd w:fill="CCEEFF" w:val="clear"/>
            <w:vAlign w:val="center"/>
          </w:tcPr>
          <w:p>
            <w:pPr>
              <w:pStyle w:val="TableContents"/>
              <w:bidi w:val="0"/>
              <w:spacing w:before="0" w:after="283"/>
              <w:jc w:val="right"/>
              <w:rPr/>
            </w:pPr>
            <w:r>
              <w:rPr/>
              <w:t>(0.48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893" w:type="dxa"/>
            <w:tcBorders/>
            <w:shd w:fill="CCEEFF" w:val="clear"/>
            <w:vAlign w:val="center"/>
          </w:tcPr>
          <w:p>
            <w:pPr>
              <w:pStyle w:val="TableContents"/>
              <w:bidi w:val="0"/>
              <w:spacing w:before="0" w:after="283"/>
              <w:jc w:val="right"/>
              <w:rPr/>
            </w:pPr>
            <w:r>
              <w:rPr/>
              <w:t>(16,480</w:t>
            </w:r>
          </w:p>
        </w:tc>
        <w:tc>
          <w:tcPr>
            <w:tcW w:w="133"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41,679,560</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870" w:type="dxa"/>
            <w:tcBorders/>
            <w:shd w:fill="CCEEFF" w:val="clear"/>
            <w:vAlign w:val="center"/>
          </w:tcPr>
          <w:p>
            <w:pPr>
              <w:pStyle w:val="TableContents"/>
              <w:bidi w:val="0"/>
              <w:spacing w:before="0" w:after="283"/>
              <w:jc w:val="right"/>
              <w:rPr/>
            </w:pPr>
            <w:r>
              <w:rPr/>
              <w:t>(0.40</w:t>
            </w:r>
          </w:p>
        </w:tc>
        <w:tc>
          <w:tcPr>
            <w:tcW w:w="161" w:type="dxa"/>
            <w:tcBorders/>
            <w:shd w:fill="CCEEFF" w:val="clear"/>
            <w:vAlign w:val="center"/>
          </w:tcPr>
          <w:p>
            <w:pPr>
              <w:pStyle w:val="TableContents"/>
              <w:bidi w:val="0"/>
              <w:spacing w:before="0" w:after="283"/>
              <w:ind w:left="0" w:right="0" w:hanging="180"/>
              <w:jc w:val="left"/>
              <w:rPr/>
            </w:pPr>
            <w:r>
              <w:rPr/>
              <w:t>)</w:t>
            </w:r>
          </w:p>
        </w:tc>
      </w:tr>
      <w:tr>
        <w:trPr/>
        <w:tc>
          <w:tcPr>
            <w:tcW w:w="1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B preferred stock</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3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tcMar>
              <w:bottom w:w="28" w:type="dxa"/>
            </w:tcMar>
            <w:vAlign w:val="center"/>
          </w:tcPr>
          <w:p>
            <w:pPr>
              <w:pStyle w:val="TableContents"/>
              <w:bidi w:val="0"/>
              <w:spacing w:before="0" w:after="283"/>
              <w:jc w:val="right"/>
              <w:rPr/>
            </w:pPr>
            <w:r>
              <w:rPr/>
              <w:t>(5,460</w:t>
            </w:r>
          </w:p>
        </w:tc>
        <w:tc>
          <w:tcPr>
            <w:tcW w:w="135" w:type="dxa"/>
            <w:tcBorders/>
            <w:vAlign w:val="center"/>
          </w:tcPr>
          <w:p>
            <w:pPr>
              <w:pStyle w:val="TableContents"/>
              <w:bidi w:val="0"/>
              <w:spacing w:before="0" w:after="283"/>
              <w:jc w:val="left"/>
              <w:rPr/>
            </w:pPr>
            <w:r>
              <w:rPr/>
              <w:t>)</w:t>
            </w:r>
          </w:p>
        </w:tc>
        <w:tc>
          <w:tcPr>
            <w:tcW w:w="97"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137,138</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(39.81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pPr>
            <w:r>
              <w:rPr/>
              <w:t>(4,519</w:t>
            </w:r>
          </w:p>
        </w:tc>
        <w:tc>
          <w:tcPr>
            <w:tcW w:w="133" w:type="dxa"/>
            <w:tcBorders/>
            <w:vAlign w:val="center"/>
          </w:tcPr>
          <w:p>
            <w:pPr>
              <w:pStyle w:val="TableContents"/>
              <w:bidi w:val="0"/>
              <w:spacing w:before="0" w:after="283"/>
              <w:jc w:val="left"/>
              <w:rPr/>
            </w:pPr>
            <w:r>
              <w:rPr/>
              <w:t>)</w:t>
            </w:r>
          </w:p>
        </w:tc>
        <w:tc>
          <w:tcPr>
            <w:tcW w:w="9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137,138</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w:t>
            </w:r>
          </w:p>
        </w:tc>
        <w:tc>
          <w:tcPr>
            <w:tcW w:w="870" w:type="dxa"/>
            <w:tcBorders/>
            <w:vAlign w:val="center"/>
          </w:tcPr>
          <w:p>
            <w:pPr>
              <w:pStyle w:val="TableContents"/>
              <w:bidi w:val="0"/>
              <w:spacing w:before="0" w:after="283"/>
              <w:jc w:val="right"/>
              <w:rPr/>
            </w:pPr>
            <w:r>
              <w:rPr/>
              <w:t>(32.95</w:t>
            </w:r>
          </w:p>
        </w:tc>
        <w:tc>
          <w:tcPr>
            <w:tcW w:w="161" w:type="dxa"/>
            <w:tcBorders/>
            <w:vAlign w:val="center"/>
          </w:tcPr>
          <w:p>
            <w:pPr>
              <w:pStyle w:val="TableContents"/>
              <w:bidi w:val="0"/>
              <w:spacing w:before="0" w:after="283"/>
              <w:ind w:left="0" w:right="0" w:hanging="180"/>
              <w:jc w:val="left"/>
              <w:rPr/>
            </w:pPr>
            <w:r>
              <w:rPr/>
              <w:t>)</w:t>
            </w:r>
          </w:p>
        </w:tc>
      </w:tr>
      <w:tr>
        <w:trPr/>
        <w:tc>
          <w:tcPr>
            <w:tcW w:w="1561"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3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double" w:sz="10" w:space="0" w:color="000000"/>
            </w:tcBorders>
            <w:shd w:fill="CCEEFF" w:val="clear"/>
            <w:tcMar>
              <w:bottom w:w="28" w:type="dxa"/>
            </w:tcMar>
            <w:vAlign w:val="center"/>
          </w:tcPr>
          <w:p>
            <w:pPr>
              <w:pStyle w:val="TableContents"/>
              <w:bidi w:val="0"/>
              <w:spacing w:before="0" w:after="283"/>
              <w:jc w:val="right"/>
              <w:rPr/>
            </w:pPr>
            <w:r>
              <w:rPr/>
              <w:t>(31,820</w:t>
            </w:r>
          </w:p>
        </w:tc>
        <w:tc>
          <w:tcPr>
            <w:tcW w:w="135"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pPr>
            <w:r>
              <w:rPr/>
              <w:t>(20,999</w:t>
            </w:r>
          </w:p>
        </w:tc>
        <w:tc>
          <w:tcPr>
            <w:tcW w:w="133"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3"/>
        <w:gridCol w:w="9884"/>
      </w:tblGrid>
      <w:tr>
        <w:trPr/>
        <w:tc>
          <w:tcPr>
            <w:tcW w:w="6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weighted-average number of shares of as-converted Series B preferred stock used in the loss allocation was 11,428,149 for the three months ended March 31, 2026 and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computation of basic net loss per share attributable to stockholders, the amount of weighted-average shares outstanding excludes all shares of unvested restricted common stock as such shares are not considered outstanding for accounting purposes until vested. The amount of weighted-average shares outstanding includes the pre-funded warrants as the exercise price is negligible and these warrants are fully vested and exercisable.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shares of common stock that were excluded from the computation of diluted net loss per share attributable to stockholders for the periods presented because including them would have had an anti-dilutive effect were as follows:</w:t>
      </w:r>
    </w:p>
    <w:p>
      <w:pPr>
        <w:pStyle w:val="TextBody"/>
        <w:bidi w:val="0"/>
        <w:spacing w:before="0" w:after="0"/>
        <w:ind w:left="0" w:right="0" w:hanging="0"/>
        <w:jc w:val="both"/>
        <w:rPr>
          <w:caps w:val="false"/>
          <w:smallCaps w:val="false"/>
        </w:rPr>
      </w:pPr>
      <w:r>
        <w:rPr>
          <w:caps w:val="false"/>
          <w:smallCaps w:val="false"/>
        </w:rPr>
        <w:t> </w:t>
      </w:r>
    </w:p>
    <w:tbl>
      <w:tblPr>
        <w:tblW w:w="8370" w:type="dxa"/>
        <w:jc w:val="left"/>
        <w:tblInd w:w="0" w:type="dxa"/>
        <w:tblLayout w:type="fixed"/>
        <w:tblCellMar>
          <w:top w:w="0" w:type="dxa"/>
          <w:left w:w="0" w:type="dxa"/>
          <w:bottom w:w="0" w:type="dxa"/>
          <w:right w:w="0" w:type="dxa"/>
        </w:tblCellMar>
      </w:tblPr>
      <w:tblGrid>
        <w:gridCol w:w="5645"/>
        <w:gridCol w:w="90"/>
        <w:gridCol w:w="90"/>
        <w:gridCol w:w="1130"/>
        <w:gridCol w:w="90"/>
        <w:gridCol w:w="90"/>
        <w:gridCol w:w="90"/>
        <w:gridCol w:w="1010"/>
        <w:gridCol w:w="135"/>
      </w:tblGrid>
      <w:tr>
        <w:trPr/>
        <w:tc>
          <w:tcPr>
            <w:tcW w:w="5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35" w:type="dxa"/>
            <w:tcBorders/>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Outstanding employee warrants to purchase common stock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2,767,511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3,054,358</w:t>
            </w:r>
          </w:p>
        </w:tc>
        <w:tc>
          <w:tcPr>
            <w:tcW w:w="135"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Outstanding unvested restricted stock awards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1,023,870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1,630,982</w:t>
            </w:r>
          </w:p>
        </w:tc>
        <w:tc>
          <w:tcPr>
            <w:tcW w:w="135"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Outstanding and issued common stock options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5,297,351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3,265,460</w:t>
            </w:r>
          </w:p>
        </w:tc>
        <w:tc>
          <w:tcPr>
            <w:tcW w:w="135"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Outstanding unvested restricted stock units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396,145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Outstanding and issued warrant to Paruka</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971,930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596,930</w:t>
            </w:r>
          </w:p>
        </w:tc>
        <w:tc>
          <w:tcPr>
            <w:tcW w:w="135"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10,456,807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8,547,730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Related Party 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Paragon and Paruka each beneficially own less than 5% of the Company’s capital stock through their respective holdings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Fairmount Healthcare Fund II, L.P. (“Fairmount”) beneficially owns more than 5% of the Company’s capital stock, currently has one representative appointed to the Board, and beneficially owns more than 5% of Paragon. Fairmount appointed Paragon’s board of directors and has the contractual right to approve the appointment of any executive officers of Paragon.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related party accounts payable and other current liabilities (in thousands): </w:t>
      </w:r>
    </w:p>
    <w:p>
      <w:pPr>
        <w:pStyle w:val="TextBody"/>
        <w:bidi w:val="0"/>
        <w:spacing w:before="0" w:after="0"/>
        <w:ind w:left="0" w:right="0" w:hanging="0"/>
        <w:jc w:val="both"/>
        <w:rPr>
          <w:caps w:val="false"/>
          <w:smallCaps w:val="false"/>
        </w:rPr>
      </w:pPr>
      <w:r>
        <w:rPr>
          <w:caps w:val="false"/>
          <w:smallCaps w:val="false"/>
        </w:rPr>
        <w:t> </w:t>
      </w:r>
    </w:p>
    <w:tbl>
      <w:tblPr>
        <w:tblW w:w="8369" w:type="dxa"/>
        <w:jc w:val="left"/>
        <w:tblInd w:w="0" w:type="dxa"/>
        <w:tblLayout w:type="fixed"/>
        <w:tblCellMar>
          <w:top w:w="0" w:type="dxa"/>
          <w:left w:w="0" w:type="dxa"/>
          <w:bottom w:w="0" w:type="dxa"/>
          <w:right w:w="0" w:type="dxa"/>
        </w:tblCellMar>
      </w:tblPr>
      <w:tblGrid>
        <w:gridCol w:w="5360"/>
        <w:gridCol w:w="90"/>
        <w:gridCol w:w="259"/>
        <w:gridCol w:w="900"/>
        <w:gridCol w:w="90"/>
        <w:gridCol w:w="90"/>
        <w:gridCol w:w="180"/>
        <w:gridCol w:w="1265"/>
        <w:gridCol w:w="135"/>
      </w:tblGrid>
      <w:tr>
        <w:trPr/>
        <w:tc>
          <w:tcPr>
            <w:tcW w:w="5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31, </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35"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Paragon milestone payments for the Option Agreements</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3,000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0"/>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Paragon reimbursable patent expenses</w:t>
            </w:r>
          </w:p>
        </w:tc>
        <w:tc>
          <w:tcPr>
            <w:tcW w:w="90" w:type="dxa"/>
            <w:tcBorders/>
            <w:vAlign w:val="center"/>
          </w:tcPr>
          <w:p>
            <w:pPr>
              <w:pStyle w:val="TableContents"/>
              <w:bidi w:val="0"/>
              <w:spacing w:before="0" w:after="283"/>
              <w:jc w:val="left"/>
              <w:rPr/>
            </w:pPr>
            <w:r>
              <w:rPr/>
              <w:t> </w:t>
            </w:r>
          </w:p>
        </w:tc>
        <w:tc>
          <w:tcPr>
            <w:tcW w:w="259"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pPr>
            <w:r>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tcMar>
              <w:bottom w:w="28" w:type="dxa"/>
            </w:tcMar>
            <w:vAlign w:val="center"/>
          </w:tcPr>
          <w:p>
            <w:pPr>
              <w:pStyle w:val="TableContents"/>
              <w:bidi w:val="0"/>
              <w:spacing w:before="0" w:after="283"/>
              <w:jc w:val="right"/>
              <w:rPr/>
            </w:pPr>
            <w:r>
              <w:rPr/>
              <w:t>9</w:t>
            </w:r>
          </w:p>
        </w:tc>
        <w:tc>
          <w:tcPr>
            <w:tcW w:w="135"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2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10" w:space="0" w:color="000000"/>
            </w:tcBorders>
            <w:shd w:fill="CCEEFF" w:val="clear"/>
            <w:tcMar>
              <w:bottom w:w="28" w:type="dxa"/>
            </w:tcMar>
            <w:vAlign w:val="center"/>
          </w:tcPr>
          <w:p>
            <w:pPr>
              <w:pStyle w:val="TableContents"/>
              <w:bidi w:val="0"/>
              <w:spacing w:before="0" w:after="283"/>
              <w:jc w:val="right"/>
              <w:rPr/>
            </w:pPr>
            <w:r>
              <w:rPr/>
              <w:t>3,004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10" w:space="0" w:color="000000"/>
            </w:tcBorders>
            <w:shd w:fill="CCEEFF" w:val="clear"/>
            <w:tcMar>
              <w:bottom w:w="28" w:type="dxa"/>
            </w:tcMar>
            <w:vAlign w:val="center"/>
          </w:tcPr>
          <w:p>
            <w:pPr>
              <w:pStyle w:val="TableContents"/>
              <w:bidi w:val="0"/>
              <w:spacing w:before="0" w:after="283"/>
              <w:jc w:val="right"/>
              <w:rPr/>
            </w:pPr>
            <w:r>
              <w:rPr/>
              <w:t>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the Company announced the closing of an underwritten public offering. The Company issued and sold 9,660,000 shares of its common stock, par value $0.001, at a public offering price of $72.50 per share (the “April 2026 Offering”) for gross proceeds of $700.4 million before any underwriting discounts and commissions and related issuance expenses. The Company has granted the underwriters an option for a period of 30 days expiring May 28, 2026, to purchase up to an additional 1,449,000 shares of its common stock at the public offering price of $72.50 per share, less underwriting discounts and commissions. As of the filing of these condensed financial statements, the option remains unexercised.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2026, the Company and Halozyme Hypercon, Inc. (“Halozyme”) entered into a global exclusive collaboration and license agreement (“Halozyme License Agreement”). Under the Halozyme License Agreement, the Company has licensed Halozyme’s Hypercon</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technology for IL-23p19 in psoriatic disease and up to one additional target. Hypercon</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is an innovative microparticle technology that allows for hyperconcentration of drugs and biologics, reducing injection volume for a given dose and supporting more convenient, patient-friendly administration. Pursuant to the terms of the Halozyme License Agreement, the Company is obligated to pay Halozyme a non-refundable upfront payment and milestone payments upon the achievement of certain clinical, developmental and sales milestones for a total amount up to $176.5 million, along with reimbursement of the costs to be incurred in the development of the licensed products. In addition, the Company would be obligated to pay mid-single digit royalties on net sales of products developed using Hypercon</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unaudited condensed consolidated financial statements and the related notes included in Part 1, Item 1 of this Quarterly Report on Form 10-Q for the quarterly period ended March 31, 2026 (this “Quarterly Report”) and with the audited consolidated financial statements and related notes included in our Annual Report on Form 10-K for the year ended December 31, 2025 filed with the Securities and Exchange Commission (the “SEC”) on March 12, 2026. This discussion contains forward-looking statements that involve risks and uncertainties, such as statements regarding our plans, objectives, expectations, intentions, hopes, beliefs, strategies or projections regarding the future of our pipeline and business and words such as “may,” “will,”, “should,” “could,” “would,” “expect,” “plan,” “anticipate,” “believe,” “estimate,” “project,” “potential,” “seek,” “target,” “goal,” “intend” and variations of such words and any statements that refer to projections, forecasts or other characterizations of future events or circumstances, including any underlying assumptions, and similar expressions are intended to identify forward-looking statements. You should not place undue reliance on these forward-looking statements. These forward-looking statements are based on current expectations and beliefs concerning future developments and their potential effects. There can be no assurance that future developments affecting us will be those that have been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Factors that could cause or contribute to such differences include, but are not limited to, those discussed in the section of this Quarterly Report entitled “Risk Factors” and elsewhere in this Quarterly Report. These and many other factors could affect our future financial and operating results. We undertake no obligation to update any forward-looking statement to reflect events after the date of this Quarterly Report. As used in this Quarterly Report, unless the context suggests otherwise, “we,” “us,” “our,” “the Company,” “Oruka Therapeutics, Inc.,” “Oruka,” “ARCA biopharma, Inc.,” “ARCA,” refers to Oruka Therapeutics, Inc. and its consolidated subsidiary, Oruka Therapeutics Operating Company LLC, taken as a whole.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clinical-stage biopharmaceutical company focused on developing novel monoclonal antibody therapeutics for psoriasis (“PsO”) and other inflammatory and immunology (“I&amp;I”) indications. Our name is derived from </w:t>
      </w:r>
      <w:r>
        <w:rPr>
          <w:rFonts w:ascii="Times New Roman;Times;Serif" w:hAnsi="Times New Roman;Times;Serif"/>
          <w:b w:val="false"/>
          <w:i/>
          <w:caps w:val="false"/>
          <w:smallCaps w:val="false"/>
          <w:sz w:val="20"/>
        </w:rPr>
        <w:t>or</w:t>
      </w:r>
      <w:r>
        <w:rPr>
          <w:rFonts w:ascii="Times New Roman;Times;Serif" w:hAnsi="Times New Roman;Times;Serif"/>
          <w:b w:val="false"/>
          <w:i w:val="false"/>
          <w:caps w:val="false"/>
          <w:smallCaps w:val="false"/>
          <w:sz w:val="20"/>
        </w:rPr>
        <w:t xml:space="preserve">, for “skin,” and </w:t>
      </w:r>
      <w:r>
        <w:rPr>
          <w:rFonts w:ascii="Times New Roman;Times;Serif" w:hAnsi="Times New Roman;Times;Serif"/>
          <w:b w:val="false"/>
          <w:i/>
          <w:caps w:val="false"/>
          <w:smallCaps w:val="false"/>
          <w:sz w:val="20"/>
        </w:rPr>
        <w:t>arukah</w:t>
      </w:r>
      <w:r>
        <w:rPr>
          <w:rFonts w:ascii="Times New Roman;Times;Serif" w:hAnsi="Times New Roman;Times;Serif"/>
          <w:b w:val="false"/>
          <w:i w:val="false"/>
          <w:caps w:val="false"/>
          <w:smallCaps w:val="false"/>
          <w:sz w:val="20"/>
        </w:rPr>
        <w:t>, for “restoration,” and reflects our mission to deliver therapies for chronic skin diseases that provide patients the most possible freedom from their condition. Our strategy is to apply antibody engineering and format innovations to validated modes of action, which we believe will enable us to improve meaningfully upon the efficacy and dosing regimens of standard-of-care medicines while significantly reducing technical and biological risk. Our programs aim to treat and potentially modify disease by targeting mechanisms with proven efficacy and safety involved in disease pathology and the activity of pathogenic tissue-resident memory T cells (“TRMs”).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program, ORKA-001, is designed to target the p19 subunit of interleukin-23 (“IL-23p19”) for the treatment of PsO. Our co-lead program, ORKA-002, is designed to target interleukin-17A and interleukin-17F (“IL-17A/F”) for the treatment of PsO, hidradenitis suppurativa (“HS”), psoriatic arthritis (“PsA”), and other conditions. These programs each bind their respective targets at high affinity and incorporate half-life extension technology with the aim to increase exposure and decrease dosing frequency. We believe that our focused strategy, differentiated portfolio, and deep expertise position us to set a new treatment standard in large I&amp;I markets with continued unmet need.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February 2024, we have devoted substantially all of our resources to raising capital, organizing and staffing our company, business and scientific planning, conducting discovery and research activities, establishing and protecting our intellectual property portfolio, establishing arrangements with third parties for the manufacture of our programs and component materials, developing and progressing our pipeline, and providing general and administrative support for these operations. We do not have any products approved for sale and have not generated any revenue from product sales. To date, we have funded our operations primarily with proceeds from the issuance of convertible preferred stock, common stock, a convertible note, and pre-funded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incurred significant losses and negative cash flows from our operations. Our ability to generate product revenue sufficient to achieve profitability will depend heavily on the successful development and eventual commercialization of any programs we may develop. As of March 31, 2026, we had an accumulated deficit of $221.0 million. For the three months ended March 31, 2026, we had net losses of $31.8 million, and we used net cash of $23.6 million for our 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cash, cash equivalents, and marketable securities of $496.0 million as of March 31, 2026. In addition, in April 2026, we sold 9,660,000 shares of our common stock in an underwritten public offering for gross proceeds of $700.4 million before any underwriting discounts and commissions and related issuance expenses. We expect that our existing cash, cash equivalents, and marketable securities will be sufficient to fund our operating plans for at least twelve months from the date of filing of this Quarterly Report. We expect to continue to incur substantial losses for the foreseeable future, and our transition to profitability will depend upon successful development, approval and commercialization of our product candidates and upon achievement of sufficient revenues to support our cost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Portfolio and Development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ORKA-001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ORKA-001 is a high affinity, extended half-life monoclonal antibody (“mAb”) designed to target IL-23p19. IL-23 is a pro-inflammatory cytokine that plays a critical role in the proliferation and development of T helper 17 (“Th17”) cells, which are the primary drivers of several autoimmune and inflammatory disorders, including PsO. IL-23 is composed of two subunits: a p40 subunit that is shared with IL-12 and a p19 subunit that is specific to IL-23. First-generation IL-23 antibodies bound p40 and inhibited both IL-12 and IL-23 signaling, while more recent IL-23 antibodies targeting the p19 subunit have shown improved efficacy and safety. Based on clinical evidence, we believe that ORKA-001 could achieve higher response rates than established therapies in PsO while requiring less frequent dosing and maintaining the favorable safety profile of therapies targeting IL-23p19.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ORKA-001 is engineered with YTE half-life extension technology, a specific three amino acid change in the fragment crystallizable (“Fc”) domain to modify the pH-dependent binding to the neonatal Fc receptor (“FcRn”). As a result, it has a pharmacokinetic profile designed to support a subcutaneous (“SQ”) injection as infrequently as once or twice per year. In addition, emerging evidence suggests that IL-23 blockade can modify the disease biology of PsO, possibly leading to durable remissions and preventing the development of PsA. We believe that the expected characteristics of ORKA-001 increase its potential to deliver these disease-modifying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initiated a Phase 1 trial of ORKA-001 in the fourth quarter of 2024. In September 2025, we announced interim results and updated those results in April 2026. The data showed that ORKA-001 has a human half-life of approximately 100 days and was well tolerated at all dose levels, with a favorable safety profile consistent with the anti-IL-23 class. The Phase 1 trial data support that a single 600mg dose maintained ORKA-001 concentrations well above effective trough levels through Week 52, the last timepoint evaluated with sustained inhibition of IL-23 pathway signaling observed throughout that time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third quarter of 2025, we commenced dosing in a Phase 2a clinical trial of ORKA-001 in patients with moderate-to-severe PsO (also known as “EVERLAST-A”). EVERLAST-A enrolled 84 patients randomized 3:1 to receive 600 mg of ORKA-001 at Weeks 0 and 4 or matching placebo. At Week 28, patients who have achieved PASI 100 will be randomized 2:1 to an arm where either (1) they do not receive another dose until disease recurrence (to evaluate the possibility of both yearly dosing and extended off-treatment remissions) or (2) they receive 300 mg ORKA-001 every six months. We announced Week 16 data for all patients in April 2026. 40 of 63 participants (63.5%) treated with ORKA-001 achieved the primary endpoint of PASI 100, a 100% reduction from baseline in the Psoriasis Area and Severity Index (“PASI”), at Week 16 and identical results were observed for Investigator’s Global Assessment (“IGA”) 0. Other key secondary endpoints included PASI 90 at Week 16, achieved by 83% of participants, and IGA 0/1 at Week 16, achieved by 84% of participants. ORKA-001 was well tolerated with a safety profile consistent with prior IL-23p19 inhibitors. There were no serious treatment-emergent adverse events (“TEAEs”) and only one severe TEAE, which occurred in the placebo group. Additionally, there were no injection site reactions. We plan to share longer-term data, including Week 28 for all patients and 52-week follow-up for a portion of the cohort, in the second half of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first patients were dosed in EVERLAST-B in December 2025. EVERLAST-B is designed to enroll approximately 160 patients into a dose-ranging Phase 2b trial of ORKA-001 in patients with moderate-to-severe PsO and will evaluate three dose levels of ORKA-001: 37.5 mg at Week 0, 300 mg at Weeks 0 and 4, and 600 mg at Weeks 0 and 4, versus placebo. The primary endpoint is PASI 100 at Week 16. At Week 28, patients who have achieved PASI 100 will be re-randomized 1:1 to either a 600 mg dose once-yearly or placebo. Patients who have not achieved PASI 100 at Week 28 will receive a 300 mg dose every six months. Building on EVERLAST-A, this design will further test the potential for ORKA-001 to achieve yearly dosing, higher efficacy and extended off-treatment remissions. We expect to announce data from EVERLAST-B in 2027.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recent precedent in PsO, we anticipate that the overall development program, from first-in-human studies through biologics license application (“BLA”) submission, could take as little as six to seven years, based on averages observed for recently approved medicines. However, we have no control over the duration of the United States Food and Drug Administration (“FDA”) review process, and the actual timeline may vary.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ORKA-002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ORKA-002 is a high affinity, extended half-life mAb designed to target IL-17A and IL-17F (“IL-17A/F”). IL-17 inhibition has become central to the treatment of psoriatic diseases, including PsO and PsA, and has also shown efficacy in other I&amp;I indications, such as HS and axial spondyloarthritis (“axSpA”). More recently, the importance of inhibiting the IL-17F isoform along with IL-17A has become appreciated, and dual blockade with the recently approved therapy Bimzelx (bimekizumab) has led to higher response rates in patients than blockade of IL-17A alone. ORKA-002 is designed to bind IL-17A/F at similar epitopes, or binding sites, and affinity ranges as bimekizumab, but incorporates half-life extension technology that could enable more convenient dosing intervals.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announced interim findings from the Phase 1 trial of ORKA-002 in healthy volunteers. The results showed that ORKA-002 has a half-life of approximately 75-80 days, which supports the potential for twice-yearly maintenance dosing in PsO and quarterly maintenance dosing in HS. Single doses of ORKA-002 demonstrated potent and sustained inhibition of IL-17 signaling in an ex vivo assay through 24 weeks. ORKA-002 was well tolerated at all dose levels, with a favorable safety profile consistent with the anti-IL-17 class. The trial remains blinded, and as of January 6, 2026, which was the data cutoff date, all subjects remained on trial.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these Phase 1 results, we initiated ORCA-SURGE, a Phase 2 trial of ORKA-002 in patients with moderate-to-severe PsO, in February 2026. ORCA-SURGE is designed to enroll approximately 160 patients randomized 1:1:1:1 to receive 40 mg, 160 mg or 320 mg of ORKA-002 at Weeks 0 and 4, or matching placebo. The primary endpoint is PASI 100 at Week 16. Maintenance dosing will evaluate the potential for twice-yearly dosing with ORKA-002. We expect to announce data from ORCA-SURGE in 2027. Moreover, we also expect to initiate ORCA-SPLASH, a Phase 2 trial of ORKA-002 in patients with HS in the second half of 2026.</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Pipeline Program</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third program, ORKA-003, designed to target an undisclosed pathway. Our strategy as a company is to remain highly focused on I&amp;I diseases, and specifically on inflammatory dermatology conditions. Our third program provides the potential for indication expansion beyond PsO and may create combination opportunities with our more advanced programs.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Agreements and License Agreements – Paragon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we entered into two Antibody Discovery and Option Agreements with Paragon and Paruka Holding, LLC (“Paruka”) (each, an “Option Agreement”), pursuant to which we initiated certain research programs with Paragon focusing on discovering, generating, identifying and/or characterizing antibodies directed to a particular target, including for IL-23 and IL-17A/F for ORKA-001 and ORKA-002, respectively. In September 2024, we exercised our exclusive option to acquire certain rights to ORKA-001, and in December 2024, we entered into a corresponding license agreement with Paragon pursuant to which Paragon granted us a royalty-bearing, world-wide, exclusive license to develop, manufacture, commercialize or otherwise exploit certain antibodies and products targeting IL-23 in all fields other than the field of inflammatory bowel disease. In December 2024, we exercised our exclusive option to acquire certain rights to ORKA-002, and in February 2025, we entered into the corresponding license agreement with Paragon pursuant to which Paragon granted us a royalty-bearing, world-wide, exclusive license to develop, manufacture, commercialize or otherwise exploit certain antibodies and products targeting IL-17A/F in all fields (collectively, the “License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each of the License Agreements, Paragon has agreed not to conduct any new campaigns that generate anti-IL-23 monospecific antibodies or anti-IL-17A/F monospecific antibodies in the respective agreed-upon fields. Each of the ORKA-001 and ORKA-002 License Agreements may be terminated on 60 days’ notice to Paragon, on material breach without cure, and on a party’s insolvency or bankruptcy to the extent permitted by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each of the License Agreements, we are obligated to pay Paragon non-refundable milestone payments of up to $12.0 million under each respective agreement upon the achievement of certain clinical development milestones and up to $10.0 million under each respective agreement upon the achievement of certain regulatory milestones. In addition, we are obligated to pay Paragon a low single-digit percentage royalty for antibody products for each of ORKA-001 and ORKA-002. For each of the License Agreements, the royalty term ends on the later of (i) the last-to-expire licensed patent or our patent directed to the manufacture, use or sale of a licensed antibody in the country at issue or (ii) 12 years from the date of first sale of our product. There is also a royalty step-down if there is no Paragon patent in effect during the royalty term for each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we entered into an additional option agreement for an antibody with Paragon and Paruka to enter into a license agreement, which we exercised in December 2025. Per the terms of this option agreement, once we enter into the corresponding license agreement, we will be required to make non-refundable milestone payments to Paragon of up to $12.0 million under the agreement upon the achievement of certain clinical development milestones, up to $10.0 million under the agreement upon the achievement of a certain regulatory milestone, as well as a low single-digit percentage royalty for antibody products beginning on the first commercial sale. As of March 31, 2026, we have not entered into a license agreement with Paragon and Paruka related to this additional option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2026, we incurred and expensed a milestone of $3.0 million related to the dosing of the first patient in a Phase 2 trial for the ORKA-002 License Agreement. Pursuant to the License Agreements, as of March 31, 2026, we have incurred and expensed milestone payments of $7.0 million for each of ORKA-001 and ORKA-002.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revenue from any sources, including product sales, and do not expect to generate any revenue from the sale of products in the foreseeable future. If our development efforts for our product candidates are successful and result in regulatory approval, we may generate revenue in the future from product sales or payments from future collaboration or license agreements that we may enter into with third parties, or any combination thereof. We cannot predict if, when, or to what extent we will generate revenue from the commercialization and sale of our product candidates. We may never succeed in obtaining regulatory approval for any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incurred in connection with the development and research of our programs. These expenses include:</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costs of funding research performed by third parties that conduct research and development activities on our behalf;</w:t>
            </w:r>
          </w:p>
        </w:tc>
      </w:tr>
    </w:tbl>
    <w:p>
      <w:pPr>
        <w:pStyle w:val="TextBody"/>
        <w:bidi w:val="0"/>
        <w:spacing w:before="0" w:after="0"/>
        <w:ind w:left="720" w:right="0" w:hanging="0"/>
        <w:jc w:val="left"/>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68"/>
        <w:gridCol w:w="200"/>
        <w:gridCol w:w="73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pPr>
            <w:r>
              <w:rPr/>
              <w:t>costs incurred, and milestone payments under license and option agreements;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expenses incurred in connection with continuing our current research programs and discovery-phase development of any programs we may identify, including under future agreements with third parties, such as consultants and contractors;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expenses incurred under agreements with contract research organizations (“CROs”), contract manufacturing organizations (“CMOs”), and with clinical trial sites that conduct research and development activities on our behalf;</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cost of development and validating our manufacturing process for use in our preclinical studies and current and future clinical trials;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personnel-related expenses, including salaries, bonuses, employee benefits, travel, and stock-based compensation expense;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allocated human resource costs, information technology costs, and facility-related costs, including rent, maintenance, utilities, and depreciation for our leased office space.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 Our primary focus since inception has been the identification and development of our pipeline programs. Our research and development expenses primarily consist of external costs. See Note 10 to the condensed consolidated financial statements included in Part I - Item 1 of this Quarterly Report for further details on the Option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research and development expenses will increase substantially for the foreseeable future as we continue to invest in research and development activities related to the continued development of our programs, developing any future programs, including investments in manufacturing, as we advance any program we may identify and continue to conduct clinical trials. The success of programs we may identify and develop will depend on many factors, including the following:</w:t>
      </w:r>
    </w:p>
    <w:p>
      <w:pPr>
        <w:pStyle w:val="TextBody"/>
        <w:bidi w:val="0"/>
        <w:spacing w:before="0" w:after="0"/>
        <w:ind w:left="0" w:right="0" w:firstLine="36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68"/>
        <w:gridCol w:w="200"/>
        <w:gridCol w:w="69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pPr>
            <w:r>
              <w:rPr/>
              <w:t>timely and successful completion of preclinical studies and clinical trials;</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effective investigational new drug (“IND”) or comparable foreign applications that allow commencement of our planned clinical trials or future clinical trials for any programs we may develop;</w:t>
            </w:r>
          </w:p>
        </w:tc>
      </w:tr>
    </w:tbl>
    <w:p>
      <w:pPr>
        <w:pStyle w:val="TextBody"/>
        <w:bidi w:val="0"/>
        <w:spacing w:before="0" w:after="0"/>
        <w:ind w:left="0" w:right="0" w:firstLine="360"/>
        <w:jc w:val="left"/>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68"/>
        <w:gridCol w:w="200"/>
        <w:gridCol w:w="51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both"/>
              <w:rPr/>
            </w:pPr>
            <w:r>
              <w:rPr/>
              <w:t>successful enrollment and completion of clinical trials;</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positive results from our clinical trials that support a finding of safety and effectiveness, acceptable pharmacokinetics profile, and an acceptable risk-benefit profile in the intended populations;</w:t>
            </w:r>
          </w:p>
        </w:tc>
      </w:tr>
    </w:tbl>
    <w:p>
      <w:pPr>
        <w:pStyle w:val="TextBody"/>
        <w:bidi w:val="0"/>
        <w:spacing w:before="0" w:after="0"/>
        <w:ind w:left="0" w:right="0" w:hanging="0"/>
        <w:jc w:val="left"/>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68"/>
        <w:gridCol w:w="200"/>
        <w:gridCol w:w="66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pPr>
            <w:r>
              <w:rPr/>
              <w:t>receipt of marketing approvals from applicable regulatory authorities;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establishment of arrangements through our own facilities or with third-party manufacturers for clinical supply and, where applicable, commercial manufacturing capabilities;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maintenance of a continued acceptable safety, tolerability, and efficacy profile of any programs we may develop following approval.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the outcome of any of these variables with respect to the development of programs that we may identify could mean a significant change in the costs and possible delays in timing associated with the development of such programs. For example, if the FDA or another regulatory authority were to require us to conduct clinical trials beyond those that we currently anticipate will be required for the completion of clinical development of a program,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personnel-related expenses, including salaries, bonuses, employee benefits, travel, and stock-based compensation, for our executive and other administrative personnel. Other significant general and administrative expenses include legal services, including intellectual property and corporate matters; professional fees for accounting, auditing, tax, insurance, and allocated human resource costs, information technology costs, and facility-related costs, including rent, utilities, maintenance, and depreciation for our leased office space.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general and administrative expenses will increase substantially for the foreseeable future as we anticipate an increase in our personnel headcount to support the expansion of research and development activities, as well as to support our operations generally. We also expect to continue to incur significant expenses associated with being a public company, including costs related to accounting, audit, legal, regulatory, and tax-related services associated with maintaining compliance with applicable Nasdaq and SEC requirements; director and officer insurance costs; and investor and public relations costs. We also expect to incur additional intellectual property-related expenses as we file patent applications to protect innovations arising from our research and development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 consists of interest earned on our cash, cash equivalents, and marketable securities, and foreign currency transactions gains and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Comparison of the Three Months Ended March 31, 2026 and 2025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periods presented (in thousands):</w:t>
      </w:r>
    </w:p>
    <w:p>
      <w:pPr>
        <w:pStyle w:val="TextBody"/>
        <w:bidi w:val="0"/>
        <w:spacing w:before="0" w:after="0"/>
        <w:ind w:left="0" w:right="0" w:firstLine="360"/>
        <w:jc w:val="both"/>
        <w:rPr>
          <w:caps w:val="false"/>
          <w:smallCaps w:val="false"/>
        </w:rPr>
      </w:pPr>
      <w:r>
        <w:rPr>
          <w:caps w:val="false"/>
          <w:smallCaps w:val="false"/>
        </w:rPr>
        <w:t> </w:t>
      </w:r>
    </w:p>
    <w:tbl>
      <w:tblPr>
        <w:tblW w:w="6908" w:type="dxa"/>
        <w:jc w:val="left"/>
        <w:tblInd w:w="0" w:type="dxa"/>
        <w:tblLayout w:type="fixed"/>
        <w:tblCellMar>
          <w:top w:w="0" w:type="dxa"/>
          <w:left w:w="0" w:type="dxa"/>
          <w:bottom w:w="0" w:type="dxa"/>
          <w:right w:w="0" w:type="dxa"/>
        </w:tblCellMar>
      </w:tblPr>
      <w:tblGrid>
        <w:gridCol w:w="2465"/>
        <w:gridCol w:w="90"/>
        <w:gridCol w:w="184"/>
        <w:gridCol w:w="849"/>
        <w:gridCol w:w="135"/>
        <w:gridCol w:w="97"/>
        <w:gridCol w:w="184"/>
        <w:gridCol w:w="849"/>
        <w:gridCol w:w="125"/>
        <w:gridCol w:w="90"/>
        <w:gridCol w:w="170"/>
        <w:gridCol w:w="785"/>
        <w:gridCol w:w="125"/>
        <w:gridCol w:w="90"/>
        <w:gridCol w:w="90"/>
        <w:gridCol w:w="290"/>
        <w:gridCol w:w="290"/>
      </w:tblGrid>
      <w:tr>
        <w:trPr/>
        <w:tc>
          <w:tcPr>
            <w:tcW w:w="24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033"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33"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849" w:type="dxa"/>
            <w:tcBorders/>
            <w:shd w:fill="CCEEFF" w:val="clear"/>
            <w:vAlign w:val="center"/>
          </w:tcPr>
          <w:p>
            <w:pPr>
              <w:pStyle w:val="TableContents"/>
              <w:bidi w:val="0"/>
              <w:spacing w:before="0" w:after="283"/>
              <w:jc w:val="right"/>
              <w:rPr/>
            </w:pPr>
            <w:r>
              <w:rPr/>
              <w:t>29,145</w:t>
            </w:r>
          </w:p>
        </w:tc>
        <w:tc>
          <w:tcPr>
            <w:tcW w:w="13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849" w:type="dxa"/>
            <w:tcBorders/>
            <w:shd w:fill="CCEEFF" w:val="clear"/>
            <w:vAlign w:val="center"/>
          </w:tcPr>
          <w:p>
            <w:pPr>
              <w:pStyle w:val="TableContents"/>
              <w:bidi w:val="0"/>
              <w:spacing w:before="0" w:after="283"/>
              <w:jc w:val="right"/>
              <w:rPr/>
            </w:pPr>
            <w:r>
              <w:rPr/>
              <w:t>19,925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9,220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46</w:t>
            </w:r>
          </w:p>
        </w:tc>
        <w:tc>
          <w:tcPr>
            <w:tcW w:w="290" w:type="dxa"/>
            <w:tcBorders/>
            <w:shd w:fill="CCEEFF" w:val="clear"/>
            <w:vAlign w:val="center"/>
          </w:tcPr>
          <w:p>
            <w:pPr>
              <w:pStyle w:val="TableContents"/>
              <w:bidi w:val="0"/>
              <w:spacing w:before="0" w:after="283"/>
              <w:jc w:val="left"/>
              <w:rPr/>
            </w:pPr>
            <w:r>
              <w:rPr/>
              <w:t>%</w:t>
            </w:r>
          </w:p>
        </w:tc>
      </w:tr>
      <w:tr>
        <w:trPr/>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tcMar>
              <w:bottom w:w="28" w:type="dxa"/>
            </w:tcMar>
            <w:vAlign w:val="center"/>
          </w:tcPr>
          <w:p>
            <w:pPr>
              <w:pStyle w:val="TableContents"/>
              <w:bidi w:val="0"/>
              <w:spacing w:before="0" w:after="283"/>
              <w:jc w:val="right"/>
              <w:rPr/>
            </w:pPr>
            <w:r>
              <w:rPr/>
              <w:t>7,289</w:t>
            </w:r>
          </w:p>
        </w:tc>
        <w:tc>
          <w:tcPr>
            <w:tcW w:w="13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tcMar>
              <w:bottom w:w="28" w:type="dxa"/>
            </w:tcMar>
            <w:vAlign w:val="center"/>
          </w:tcPr>
          <w:p>
            <w:pPr>
              <w:pStyle w:val="TableContents"/>
              <w:bidi w:val="0"/>
              <w:spacing w:before="0" w:after="283"/>
              <w:jc w:val="right"/>
              <w:rPr/>
            </w:pPr>
            <w:r>
              <w:rPr/>
              <w:t>5,161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2,128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41</w:t>
            </w:r>
          </w:p>
        </w:tc>
        <w:tc>
          <w:tcPr>
            <w:tcW w:w="290" w:type="dxa"/>
            <w:tcBorders/>
            <w:vAlign w:val="center"/>
          </w:tcPr>
          <w:p>
            <w:pPr>
              <w:pStyle w:val="TableContents"/>
              <w:bidi w:val="0"/>
              <w:spacing w:before="0" w:after="283"/>
              <w:jc w:val="left"/>
              <w:rPr/>
            </w:pPr>
            <w:r>
              <w:rPr/>
              <w:t>%</w:t>
            </w:r>
          </w:p>
        </w:tc>
      </w:tr>
      <w:tr>
        <w:trPr/>
        <w:tc>
          <w:tcPr>
            <w:tcW w:w="2465"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CCEEFF" w:val="clear"/>
            <w:tcMar>
              <w:bottom w:w="28" w:type="dxa"/>
            </w:tcMar>
            <w:vAlign w:val="center"/>
          </w:tcPr>
          <w:p>
            <w:pPr>
              <w:pStyle w:val="TableContents"/>
              <w:bidi w:val="0"/>
              <w:spacing w:before="0" w:after="283"/>
              <w:jc w:val="right"/>
              <w:rPr/>
            </w:pPr>
            <w:r>
              <w:rPr/>
              <w:t>36,434</w:t>
            </w:r>
          </w:p>
        </w:tc>
        <w:tc>
          <w:tcPr>
            <w:tcW w:w="13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CCEEFF" w:val="clear"/>
            <w:tcMar>
              <w:bottom w:w="28" w:type="dxa"/>
            </w:tcMar>
            <w:vAlign w:val="center"/>
          </w:tcPr>
          <w:p>
            <w:pPr>
              <w:pStyle w:val="TableContents"/>
              <w:bidi w:val="0"/>
              <w:spacing w:before="0" w:after="283"/>
              <w:jc w:val="right"/>
              <w:rPr/>
            </w:pPr>
            <w:r>
              <w:rPr/>
              <w:t>25,086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11,348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45</w:t>
            </w:r>
          </w:p>
        </w:tc>
        <w:tc>
          <w:tcPr>
            <w:tcW w:w="290" w:type="dxa"/>
            <w:tcBorders/>
            <w:shd w:fill="CCEEFF" w:val="clear"/>
            <w:vAlign w:val="center"/>
          </w:tcPr>
          <w:p>
            <w:pPr>
              <w:pStyle w:val="TableContents"/>
              <w:bidi w:val="0"/>
              <w:spacing w:before="0" w:after="283"/>
              <w:jc w:val="left"/>
              <w:rPr/>
            </w:pPr>
            <w:r>
              <w:rPr/>
              <w:t>%</w:t>
            </w:r>
          </w:p>
        </w:tc>
      </w:tr>
      <w:tr>
        <w:trPr/>
        <w:tc>
          <w:tcPr>
            <w:tcW w:w="2465"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(36,434</w:t>
            </w:r>
          </w:p>
        </w:tc>
        <w:tc>
          <w:tcPr>
            <w:tcW w:w="135" w:type="dxa"/>
            <w:tcBorders/>
            <w:vAlign w:val="center"/>
          </w:tcPr>
          <w:p>
            <w:pPr>
              <w:pStyle w:val="TableContents"/>
              <w:bidi w:val="0"/>
              <w:spacing w:before="0" w:after="283"/>
              <w:jc w:val="left"/>
              <w:rPr/>
            </w:pPr>
            <w:r>
              <w:rPr/>
              <w:t>)</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(25,086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(11,348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45</w:t>
            </w:r>
          </w:p>
        </w:tc>
        <w:tc>
          <w:tcPr>
            <w:tcW w:w="290" w:type="dxa"/>
            <w:tcBorders/>
            <w:vAlign w:val="center"/>
          </w:tcPr>
          <w:p>
            <w:pPr>
              <w:pStyle w:val="TableContents"/>
              <w:bidi w:val="0"/>
              <w:spacing w:before="0" w:after="283"/>
              <w:jc w:val="left"/>
              <w:rPr/>
            </w:pPr>
            <w:r>
              <w:rPr/>
              <w:t>%</w:t>
            </w:r>
          </w:p>
        </w:tc>
      </w:tr>
      <w:tr>
        <w:trPr/>
        <w:tc>
          <w:tcPr>
            <w:tcW w:w="2465" w:type="dxa"/>
            <w:tcBorders/>
            <w:shd w:fill="CCEEFF" w:val="clear"/>
            <w:vAlign w:val="center"/>
          </w:tcPr>
          <w:p>
            <w:pPr>
              <w:pStyle w:val="TableContents"/>
              <w:bidi w:val="0"/>
              <w:spacing w:before="0" w:after="283"/>
              <w:jc w:val="left"/>
              <w:rPr/>
            </w:pPr>
            <w:r>
              <w:rPr/>
              <w:t>Other income (expense)</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4,606</w:t>
            </w:r>
          </w:p>
        </w:tc>
        <w:tc>
          <w:tcPr>
            <w:tcW w:w="13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4,092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514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13</w:t>
            </w:r>
          </w:p>
        </w:tc>
        <w:tc>
          <w:tcPr>
            <w:tcW w:w="290" w:type="dxa"/>
            <w:tcBorders/>
            <w:vAlign w:val="center"/>
          </w:tcPr>
          <w:p>
            <w:pPr>
              <w:pStyle w:val="TableContents"/>
              <w:bidi w:val="0"/>
              <w:spacing w:before="0" w:after="283"/>
              <w:jc w:val="left"/>
              <w:rPr/>
            </w:pPr>
            <w:r>
              <w:rPr/>
              <w:t>%</w:t>
            </w:r>
          </w:p>
        </w:tc>
      </w:tr>
      <w:tr>
        <w:trPr/>
        <w:tc>
          <w:tcPr>
            <w:tcW w:w="2465" w:type="dxa"/>
            <w:tcBorders/>
            <w:shd w:fill="CCEEFF" w:val="clear"/>
            <w:vAlign w:val="center"/>
          </w:tcPr>
          <w:p>
            <w:pPr>
              <w:pStyle w:val="TableContents"/>
              <w:bidi w:val="0"/>
              <w:spacing w:before="0" w:after="283"/>
              <w:jc w:val="left"/>
              <w:rPr/>
            </w:pPr>
            <w:r>
              <w:rPr/>
              <w:t>Other expense, net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CCEEFF" w:val="clear"/>
            <w:tcMar>
              <w:bottom w:w="28" w:type="dxa"/>
            </w:tcMar>
            <w:vAlign w:val="center"/>
          </w:tcPr>
          <w:p>
            <w:pPr>
              <w:pStyle w:val="TableContents"/>
              <w:bidi w:val="0"/>
              <w:spacing w:before="0" w:after="283"/>
              <w:jc w:val="right"/>
              <w:rPr/>
            </w:pPr>
            <w:r>
              <w:rPr/>
              <w:t>8</w:t>
            </w:r>
          </w:p>
        </w:tc>
        <w:tc>
          <w:tcPr>
            <w:tcW w:w="13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Total other income, net</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tcMar>
              <w:bottom w:w="28" w:type="dxa"/>
            </w:tcMar>
            <w:vAlign w:val="center"/>
          </w:tcPr>
          <w:p>
            <w:pPr>
              <w:pStyle w:val="TableContents"/>
              <w:bidi w:val="0"/>
              <w:spacing w:before="0" w:after="283"/>
              <w:jc w:val="right"/>
              <w:rPr/>
            </w:pPr>
            <w:r>
              <w:rPr/>
              <w:t>4,614</w:t>
            </w:r>
          </w:p>
        </w:tc>
        <w:tc>
          <w:tcPr>
            <w:tcW w:w="13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tcMar>
              <w:bottom w:w="28" w:type="dxa"/>
            </w:tcMar>
            <w:vAlign w:val="center"/>
          </w:tcPr>
          <w:p>
            <w:pPr>
              <w:pStyle w:val="TableContents"/>
              <w:bidi w:val="0"/>
              <w:spacing w:before="0" w:after="283"/>
              <w:jc w:val="right"/>
              <w:rPr/>
            </w:pPr>
            <w:r>
              <w:rPr/>
              <w:t>4,087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527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13</w:t>
            </w:r>
          </w:p>
        </w:tc>
        <w:tc>
          <w:tcPr>
            <w:tcW w:w="290" w:type="dxa"/>
            <w:tcBorders/>
            <w:vAlign w:val="center"/>
          </w:tcPr>
          <w:p>
            <w:pPr>
              <w:pStyle w:val="TableContents"/>
              <w:bidi w:val="0"/>
              <w:spacing w:before="0" w:after="283"/>
              <w:jc w:val="left"/>
              <w:rPr/>
            </w:pPr>
            <w:r>
              <w:rPr/>
              <w:t>%</w:t>
            </w:r>
          </w:p>
        </w:tc>
      </w:tr>
      <w:tr>
        <w:trPr/>
        <w:tc>
          <w:tcPr>
            <w:tcW w:w="246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49" w:type="dxa"/>
            <w:tcBorders>
              <w:bottom w:val="double" w:sz="10" w:space="0" w:color="000000"/>
            </w:tcBorders>
            <w:shd w:fill="CCEEFF" w:val="clear"/>
            <w:tcMar>
              <w:bottom w:w="28" w:type="dxa"/>
            </w:tcMar>
            <w:vAlign w:val="center"/>
          </w:tcPr>
          <w:p>
            <w:pPr>
              <w:pStyle w:val="TableContents"/>
              <w:bidi w:val="0"/>
              <w:spacing w:before="0" w:after="283"/>
              <w:jc w:val="right"/>
              <w:rPr/>
            </w:pPr>
            <w:r>
              <w:rPr/>
              <w:t>(31,820</w:t>
            </w:r>
          </w:p>
        </w:tc>
        <w:tc>
          <w:tcPr>
            <w:tcW w:w="135"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49" w:type="dxa"/>
            <w:tcBorders>
              <w:bottom w:val="double" w:sz="10" w:space="0" w:color="000000"/>
            </w:tcBorders>
            <w:shd w:fill="CCEEFF" w:val="clear"/>
            <w:tcMar>
              <w:bottom w:w="28" w:type="dxa"/>
            </w:tcMar>
            <w:vAlign w:val="center"/>
          </w:tcPr>
          <w:p>
            <w:pPr>
              <w:pStyle w:val="TableContents"/>
              <w:bidi w:val="0"/>
              <w:spacing w:before="0" w:after="283"/>
              <w:jc w:val="right"/>
              <w:rPr/>
            </w:pPr>
            <w:r>
              <w:rPr/>
              <w:t>(20,999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(10,821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52</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left"/>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68"/>
        <w:gridCol w:w="170"/>
        <w:gridCol w:w="261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both"/>
              <w:rPr/>
            </w:pPr>
            <w:r>
              <w:rPr/>
              <w:t>Percentage not meaningful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8"/>
        <w:gridCol w:w="9829"/>
      </w:tblGrid>
      <w:tr>
        <w:trPr/>
        <w:tc>
          <w:tcPr>
            <w:tcW w:w="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(1)</w:t>
            </w:r>
          </w:p>
        </w:tc>
        <w:tc>
          <w:tcPr>
            <w:tcW w:w="9829" w:type="dxa"/>
            <w:tcBorders/>
            <w:vAlign w:val="center"/>
          </w:tcPr>
          <w:p>
            <w:pPr>
              <w:pStyle w:val="TableContents"/>
              <w:bidi w:val="0"/>
              <w:spacing w:before="0" w:after="283"/>
              <w:jc w:val="both"/>
              <w:rPr/>
            </w:pPr>
            <w:r>
              <w:rPr/>
              <w:t>Includes related party amounts of $3,000 and $2,122 for the three months ended March 31, 2026 and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2"/>
        <w:gridCol w:w="9825"/>
      </w:tblGrid>
      <w:tr>
        <w:trPr/>
        <w:tc>
          <w:tcPr>
            <w:tcW w:w="6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(2)</w:t>
            </w:r>
          </w:p>
        </w:tc>
        <w:tc>
          <w:tcPr>
            <w:tcW w:w="9825" w:type="dxa"/>
            <w:tcBorders/>
            <w:vAlign w:val="center"/>
          </w:tcPr>
          <w:p>
            <w:pPr>
              <w:pStyle w:val="TableContents"/>
              <w:bidi w:val="0"/>
              <w:spacing w:before="0" w:after="283"/>
              <w:jc w:val="both"/>
              <w:rPr/>
            </w:pPr>
            <w:r>
              <w:rPr/>
              <w:t>Includes related party amounts of $4 and $110 for the three months ended March 31, 2026 and 2025,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for the periods presented (in thousands):</w:t>
      </w:r>
    </w:p>
    <w:p>
      <w:pPr>
        <w:pStyle w:val="TextBody"/>
        <w:bidi w:val="0"/>
        <w:spacing w:before="0" w:after="0"/>
        <w:ind w:left="0" w:right="0" w:firstLine="360"/>
        <w:jc w:val="left"/>
        <w:rPr>
          <w:caps w:val="false"/>
          <w:smallCaps w:val="false"/>
        </w:rPr>
      </w:pPr>
      <w:r>
        <w:rPr>
          <w:caps w:val="false"/>
          <w:smallCaps w:val="false"/>
        </w:rPr>
        <w:t> </w:t>
      </w:r>
    </w:p>
    <w:tbl>
      <w:tblPr>
        <w:tblW w:w="9671" w:type="dxa"/>
        <w:jc w:val="left"/>
        <w:tblInd w:w="0" w:type="dxa"/>
        <w:tblLayout w:type="fixed"/>
        <w:tblCellMar>
          <w:top w:w="0" w:type="dxa"/>
          <w:left w:w="0" w:type="dxa"/>
          <w:bottom w:w="0" w:type="dxa"/>
          <w:right w:w="0" w:type="dxa"/>
        </w:tblCellMar>
      </w:tblPr>
      <w:tblGrid>
        <w:gridCol w:w="5375"/>
        <w:gridCol w:w="90"/>
        <w:gridCol w:w="201"/>
        <w:gridCol w:w="841"/>
        <w:gridCol w:w="106"/>
        <w:gridCol w:w="106"/>
        <w:gridCol w:w="201"/>
        <w:gridCol w:w="841"/>
        <w:gridCol w:w="90"/>
        <w:gridCol w:w="90"/>
        <w:gridCol w:w="170"/>
        <w:gridCol w:w="590"/>
        <w:gridCol w:w="90"/>
        <w:gridCol w:w="90"/>
        <w:gridCol w:w="90"/>
        <w:gridCol w:w="410"/>
        <w:gridCol w:w="290"/>
      </w:tblGrid>
      <w:tr>
        <w:trPr/>
        <w:tc>
          <w:tcPr>
            <w:tcW w:w="53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External research and development expenses</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841" w:type="dxa"/>
            <w:tcBorders/>
            <w:shd w:fill="CCEEFF" w:val="clear"/>
            <w:vAlign w:val="center"/>
          </w:tcPr>
          <w:p>
            <w:pPr>
              <w:pStyle w:val="TableContents"/>
              <w:bidi w:val="0"/>
              <w:spacing w:before="0" w:after="283"/>
              <w:jc w:val="right"/>
              <w:rPr/>
            </w:pPr>
            <w:r>
              <w:rPr/>
              <w:t>18,329</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841" w:type="dxa"/>
            <w:tcBorders/>
            <w:shd w:fill="CCEEFF" w:val="clear"/>
            <w:vAlign w:val="center"/>
          </w:tcPr>
          <w:p>
            <w:pPr>
              <w:pStyle w:val="TableContents"/>
              <w:bidi w:val="0"/>
              <w:spacing w:before="0" w:after="283"/>
              <w:jc w:val="right"/>
              <w:rPr/>
            </w:pPr>
            <w:r>
              <w:rPr/>
              <w:t>13,610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4,719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35</w:t>
            </w:r>
          </w:p>
        </w:tc>
        <w:tc>
          <w:tcPr>
            <w:tcW w:w="290" w:type="dxa"/>
            <w:tcBorders/>
            <w:shd w:fill="CCEEFF" w:val="clear"/>
            <w:vAlign w:val="center"/>
          </w:tcPr>
          <w:p>
            <w:pPr>
              <w:pStyle w:val="TableContents"/>
              <w:bidi w:val="0"/>
              <w:spacing w:before="0" w:after="283"/>
              <w:jc w:val="left"/>
              <w:rPr/>
            </w:pPr>
            <w:r>
              <w:rPr/>
              <w:t>%</w:t>
            </w:r>
          </w:p>
        </w:tc>
      </w:tr>
      <w:tr>
        <w:trPr/>
        <w:tc>
          <w:tcPr>
            <w:tcW w:w="5375" w:type="dxa"/>
            <w:tcBorders/>
            <w:vAlign w:val="center"/>
          </w:tcPr>
          <w:p>
            <w:pPr>
              <w:pStyle w:val="TableContents"/>
              <w:bidi w:val="0"/>
              <w:spacing w:before="0" w:after="283"/>
              <w:jc w:val="left"/>
              <w:rPr/>
            </w:pPr>
            <w:r>
              <w:rPr/>
              <w:t>Other research and development expenses:</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Personnel-related (excluding stock-based compensation)</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6,077</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2,463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3,614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147</w:t>
            </w:r>
          </w:p>
        </w:tc>
        <w:tc>
          <w:tcPr>
            <w:tcW w:w="290" w:type="dxa"/>
            <w:tcBorders/>
            <w:shd w:fill="CCEEFF" w:val="clear"/>
            <w:vAlign w:val="center"/>
          </w:tcPr>
          <w:p>
            <w:pPr>
              <w:pStyle w:val="TableContents"/>
              <w:bidi w:val="0"/>
              <w:spacing w:before="0" w:after="283"/>
              <w:jc w:val="left"/>
              <w:rPr/>
            </w:pPr>
            <w:r>
              <w:rPr/>
              <w:t>%</w:t>
            </w:r>
          </w:p>
        </w:tc>
      </w:tr>
      <w:tr>
        <w:trPr/>
        <w:tc>
          <w:tcPr>
            <w:tcW w:w="5375"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3,579</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3,003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19</w:t>
            </w:r>
          </w:p>
        </w:tc>
        <w:tc>
          <w:tcPr>
            <w:tcW w:w="290" w:type="dxa"/>
            <w:tcBorders/>
            <w:vAlign w:val="center"/>
          </w:tcPr>
          <w:p>
            <w:pPr>
              <w:pStyle w:val="TableContents"/>
              <w:bidi w:val="0"/>
              <w:spacing w:before="0" w:after="283"/>
              <w:jc w:val="left"/>
              <w:rPr/>
            </w:pPr>
            <w:r>
              <w:rPr/>
              <w:t>%</w:t>
            </w:r>
          </w:p>
        </w:tc>
      </w:tr>
      <w:tr>
        <w:trPr/>
        <w:tc>
          <w:tcPr>
            <w:tcW w:w="5375"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shd w:fill="CCEEFF" w:val="clear"/>
            <w:tcMar>
              <w:bottom w:w="28" w:type="dxa"/>
            </w:tcMar>
            <w:vAlign w:val="center"/>
          </w:tcPr>
          <w:p>
            <w:pPr>
              <w:pStyle w:val="TableContents"/>
              <w:bidi w:val="0"/>
              <w:spacing w:before="0" w:after="283"/>
              <w:jc w:val="right"/>
              <w:rPr/>
            </w:pPr>
            <w:r>
              <w:rPr/>
              <w:t>1,160</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shd w:fill="CCEEFF" w:val="clear"/>
            <w:tcMar>
              <w:bottom w:w="28" w:type="dxa"/>
            </w:tcMar>
            <w:vAlign w:val="center"/>
          </w:tcPr>
          <w:p>
            <w:pPr>
              <w:pStyle w:val="TableContents"/>
              <w:bidi w:val="0"/>
              <w:spacing w:before="0" w:after="283"/>
              <w:jc w:val="right"/>
              <w:rPr/>
            </w:pPr>
            <w:r>
              <w:rPr/>
              <w:t>849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311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37</w:t>
            </w:r>
          </w:p>
        </w:tc>
        <w:tc>
          <w:tcPr>
            <w:tcW w:w="290" w:type="dxa"/>
            <w:tcBorders/>
            <w:shd w:fill="CCEEFF" w:val="clear"/>
            <w:vAlign w:val="center"/>
          </w:tcPr>
          <w:p>
            <w:pPr>
              <w:pStyle w:val="TableContents"/>
              <w:bidi w:val="0"/>
              <w:spacing w:before="0" w:after="283"/>
              <w:jc w:val="left"/>
              <w:rPr/>
            </w:pPr>
            <w:r>
              <w:rPr/>
              <w:t>%</w:t>
            </w:r>
          </w:p>
        </w:tc>
      </w:tr>
      <w:tr>
        <w:trPr/>
        <w:tc>
          <w:tcPr>
            <w:tcW w:w="5375" w:type="dxa"/>
            <w:tcBorders/>
            <w:vAlign w:val="center"/>
          </w:tcPr>
          <w:p>
            <w:pPr>
              <w:pStyle w:val="TableContents"/>
              <w:bidi w:val="0"/>
              <w:spacing w:before="0" w:after="283"/>
              <w:jc w:val="left"/>
              <w:rPr/>
            </w:pPr>
            <w:r>
              <w:rPr/>
              <w:t>Total research and development expenses</w:t>
            </w:r>
          </w:p>
        </w:tc>
        <w:tc>
          <w:tcPr>
            <w:tcW w:w="90" w:type="dxa"/>
            <w:tcBorders/>
            <w:vAlign w:val="center"/>
          </w:tcPr>
          <w:p>
            <w:pPr>
              <w:pStyle w:val="TableContents"/>
              <w:bidi w:val="0"/>
              <w:spacing w:before="0" w:after="283"/>
              <w:jc w:val="left"/>
              <w:rPr/>
            </w:pPr>
            <w:r>
              <w:rPr/>
              <w:t> </w:t>
            </w:r>
          </w:p>
        </w:tc>
        <w:tc>
          <w:tcPr>
            <w:tcW w:w="201" w:type="dxa"/>
            <w:tcBorders>
              <w:bottom w:val="double" w:sz="10" w:space="0" w:color="000000"/>
            </w:tcBorders>
            <w:tcMar>
              <w:bottom w:w="28" w:type="dxa"/>
            </w:tcMar>
            <w:vAlign w:val="center"/>
          </w:tcPr>
          <w:p>
            <w:pPr>
              <w:pStyle w:val="TableContents"/>
              <w:bidi w:val="0"/>
              <w:spacing w:before="0" w:after="283"/>
              <w:jc w:val="left"/>
              <w:rPr/>
            </w:pPr>
            <w:r>
              <w:rPr/>
              <w:t>$</w:t>
            </w:r>
          </w:p>
        </w:tc>
        <w:tc>
          <w:tcPr>
            <w:tcW w:w="841" w:type="dxa"/>
            <w:tcBorders>
              <w:bottom w:val="double" w:sz="10" w:space="0" w:color="000000"/>
            </w:tcBorders>
            <w:tcMar>
              <w:bottom w:w="28" w:type="dxa"/>
            </w:tcMar>
            <w:vAlign w:val="center"/>
          </w:tcPr>
          <w:p>
            <w:pPr>
              <w:pStyle w:val="TableContents"/>
              <w:bidi w:val="0"/>
              <w:spacing w:before="0" w:after="283"/>
              <w:jc w:val="right"/>
              <w:rPr/>
            </w:pPr>
            <w:r>
              <w:rPr/>
              <w:t>29,145</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1" w:type="dxa"/>
            <w:tcBorders>
              <w:bottom w:val="double" w:sz="10" w:space="0" w:color="000000"/>
            </w:tcBorders>
            <w:tcMar>
              <w:bottom w:w="28" w:type="dxa"/>
            </w:tcMar>
            <w:vAlign w:val="center"/>
          </w:tcPr>
          <w:p>
            <w:pPr>
              <w:pStyle w:val="TableContents"/>
              <w:bidi w:val="0"/>
              <w:spacing w:before="0" w:after="283"/>
              <w:jc w:val="left"/>
              <w:rPr/>
            </w:pPr>
            <w:r>
              <w:rPr/>
              <w:t>$</w:t>
            </w:r>
          </w:p>
        </w:tc>
        <w:tc>
          <w:tcPr>
            <w:tcW w:w="841" w:type="dxa"/>
            <w:tcBorders>
              <w:bottom w:val="double" w:sz="10" w:space="0" w:color="000000"/>
            </w:tcBorders>
            <w:tcMar>
              <w:bottom w:w="28" w:type="dxa"/>
            </w:tcMar>
            <w:vAlign w:val="center"/>
          </w:tcPr>
          <w:p>
            <w:pPr>
              <w:pStyle w:val="TableContents"/>
              <w:bidi w:val="0"/>
              <w:spacing w:before="0" w:after="283"/>
              <w:jc w:val="right"/>
              <w:rPr/>
            </w:pPr>
            <w:r>
              <w:rPr/>
              <w:t>19,925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9,220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46</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$9.2 million, from $19.9 million for the three months ended March 31, 2025 to $29.1 million for the three months ended March 31,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research and development expenses, including CROs, CMOs and other third-party preclinical studies and clinical trials expenses increased by $4.7 million, from $13.6 million for the three months ended March 31, 2025 to $18.3 million for the three months ended March 31, 2026. The increase is primarily related to increased CMO product development and manufacturing expenses, an increase in our CRO expenses related to our ongoing clinical trials, and $3.0 million milestone pursuant to ORKA-002 License Agreement with Paragon related to the dosing of the first patient in a Phase 2 trial during the three months ended March 31,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Personnel-related expenses, excluding stock-based compensation, increased by $3.6 million, from $2.5 million for the three months ended March 31, 2025 to $6.1 million for the three months ended March 31, 2026, as we continue hiring employees in our research and development organization. Stock-based compensation expense increased by $0.6 million, from $3.0 million for the three months ended March 31, 2025 to $3.6 million for the three months ended March 31, 2026. The increase in stock-based compensation expense is primarily related to a $2.0 million increase related to employee awards due to an increase in research and development headcount, partially offset by a $1.4 million decrease in Paruka warrant liability under the Option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research and development expenses increased by $0.3 million, from $0.8 million for the three months ended March 31, 2025 to $1.2 million for the three months ended March 31, 2026, primarily due to increases to facilities and allocated overhead expenses as we commenced using our leased Waltham office from April 2025, as well as an increase in our research and development employee count.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general and administrative expenses for the periods presented (in thousands):</w:t>
      </w:r>
    </w:p>
    <w:p>
      <w:pPr>
        <w:pStyle w:val="TextBody"/>
        <w:bidi w:val="0"/>
        <w:spacing w:before="0" w:after="0"/>
        <w:ind w:left="0" w:right="0" w:firstLine="360"/>
        <w:jc w:val="left"/>
        <w:rPr>
          <w:caps w:val="false"/>
          <w:smallCaps w:val="false"/>
        </w:rPr>
      </w:pPr>
      <w:r>
        <w:rPr>
          <w:caps w:val="false"/>
          <w:smallCaps w:val="false"/>
        </w:rPr>
        <w:t> </w:t>
      </w:r>
    </w:p>
    <w:tbl>
      <w:tblPr>
        <w:tblW w:w="9633" w:type="dxa"/>
        <w:jc w:val="left"/>
        <w:tblInd w:w="0" w:type="dxa"/>
        <w:tblLayout w:type="fixed"/>
        <w:tblCellMar>
          <w:top w:w="0" w:type="dxa"/>
          <w:left w:w="0" w:type="dxa"/>
          <w:bottom w:w="0" w:type="dxa"/>
          <w:right w:w="0" w:type="dxa"/>
        </w:tblCellMar>
      </w:tblPr>
      <w:tblGrid>
        <w:gridCol w:w="5330"/>
        <w:gridCol w:w="90"/>
        <w:gridCol w:w="224"/>
        <w:gridCol w:w="777"/>
        <w:gridCol w:w="118"/>
        <w:gridCol w:w="118"/>
        <w:gridCol w:w="224"/>
        <w:gridCol w:w="777"/>
        <w:gridCol w:w="90"/>
        <w:gridCol w:w="90"/>
        <w:gridCol w:w="170"/>
        <w:gridCol w:w="590"/>
        <w:gridCol w:w="125"/>
        <w:gridCol w:w="90"/>
        <w:gridCol w:w="90"/>
        <w:gridCol w:w="365"/>
        <w:gridCol w:w="365"/>
      </w:tblGrid>
      <w:tr>
        <w:trPr/>
        <w:tc>
          <w:tcPr>
            <w:tcW w:w="53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3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6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Personnel-related (including stock-based compensation)</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5,506</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3,574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1,932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54</w:t>
            </w:r>
          </w:p>
        </w:tc>
        <w:tc>
          <w:tcPr>
            <w:tcW w:w="365" w:type="dxa"/>
            <w:tcBorders/>
            <w:shd w:fill="CCEEFF" w:val="clear"/>
            <w:vAlign w:val="center"/>
          </w:tcPr>
          <w:p>
            <w:pPr>
              <w:pStyle w:val="TableContents"/>
              <w:bidi w:val="0"/>
              <w:spacing w:before="0" w:after="283"/>
              <w:ind w:left="0" w:right="0" w:hanging="184"/>
              <w:jc w:val="left"/>
              <w:rPr/>
            </w:pPr>
            <w:r>
              <w:rPr/>
              <w:t>%</w:t>
            </w:r>
          </w:p>
        </w:tc>
      </w:tr>
      <w:tr>
        <w:trPr/>
        <w:tc>
          <w:tcPr>
            <w:tcW w:w="5330" w:type="dxa"/>
            <w:tcBorders/>
            <w:vAlign w:val="center"/>
          </w:tcPr>
          <w:p>
            <w:pPr>
              <w:pStyle w:val="TableContents"/>
              <w:bidi w:val="0"/>
              <w:spacing w:before="0" w:after="283"/>
              <w:jc w:val="left"/>
              <w:rPr/>
            </w:pPr>
            <w:r>
              <w:rPr/>
              <w:t>Professional and consulting services</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1,588</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1,362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17</w:t>
            </w:r>
          </w:p>
        </w:tc>
        <w:tc>
          <w:tcPr>
            <w:tcW w:w="365" w:type="dxa"/>
            <w:tcBorders/>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CCEEFF" w:val="clear"/>
            <w:tcMar>
              <w:bottom w:w="28" w:type="dxa"/>
            </w:tcMar>
            <w:vAlign w:val="center"/>
          </w:tcPr>
          <w:p>
            <w:pPr>
              <w:pStyle w:val="TableContents"/>
              <w:bidi w:val="0"/>
              <w:spacing w:before="0" w:after="283"/>
              <w:jc w:val="right"/>
              <w:rPr/>
            </w:pPr>
            <w:r>
              <w:rPr/>
              <w:t>195</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CCEEFF" w:val="clear"/>
            <w:tcMar>
              <w:bottom w:w="28" w:type="dxa"/>
            </w:tcMar>
            <w:vAlign w:val="center"/>
          </w:tcPr>
          <w:p>
            <w:pPr>
              <w:pStyle w:val="TableContents"/>
              <w:bidi w:val="0"/>
              <w:spacing w:before="0" w:after="283"/>
              <w:jc w:val="right"/>
              <w:rPr/>
            </w:pPr>
            <w:r>
              <w:rPr/>
              <w:t>225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(13</w:t>
            </w:r>
          </w:p>
        </w:tc>
        <w:tc>
          <w:tcPr>
            <w:tcW w:w="365" w:type="dxa"/>
            <w:tcBorders/>
            <w:shd w:fill="CCEEFF" w:val="clear"/>
            <w:vAlign w:val="center"/>
          </w:tcPr>
          <w:p>
            <w:pPr>
              <w:pStyle w:val="TableContents"/>
              <w:bidi w:val="0"/>
              <w:spacing w:before="0" w:after="283"/>
              <w:jc w:val="left"/>
              <w:rPr/>
            </w:pPr>
            <w:r>
              <w:rPr/>
              <w:t>)%</w:t>
            </w:r>
          </w:p>
        </w:tc>
      </w:tr>
      <w:tr>
        <w:trPr/>
        <w:tc>
          <w:tcPr>
            <w:tcW w:w="5330" w:type="dxa"/>
            <w:tcBorders/>
            <w:vAlign w:val="center"/>
          </w:tcPr>
          <w:p>
            <w:pPr>
              <w:pStyle w:val="TableContents"/>
              <w:bidi w:val="0"/>
              <w:spacing w:before="0" w:after="283"/>
              <w:jc w:val="left"/>
              <w:rPr/>
            </w:pPr>
            <w:r>
              <w:rPr/>
              <w:t>Total general and administrative expenses</w:t>
            </w:r>
          </w:p>
        </w:tc>
        <w:tc>
          <w:tcPr>
            <w:tcW w:w="90" w:type="dxa"/>
            <w:tcBorders/>
            <w:vAlign w:val="center"/>
          </w:tcPr>
          <w:p>
            <w:pPr>
              <w:pStyle w:val="TableContents"/>
              <w:bidi w:val="0"/>
              <w:spacing w:before="0" w:after="283"/>
              <w:jc w:val="left"/>
              <w:rPr/>
            </w:pPr>
            <w:r>
              <w:rPr/>
              <w:t> </w:t>
            </w:r>
          </w:p>
        </w:tc>
        <w:tc>
          <w:tcPr>
            <w:tcW w:w="224" w:type="dxa"/>
            <w:tcBorders>
              <w:bottom w:val="double" w:sz="10" w:space="0" w:color="000000"/>
            </w:tcBorders>
            <w:tcMar>
              <w:bottom w:w="28" w:type="dxa"/>
            </w:tcMar>
            <w:vAlign w:val="center"/>
          </w:tcPr>
          <w:p>
            <w:pPr>
              <w:pStyle w:val="TableContents"/>
              <w:bidi w:val="0"/>
              <w:spacing w:before="0" w:after="283"/>
              <w:jc w:val="left"/>
              <w:rPr/>
            </w:pPr>
            <w:r>
              <w:rPr/>
              <w:t>$</w:t>
            </w:r>
          </w:p>
        </w:tc>
        <w:tc>
          <w:tcPr>
            <w:tcW w:w="777" w:type="dxa"/>
            <w:tcBorders>
              <w:bottom w:val="double" w:sz="10" w:space="0" w:color="000000"/>
            </w:tcBorders>
            <w:tcMar>
              <w:bottom w:w="28" w:type="dxa"/>
            </w:tcMar>
            <w:vAlign w:val="center"/>
          </w:tcPr>
          <w:p>
            <w:pPr>
              <w:pStyle w:val="TableContents"/>
              <w:bidi w:val="0"/>
              <w:spacing w:before="0" w:after="283"/>
              <w:jc w:val="right"/>
              <w:rPr/>
            </w:pPr>
            <w:r>
              <w:rPr/>
              <w:t>7,289</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bottom w:val="double" w:sz="10" w:space="0" w:color="000000"/>
            </w:tcBorders>
            <w:tcMar>
              <w:bottom w:w="28" w:type="dxa"/>
            </w:tcMar>
            <w:vAlign w:val="center"/>
          </w:tcPr>
          <w:p>
            <w:pPr>
              <w:pStyle w:val="TableContents"/>
              <w:bidi w:val="0"/>
              <w:spacing w:before="0" w:after="283"/>
              <w:jc w:val="left"/>
              <w:rPr/>
            </w:pPr>
            <w:r>
              <w:rPr/>
              <w:t>$</w:t>
            </w:r>
          </w:p>
        </w:tc>
        <w:tc>
          <w:tcPr>
            <w:tcW w:w="777" w:type="dxa"/>
            <w:tcBorders>
              <w:bottom w:val="double" w:sz="10" w:space="0" w:color="000000"/>
            </w:tcBorders>
            <w:tcMar>
              <w:bottom w:w="28" w:type="dxa"/>
            </w:tcMar>
            <w:vAlign w:val="center"/>
          </w:tcPr>
          <w:p>
            <w:pPr>
              <w:pStyle w:val="TableContents"/>
              <w:bidi w:val="0"/>
              <w:spacing w:before="0" w:after="283"/>
              <w:jc w:val="right"/>
              <w:rPr/>
            </w:pPr>
            <w:r>
              <w:rPr/>
              <w:t>5,161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2,128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41</w:t>
            </w:r>
          </w:p>
        </w:tc>
        <w:tc>
          <w:tcPr>
            <w:tcW w:w="36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$2.1 million, from $5.2 million for the three months ended March 31, 2025 to $7.3 million for the three months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Personnel-related expenses increased by $1.9 million, from $3.6 million for the three months ended March 31, 2025 to $5.5 million for the three months ended March 31, 2026, as a result of continued hiring of executives and administrative employees. Stock-based compensation expense increased by $1.5 million, from $1.9 million for the three months ended March 31, 2025 to $3.4 million for the three months ended March 31, 2026 due to additional general and administrative headcount.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related to professional and consulting services increased by $0.2 million, from $1.4 million for the three months ended March 31, 2025 to $1.6 million for the three months ended March 31, 2026, due to higher spending on legal and other professional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general and administrative expenses remained relatively consistent year over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 Net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from cash equivalents and marketable securities was $4.6 million and $4.1 million for the three months ended March 31, 2026 and 2025, respectively. The increase was primarily due to interest earned on higher cash and marketable securities balances.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$496.0 million of cash, cash equivalents, and marketable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incurred significant operating losses and negative cash flow from operations. We expect to incur significant expenses and operating losses for the foreseeable future as we continue the preclinical and clinical development of our programs and our early-stage research activities. We have not yet commercialized any products, and we do not expect to generate revenue from sales of products for several years, if at all. Through March 31, 2026, we had funded our operations primarily with proceeds from issuances of convertible preferred stock, common stock, a convertible note, and pre-funded warrants.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entered into a Sales Agreement with TD Securities (USA) LLC (the “Sales Agreement”), as our sales agent, pursuant to which we may issue and sell, from time to time, shares of common stock for aggregate gross proceeds of up to $200.0 million under an at-the-market (“ATM”) equity offering program. We are not obligated to make any sales of shares under the Sales Agreement. During the three months ended March 31, 2026, we issued and sold an aggregate of 1,167,895 shares of the Company’s common stock pursuant to the ATM offering program for total net proceeds of $38.9 million after deducting sales agents’ commissions. In addition, in April 2026, we sold 9,660,000 shares of our common stock in an underwritten public offering for gross proceeds of $700.4 million before any underwriting discounts and commissions and related issuance expenses.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 of cash is to fund the development of our product candidates and advance our pipeline. This includes both the research and development costs and the general and administrative expenses required to support those operations. Since we are a clinical stage biopharmaceutical company, we have incurred significant operating losses since our inception and we anticipate such losses, in absolute dollar terms, to increase as we continue to pursue clinical development of our product candidates, prepare for the potential commercialization of our product candidates, and expand our development efforts in our pipeline of nonclinical candidates. We expect that our existing cash, cash equivalents, and marketable securities will be sufficient to fund our operating plans for at least twelve months from the date of filing of this Quarterly Report. We will need to secure additional financing in the future to fund additional research and development, and before a commercial drug can be produced, marketed, and sold. If we are unable to obtain additional financing or generate license or product revenue, the lack of liquidity could have a material adverse effect on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for the periods presented (in thousands):</w:t>
      </w:r>
    </w:p>
    <w:p>
      <w:pPr>
        <w:pStyle w:val="TextBody"/>
        <w:bidi w:val="0"/>
        <w:spacing w:before="0" w:after="0"/>
        <w:ind w:left="0" w:right="0" w:hanging="0"/>
        <w:jc w:val="both"/>
        <w:rPr>
          <w:caps w:val="false"/>
          <w:smallCaps w:val="false"/>
        </w:rPr>
      </w:pPr>
      <w:r>
        <w:rPr>
          <w:caps w:val="false"/>
          <w:smallCaps w:val="false"/>
        </w:rPr>
        <w:t> </w:t>
      </w:r>
    </w:p>
    <w:tbl>
      <w:tblPr>
        <w:tblW w:w="7333" w:type="dxa"/>
        <w:jc w:val="left"/>
        <w:tblInd w:w="0" w:type="dxa"/>
        <w:tblLayout w:type="fixed"/>
        <w:tblCellMar>
          <w:top w:w="0" w:type="dxa"/>
          <w:left w:w="0" w:type="dxa"/>
          <w:bottom w:w="0" w:type="dxa"/>
          <w:right w:w="0" w:type="dxa"/>
        </w:tblCellMar>
      </w:tblPr>
      <w:tblGrid>
        <w:gridCol w:w="4775"/>
        <w:gridCol w:w="90"/>
        <w:gridCol w:w="184"/>
        <w:gridCol w:w="849"/>
        <w:gridCol w:w="135"/>
        <w:gridCol w:w="97"/>
        <w:gridCol w:w="184"/>
        <w:gridCol w:w="849"/>
        <w:gridCol w:w="170"/>
      </w:tblGrid>
      <w:tr>
        <w:trPr/>
        <w:tc>
          <w:tcPr>
            <w:tcW w:w="47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17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849" w:type="dxa"/>
            <w:tcBorders/>
            <w:shd w:fill="CCEEFF" w:val="clear"/>
            <w:vAlign w:val="center"/>
          </w:tcPr>
          <w:p>
            <w:pPr>
              <w:pStyle w:val="TableContents"/>
              <w:bidi w:val="0"/>
              <w:spacing w:before="0" w:after="283"/>
              <w:jc w:val="right"/>
              <w:rPr/>
            </w:pPr>
            <w:r>
              <w:rPr/>
              <w:t>(23,578</w:t>
            </w:r>
          </w:p>
        </w:tc>
        <w:tc>
          <w:tcPr>
            <w:tcW w:w="135"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849" w:type="dxa"/>
            <w:tcBorders/>
            <w:shd w:fill="CCEEFF" w:val="clear"/>
            <w:vAlign w:val="center"/>
          </w:tcPr>
          <w:p>
            <w:pPr>
              <w:pStyle w:val="TableContents"/>
              <w:bidi w:val="0"/>
              <w:spacing w:before="0" w:after="283"/>
              <w:jc w:val="right"/>
              <w:rPr/>
            </w:pPr>
            <w:r>
              <w:rPr/>
              <w:t>(20,869</w:t>
            </w:r>
          </w:p>
        </w:tc>
        <w:tc>
          <w:tcPr>
            <w:tcW w:w="170" w:type="dxa"/>
            <w:tcBorders/>
            <w:shd w:fill="CCEEFF" w:val="clear"/>
            <w:vAlign w:val="center"/>
          </w:tcPr>
          <w:p>
            <w:pPr>
              <w:pStyle w:val="TableContents"/>
              <w:bidi w:val="0"/>
              <w:spacing w:before="0" w:after="283"/>
              <w:jc w:val="left"/>
              <w:rPr/>
            </w:pPr>
            <w:r>
              <w:rPr/>
              <w:t>)</w:t>
            </w:r>
          </w:p>
        </w:tc>
      </w:tr>
      <w:tr>
        <w:trPr/>
        <w:tc>
          <w:tcPr>
            <w:tcW w:w="4775" w:type="dxa"/>
            <w:tcBorders/>
            <w:vAlign w:val="center"/>
          </w:tcPr>
          <w:p>
            <w:pPr>
              <w:pStyle w:val="TableContents"/>
              <w:bidi w:val="0"/>
              <w:spacing w:before="0" w:after="283"/>
              <w:jc w:val="left"/>
              <w:rPr/>
            </w:pPr>
            <w:r>
              <w:rPr/>
              <w:t>Net cash (used in) provided by investing activities</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(14,437</w:t>
            </w:r>
          </w:p>
        </w:tc>
        <w:tc>
          <w:tcPr>
            <w:tcW w:w="135" w:type="dxa"/>
            <w:tcBorders/>
            <w:vAlign w:val="center"/>
          </w:tcPr>
          <w:p>
            <w:pPr>
              <w:pStyle w:val="TableContents"/>
              <w:bidi w:val="0"/>
              <w:spacing w:before="0" w:after="283"/>
              <w:jc w:val="left"/>
              <w:rPr/>
            </w:pPr>
            <w:r>
              <w:rPr/>
              <w:t>)</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42,866</w:t>
            </w:r>
          </w:p>
        </w:tc>
        <w:tc>
          <w:tcPr>
            <w:tcW w:w="17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CCEEFF" w:val="clear"/>
            <w:tcMar>
              <w:bottom w:w="28" w:type="dxa"/>
            </w:tcMar>
            <w:vAlign w:val="center"/>
          </w:tcPr>
          <w:p>
            <w:pPr>
              <w:pStyle w:val="TableContents"/>
              <w:bidi w:val="0"/>
              <w:spacing w:before="0" w:after="283"/>
              <w:jc w:val="right"/>
              <w:rPr/>
            </w:pPr>
            <w:r>
              <w:rPr/>
              <w:t>40,600</w:t>
            </w:r>
          </w:p>
        </w:tc>
        <w:tc>
          <w:tcPr>
            <w:tcW w:w="13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Net increase in cash and cash equivalents</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w:t>
            </w:r>
          </w:p>
        </w:tc>
        <w:tc>
          <w:tcPr>
            <w:tcW w:w="849" w:type="dxa"/>
            <w:tcBorders>
              <w:bottom w:val="double" w:sz="10" w:space="0" w:color="000000"/>
            </w:tcBorders>
            <w:tcMar>
              <w:bottom w:w="28" w:type="dxa"/>
            </w:tcMar>
            <w:vAlign w:val="center"/>
          </w:tcPr>
          <w:p>
            <w:pPr>
              <w:pStyle w:val="TableContents"/>
              <w:bidi w:val="0"/>
              <w:spacing w:before="0" w:after="283"/>
              <w:jc w:val="right"/>
              <w:rPr/>
            </w:pPr>
            <w:r>
              <w:rPr/>
              <w:t>2,585</w:t>
            </w:r>
          </w:p>
        </w:tc>
        <w:tc>
          <w:tcPr>
            <w:tcW w:w="13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w:t>
            </w:r>
          </w:p>
        </w:tc>
        <w:tc>
          <w:tcPr>
            <w:tcW w:w="849" w:type="dxa"/>
            <w:tcBorders>
              <w:bottom w:val="double" w:sz="10" w:space="0" w:color="000000"/>
            </w:tcBorders>
            <w:tcMar>
              <w:bottom w:w="28" w:type="dxa"/>
            </w:tcMar>
            <w:vAlign w:val="center"/>
          </w:tcPr>
          <w:p>
            <w:pPr>
              <w:pStyle w:val="TableContents"/>
              <w:bidi w:val="0"/>
              <w:spacing w:before="0" w:after="283"/>
              <w:jc w:val="right"/>
              <w:rPr/>
            </w:pPr>
            <w:r>
              <w:rPr/>
              <w:t>21,997</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net cash used in operating activities was $23.6 million, which was primarily attributable to a net loss of $31.8 million, partially offset by net non-cash charges of $6.7 million and net cash used by changes in our operating assets and liabilities of $1.5 million. Net cash used by changes in our operating assets and liabilities were primarily comprised of an increase of $3.0 million in related party accounts payable and other current liabilities and an increase of $0.5 million in prepaid expenses and other current assets, partially offset by a decrease of $1.3 million in accrued expenses and other liabilities and a decrease of $0.5 million in accounts payable. Net non-cash charges primarily comprised of $7.0 million in stock-based compensation expense, partially offset by $0.4 million in net accretion of premiums and discounts on marketable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net cash used in operating activities was $20.9 million, which was primarily attributable to a net loss of $21.0 million and net changes in our operating assets and liabilities of $3.0 million, partially offset by net non-cash charges of $3.1 million. Net changes in our operating assets and liabilities were primarily comprised of a decrease of $5.2 million in related party accounts payable and other current liabilities and an increase of $2.3 million in accrued expenses and other current liabilities. Net non-cash charges primarily comprised of $4.9 million in stock-based compensation expense, partially offset by $1.8 million in net accretion of premiums and discounts on marketable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net cash used in investing activities was $14.4 million, which included $90.8 million in purchases of marketable securities, $0.1 million in purchases of property and equipment, partially offset by $76.5 million in proceeds from maturities of marketable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net cash provided by investing activities was $42.9 million, which included $87.2 million in proceeds from maturities of marketable securities, partially offset by $44.3 million in purchases of marketable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net cash provided by financing activities was $40.6 million due to $38.9 million of net proceeds from the ATM offering program and $1.7 million of proceeds from the issuance of shares of common stock in connection with exercises of stock options and employee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no cash was used in or provided by 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contracts in the normal course of business with CROs, CMOs and with other vendors for preclinical research studies, clinical trials, manufacturing, and other services and products for operating purposes. These contracts generally provide for termination on notice or may have a potential termination fee if the contract is cancelled within a specified time, and therefore, are cancelable contracts. We do not expect any such contract terminations and did not have any non-cancellable obligations under these agreements as of March 31, 2026. See Notes 10 and 11 to the condensed consolidated financial statements included in Part I - Item 1 of this Quarterly Report for further information on our contractual lease obligations for our headquarters in Menlo Park, California, and our office in Waltham, Massachusetts, and other commitments, including the commitments under the Option and License Agreements.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condition and results of operations is based on our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revenues recognized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described in more detail in Note 2 to our condensed consolidated financial statements included in Part I - Item 1 of this Quarterly Report. During the three months ended March 31, 2026, there were no changes to our critical accounting policies and significant judgments and estimates as disclosed in our Annual Report on Form 10-K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did not have any off-balance sheet arrangements, as defined in the rules and regulations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under the Securities Exchange Act of 1934, as amended (the “Exchange Act”), and in Item 10(f)(1) of Regulation S-K, and are not required to provide the information under this item.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Based on the foregoing, our principal executive officer and principal financial officer concluded that our disclosure controls and procedures were effective as of the end of the period covered by this Quarterly Report at the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Changes in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Inherent Limitations on Effectiveness of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including our principal executive officer and principal financial officer, believes that our disclosure controls and procedures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legal proceedings relating to claims arising from the ordinary course of business. Our management believes that there are currently no claims or actions pending against us, the ultimate disposition of which could reasonably be expected to have a material adverse effect on our results of operations, financial condition or cash flows.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Summary</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number of risks that could harm our business, financial condition, results of operations and/or growth prospects or cause our actual results to differ materially from those contained in forward-looking statements we have made in this Quarterly Report and those we may make from time to time. The success of our product candidates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current or future collaborator. In addition,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below is not exhaustive and is qualified by reference to the full set of risk factors set forth in Item 1A “Risk Factors” of this Quarterly Report. Please carefully consider all the information in this Quarterly Report, including the full set of risks set forth in the “Risk Factors” section, and in our other filings with the U.S. Securities and Exchange Commission (the “SEC”) before making an investment decision regarding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Condition and Capital Requirements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a clinical stage biopharmaceutical company with a limited operating history on which to assess our business. Our clinical trials remain ongoing and we have no products approved for commercial sale.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historically incurred losses and we anticipate that we will continue to incur losses for the foreseeable future.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never generated revenue from product sales and may never be profitable.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be able to raise the capital that we need to support our business plans.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Raising additional capital may cause dilution to our stockholders, restrict our operations or require us to relinquish rights to our technologies or product candidates.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Clinical Development, Regulatory Approval and Commercialization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Drug development and obtaining and maintaining regulatory approval for drug products is costly, time-consuming, and highly uncertain.</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substantially dependent on the success of our two most advanced programs, ORKA-001 and ORKA-002. We may not achieve our projected development goals in the time frames we announce and expect, or at all.</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competition from entities that have developed or may develop programs for the diseases addressed by our product candidates.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Regulations</w:t>
      </w:r>
    </w:p>
    <w:p>
      <w:pPr>
        <w:pStyle w:val="TextBody"/>
        <w:bidi w:val="0"/>
        <w:spacing w:before="0" w:after="0"/>
        <w:ind w:left="0" w:right="0" w:firstLine="36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105"/>
        <w:gridCol w:w="200"/>
        <w:gridCol w:w="84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be able to meet requirements for the chemistry, manufacturing and control of our programs.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U.S. Food and Drug Administration (“FDA”) and comparable foreign regulatory approval processes are lengthy and time consuming and we may not be able to obtain or may be delayed in obtaining regulatory approvals for our product candidates. Moreover, even if we obtain regulatory approval, we will be subject to ongoing regulatory obligations.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and protect our patents and other proprietary rights is uncertain and we may fail in obtaining or maintaining necessary rights to our programs.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become subject to claims challenging the inventorship or ownership of our intellectual property and may be subject to patent infringement claims or may need to file such claims.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technology licensed from third parties may be subject to retained rights.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Reliance on Third Parties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currently rely on agreements with third parties to develop our product candidates. Our business could be negatively impacted if we are unable to maintain these arrangements or if these arrangements are not successful, for example, if such third parties fail to carry out their contractual duties.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third-party manufacturing partners and manufacturing sites may fail to perform adequately in their efforts to support the manufacture of our product candidates and we may need to switch or create third-party manufacturer redundancies.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Employee Matters, Managing Growth, Other Risks Related to Our Business, and Risks Related to Owning Our Common Stock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estimates of market opportunity and forecasts of market growth may prove to be inaccurate, and even if the markets in which we compete achieve the forecasted growth, our business may not grow at similar rates, or at all.</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is dependent on key personnel, and we may be harmed if we cannot recruit and retain highly qualified personnel to successfully implement our business strategies.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could be adversely affected by macroeconomic or geopolitical conditions.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sales and issuances of equity and debt could result in additional dilution to our stockholders and could cause our stock price to decline.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sales of shares, or the anticipation of such sales, by existing stockholders could cause our stock price to decline.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Condition and Capital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clinical stage biopharmaceutical company with a limited operating history on which to assess our business; our clinical trials are ongoing, we have no products approved for commercial sale, we have historically incurred losses, and we anticipate that we will continue to incur significant losses for the foreseeable future. Moreover, we have never generated revenue from product sales and may never be profitable.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 stage biopharmaceutical company with a limited operating history. We will need to raise substantial additional capital to continue to fund our operations in the future. We have based our estimates on assumptions that may prove to be wrong and we could exhaust our available financial resources sooner than we currently anticipate. We have devoted substantially all of our financial resources to identifying, acquiring, and developing our product candidates, organizing and staffing our company, and providing general and administrative support for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capital may not be available in sufficient amounts or on reasonable terms, if at all. The current market environment for small and midcap biotechnology companies and broader macroeconomic factors may preclude us from successfully raising additional capital on the timeline we require. For example, escalating geopolitical tensions, elevated interest rates, and economic and regulatory uncertainty have caused market volatility. Such volatility can have an adverse effect on the ability to raise capital, particularly in the biotechnology and biopharmaceutical industries. In addition, it may be difficult for us to raise additional capital if we experience any issues that delay or prevent the regulatory approval or our ability to commercialize any of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Biopharmaceutical product development is a highly speculative undertaking and involves a substantial degree of risk. We expect our losses to increase as our product candidates enter advanced clinical trials. It may be several years, if ever, before we complete pivotal clinical trials or have a product candidate approved for commercialization. We expect to invest significant funds into the research and development of our programs to determine the potential to advance product candidates to regulatory approval. If we obtain regulatory approval to market a product candidate, our future revenue will depend upon the size of approved markets, and our ability to achieve sufficient market acceptance, pricing, coverage and adequate reimbursement from third-party payors, and adequate market share for our products. However, even if we obtain adequate market share for our products, we may never become profitable despite obtaining such market share and acceptance of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significant expenses and increasing operating losses for the foreseeable future and our expenses will increase substantially if and as we: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continue the clinical development of our product candidates, including advancing our product candidates into larger, more expensive trials;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progress our chemistry, manufacturing and control development, registration, and validation, including the manufacture of our product candidates by third parties, including increasing volumes manufactured by third parties;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continue efforts to discover and develop new product candidates, including initiating preclinical studies or clinical trials;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seek regulatory and marketing approvals and reimbursement for our product candidates;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a sales, marketing, and distribution infrastructure to commercialize any products for which we may obtain marketing approval and market for ourselves;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milestone, royalty, or other payments under third-party license agreements;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seek to maintain, protect, and expand our intellectual property portfolio; and</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experience any delays or encounter issues with the development and potential regulatory approval of our product candidates such as safety issues, manufacturing delays, clinical trial delays, longer follow-up for planned studies or trials, additional major studies or trials, or supportive trials necessary to support marketing approval.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raise additional capital when required or on acceptable terms, we may be required to curtail our product development activities and other activities commensurate with the magnitude of the shortfall and our product development activities may cease altogether, which could materially harm our business, financial condition, and results of operations. To the extent that the costs of our activities exceed our current estimates and we are unable to raise sufficient additional capital to cover such costs, we will need to reduce operating expenses, sell assets, enter into strategic transactions, or effect a combination of the above. No assurance can be given that we will be able to enter into any of such transactions on acceptable terms, if at all. Any of the following events could have a material adverse effect on our business, operating results, and prospects:</w:t>
      </w:r>
    </w:p>
    <w:p>
      <w:pPr>
        <w:pStyle w:val="TextBody"/>
        <w:bidi w:val="0"/>
        <w:spacing w:before="0" w:after="0"/>
        <w:ind w:left="0" w:right="0" w:firstLine="36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105"/>
        <w:gridCol w:w="200"/>
        <w:gridCol w:w="89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delay, scaling back, or discontinuation of the development or commercialization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seeking strategic partnerships, or amending existing partnerships, for research and development programs at an earlier stage than otherwise would be desirable or that we otherwise would have sought to develop independently, or on terms that are less favorable than might otherwise be available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disposal of technology assets, or the relinquishing or licensing of assets on unfavorable terms, of our rights to technologies or any of our product candidates that we otherwise would seek to develop or commercialize ourselves;</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105"/>
        <w:gridCol w:w="200"/>
        <w:gridCol w:w="98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pursuing the sale of the company to a third party at a price that may result in a loss on investment for our stockholders; or</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105"/>
        <w:gridCol w:w="200"/>
        <w:gridCol w:w="44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filing for bankruptcy or ceasing operations altogether.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successful in raising additional capital, the amount of capital we raise may be limited or restricted due to investor demand, market conditions, or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may cause dilution to our stockholders, restrict our operations, or require us to relinquish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through the sale of equity securities or convertible debt securities, the ownership interest of our stockholders will be diluted, and the terms of these securities may include liquidation or other preferences that adversely affect the rights of holders of our common stock. Debt financing and preferred equity financing, if available, may involve agreements that include covenants limiting or restricting our ability to take specific actions, such as incurring additional debt, making capital expenditures, or declaring dividends. For example, most recently, in April 2026, we entered into an underwriting agreement, pursuant to which we issued and sold 9,660,000 shares of common stock for a gross proceeds of $700.4 million before any underwriting discounts and commissions and related issuance expenses. We have granted the underwriters a 30-day option to purchase 1,449,000 additional shares at a price of $72.50 per share, less underwriting discounts and commissions. In addition, in October 2025, we entered into a sales agreement with TD Securities (USA) LLC acting as our sales agent pursuant to which we may issue and sell shares of our common stock from time to time through an at-the-market equity offering program, for aggregate gross proceeds of up to $200.0 million, under which we have sold shares of our common stock resulting in net proceeds of $38.9 million as of March 31, 2026. Previously, in September 2025, we entered into a Securities Purchase Agreement whereby the investors purchased shares of our common stock and pre-funded warrants for aggregate net proceeds of approximately $169.6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if we raise additional funds through collaborations, strategic alliances or marketing, distribution or licensing arrangements with third parties, we may be required to relinquish valuable rights to our research programs or product candidates or grant licenses on terms that may not be favorable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Clinical Development, Regulatory Approval and Commercialization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competition from entities that have developed or may develop programs for the diseases addressed by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commercialization of drugs is highly competitive. If approved, our product candidates will face significant competition and our failure to effectively compete may prevent us from achieving significant market penetration. Many of the companies with which we are currently competing or will compete against in the future have significantly greater financial resources and expertise in research and development, manufacturing, preclinical testing, clinical trials, regulatory approvals, and marketing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establishing clinical trial sites, recruiting participants for clinical trials, as well as in acquiring technologies complementary to, or necessary for, our product candidates.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have developed, are developing, or may develop programs and processes that compete with ours. Our success will depend partially on our ability to develop and commercialize products that have a competitive safety, efficacy, dosing and/or presentation profile. Our commercial opportunity and success may be reduced or eliminated if competing products are safer, more effective, have a more attractive dosing profile or presentation, or are less expensive than our products, or if biosimilars enter the market and achieve broader or more rapid market acceptance than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candidates may fail in development or suffer delays. We depend on the successful initiation and completion of clinical trials for our product candidates to advance our product development plans.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it will be many years before we can obtain regulatory approval for and commercialize any product candidate, if ever. Clinical testing is expensive, difficult to design and implement, and can take years to complete and is uncertain as to outcome. A failure of one or more of our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a number of events affecting our product development timeline, including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clinical trials may fail to show safety or efficacy, show meaningful improvement in efficacy or convenience compared to competitors, produce negative or inconclusive results, or our product candidates may have undesirable side effects or unexpected characteristics. We may decide, or regulators may require additional preclinical studies or clinical trials or we may decide to abandon a product development program altogether.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supply or quality of our clinical trial materials or other materials necessary to conduct clinical trials of our product candidates may be insufficient, unsafe or inadequate.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Regulators, Institutional Review Boards (“IRBs”), the FDA, or ethics committees may not authorize us or our investigators to commence or conduct a clinical trial at one or more prospective trial sites; or may require that we or our investigators materially modify, suspend or terminate clinical research or trials for various reasons, including noncompliance with regulatory requirements or a finding that the participants in our trials are being exposed to unacceptable health risks.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fail to establish an appropriate safety profile for a product candidate based on clinical or preclinical data as well as data emerging from other therapies in the same class as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subjects required for clinical trials of any product candidates may be larger than we anticipate, especially if regulatory bodies require completion of non-inferiority or superiority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Enrollment in our clinical trials may be slower than we anticipate or subjects may drop out of these clinical trials or fail to return for post-treatment follow-up at a higher rate than we anticipate.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Trial conduct or data analysis errors may occur, including, but not limited to, failure by investigators or participants to adhere to the study protocol or data entry and/or labeling errors.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experience delays in reaching, or fail to reach, agreement on acceptable terms with prospective trial sites and/or contract research organizations.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third-party contractors or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 and could potentially complicate the analysis of data or affect our product development timeline.</w:t>
            </w:r>
          </w:p>
        </w:tc>
      </w:tr>
    </w:tbl>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105"/>
        <w:gridCol w:w="200"/>
        <w:gridCol w:w="67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of clinical trials of any of our programs may be greater than we anticipate.</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105"/>
        <w:gridCol w:w="200"/>
        <w:gridCol w:w="85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Reports from clinical testing of other therapies may raise safety or efficacy concerns about our programs.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FDA or other regulatory authorities may require us to submit additional data or impose other requirements and our product development timeline may be adversely affected.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clinical trials do not produce favorable results, our ability to obtain regulatory approval for our product candidates will be adversely impacted. Moreover, the combined data from our trials may be inconclusive or may not be sufficient to ultimately gain marketing approval from the FDA or other regulatory authorities. There are equivalent processes and risks applicable to clinical trial applications in other countries outside of the United States, including the European Union (“EU”).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part due to the competitive landscape for immunology and inflammation (commonly referred to as “I&amp;I”) indications, we may also face increased competition for clinical trial enrollment. Clinical trial enrollment will depend on many factors, including if potential clinical trial participants choose to undergo treatment with approved products or enroll in competitors’ clinical trials for programs that are under development for the same indications as our programs. An increase in the number of approved products for the indications we are targeting with our programs may further exacerbate this competition. Our inability to enroll a sufficient number of participants could, among other things, delay our development timeline, which may further harm our competitive position and have an adverse effect on our business and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substantially dependent on the success of our two most advanced programs, ORKA-001 and ORKA-002, and our clinical trials of such programs may not be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is substantially dependent on our ability to develop and timely obtain marketing approval for, and then successfully commercialize, our two most advanced programs, ORKA-001 and ORKA-002. We are investing the majority of our efforts and financial resources into the research and development of these programs. Our Phase 1 clinical trial of ORKA-001 in healthy volunteers is fully enrolled and is ongoing for purposes of continued patient follow-up and data collection, and remains blinded. Our Phase 2a clinical trial of ORKA-001 in patients with moderate-to-severe psoriasis (“PsO”) remains ongoing and we commenced dosing in a dose-ranging Phase 2b trial of ORKA-001 in moderate-to-severe PsO in the fourth quarter of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Phase 1 clinical trial of ORKA-002 in healthy volunteers is fully enrolled and remains ongoing for purposes of continued patient follow-up and data collection, and remains blinded. In addition, we commenced a Phase 2 clinical trial of ORKA-002 in patients with moderate-to-severe PsO in February 2026 and plan to initiate a Phase 2 clinical trial of ORKA-002 in hidradenitis suppurativa (“HS”) in the second half of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believe that the success of our programs is dependent on our product candidates demonstrating a longer half-life in humans than monoclonal antibodies currently marketed and in development as we believe this longer half-life has the potential to result in a more favorable dosing schedule for our product candidates, assuming they successfully complete clinical development and obtain marketing approval. To the extent we do not observe this extended half-life, it would significantly and adversely affect the clinical and commercial potential of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achieve our projected development goals in the time frames we announce or expect, the development and potential commercialization of our product candidates may be delayed and our expenses may increase and, as a result, our business may be materially harmed and our stock price may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announce the timing of the anticipated accomplishment of various scientific, clinical, regulatory, or other product development goals, which we sometimes refer to as milestones. These milestones may include the commencement or completion of scientific studies and clinical trials, such as the expected timing of our clinical trials in our target indications, anticipated data analysis, and the data results from our clinical trials, as well as the submission of regulatory filings. All of these milestones are and will be based on numerous assumptions. The actual timing of these milestones can vary dramatically compared to our estimates, in some cases for reasons beyond our control. If we do not meet these milestones or the timing of the milestones as publicly announced, the development and potential commercialization of our product candidates may be delayed or never achieved and, as a result, our business may be materially harmed and our stock price may decline. Additionally, delays relative to our projected timelines are likely to cause overall expenses to increase, which may require us to raise additional capital sooner than expected and on terms less than desirable, and prior to achieving targeted development milestones.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drug delivery device that we may use to deliver our product candidates may have its own regulatory, development, supply and other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delivering and expect to continue to deliver, our product candidates via a drug delivery device, such as pre-filled syringe, an injector, or other delivery system. We currently expect to utilize drug delivery devices authorized for marketing under clearances of approvals held by third parties. Where approval of a drug product and device is sought under a single application, the increased complexity of the review process may delay approval. Our product candidates may not be approved or may be substantially delayed in receiving approval if the devices that we choose to develop do not gain and/or maintain their own regulatory approvals or clearances. In addition, some drug delivery devices are provided by single-source third-party companies. We may be dependent on the sustained cooperation and effort of those third-party companies both to supply the devices and, in some cases, to conduct the studies required for approval or other regulatory clearance of the devices. Even if approval is obtained for our products, we may also be dependent on those third-party companies continuing to maintain such approvals or clearances, if required, for their drug delivery devices once they have been received. Moreover, there may be unforeseen technical complications related to the development activities required to bring such a product to market, including primary container compatibility and/or dose volume requirements. Failure of third-party companies to supply the devices on time and in accordance with the agreed-upon specifications, to successfully complete studies on the devices in a timely manner, or to obtain or maintain required approvals or clearances of the devices could result in increased development costs, delays in or failure to obtain regulatory approval and delays in product candidates reaching patients.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approach to the discovery and development of our lead programs is unproven, and we may not be successful in our efforts to build a pipeline of programs with commercial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worked with Paragon to leverage clinically validated mechanisms of action and incorporate advanced antibody engineering to optimize half-life and other properties designed to overcome limitations of existing therapies. We have entered into antibody discovery and option agreements (the “Option Agreements”) with Paragon Therapeutics, Inc. (“Paragon”) and Paruka Holding LLC to facilitate the discovery and development of certain research programs with respect to which we have signed a license agreement with Paragon. Our two most advanced programs, ORKA-001 and ORKA-002, are licensed from Paragon and are purposefully designed to improve upon existing product candidates and products while maintaining the same, well-established mechanisms of action. However, the scientific research that forms the basis of our efforts to develop programs using half-life extension technologies is ongoing and may not result in viable programs. There is limited clinical data available on product candidates utilizing half-life extension technologies, especially in I&amp;I indications, demonstrating whether they are safe or effective for long-term treatment in humans. The long-term safety and efficacy of these technologies and the extended half-lives and exposure profiles of our programs compared to currently approved products are unknown.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ultimately discover that utilizing half-life extension technologies for our specific targets and indications and any programs resulting therefrom does not possess certain properties required for therapeutic effectiveness. In addition, programs using half-life extension technologies may demonstrate different chemical and pharmacological properties in human participants than they do in laboratory studies or preclinical studies, including the inability to demonstrate the same chemical and pharmacological properties in humans or the potential interaction with human biological systems in unforeseen, ineffective, or harmful ways.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products resulting from the research programs with respect to which we have signed license agreements with Paragon prove to be ineffective, unsafe or commercially unviable, such programs would have little, if any, value, which would have a material and adverse effect on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in the future seek to discover and develop programs that are based on novel targets and in the technologies that are unproven. If our discovery activities fail to identify novel targets or technologies for drug discovery, or such targets prove to be unsuitable for treating human disease, we may not be able to develop viable additional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and clinical development involves a lengthy and expensive process that is subject to delays and uncertain outcomes and results of earlier studies and trials may not be predictive of future clinical trial results. Further,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know whether any clinical trials we may conduct will demonstrate adequate efficacy and safety to result in regulatory approval to market any of our product candidates. Clinical testing can take many years to complete, and its outcome is inherently uncertain. Our clinical trials may not be conducted as planned or completed on schedule, if at all, and failure can occur at any time during the preclinical study or clinical trial process. 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We plan to use the data from our current trials of our ORKA-001 and ORKA-002 programs to support further trials in PsO, HS, and potentially other I&amp;I indications. However, differences between early-stage clinical trials and later-stage clinical trials, including differences in trial design, among other things, make it difficult to extrapolate the results of earlier clinical trials to later clinical trials. A number of companies in the biopharmaceutical industry have suffered significant setbacks in advanced clinical trials due to lack of efficacy or unfavorable safety profiles, notwithstanding promising results in earlier trials. Moreover, clinical data are often susceptible to varying interpretations and analyses, and many companies that have believed their product candidates performed satisfactorily in clinical trials have nonetheless failed to obtain marketing approval of such product candidates. In addition, we rely on clinical trial site staff to measure psoriasis area severity index scores (PASI scores) and participants to provide feedback on measures such as measures of quality of life, which may involve subjective interpretation and variability, although training and standardized measurements will be provided to individuals in order to minimize subjectivity. Moreover, these measures can be influenced by factors outside of our control, and can vary widely within a clinical trial.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sure that the FDA, or comparable foreign regulatory authority, as applicable, will agree with our clinical development plan. We cannot assure that the submission of an Investigational New Drug (IND) application, clinical trial application, or similar application will result in the FDA or comparable foreign regulatory authorities, as applicable, allowing clinical trials to begin in a timely manner, if at all. If the FDA and/or comparable foreign regulatory authority requires us to materially modify our proposed trial designs, conduct additional trials or enroll additional participants, our development timelines may be delayed. Moreover, even if these trials begin, issues may arise that could suspend or terminate such clinical trials, including but not limited to delays or difficulties recruiting trial patients, delays or difficulties obtaining required IRB or ethics committee approval at each clinical trial site, failure by third parties or us to adhere to clinical trial protocols or failure to perform in accordance with current Good Clinical Practice or applicable regulatory requirements, or delays in reaching a consensus with regulatory authorities on trial design or implementation of a clinical trial, or our third party vendors not satisfying their obligations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also encounter delays if a clinical trial is required to be materially modified or suspended or terminated by us, the IRBs, by a Data Safety Monitoring Board, if any, or by the FDA or comparable foreign regulatory authorities. Such authorities may suspend, put on clinical hold, or terminate a clinical trial due to a number of factors, including not aligning with or supporting our clinical trial designs or our failure to conduct the clinical trial in accordance with regulatory requirements or our clinical trial protocols, inspection of the clinical trial operations or trial site by the FDA or comparable foreign regulatory authorities resulting in the imposition of a clinical hold, unforeseen safety issues or adverse side effects, failure to demonstrate a benefit, changes in governmental regulations or administrative actions or lack of adequate funding to continue the clinical trial. If we are required to conduct additional clinical trials or other testing of our product candidates beyond those that we currently contemplate, if we are unable to successfully complete clinical trials of our product candidates, if the results of these trials are not positive or are only moderately positive, or if there are safety concerns, our business and results of operations may be adversely affected and we may need to adjust or abandon our business plans and we may incur significant additional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clinical development activities could be delayed or otherwise adversely affected if we encounter difficulties enrolling and maintaining participants in our current and future clinical trials. We depend on the successful completion of clinical trials for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enroll and maintain a sufficient number of participants who remain in a trial until conclusion would result in significant delays in completing clinical trials and increased development costs or may require us to abandon one or more clinical trials altogether. The enrollment of participants in current or future trials for any of our programs will depend on many factors, including if participants choose to enroll in our clinical trials, rather than using approved products, or if our competitors have ongoing clinical trials for programs that are under development for the same indications as our programs and participants instead enroll in such clinical trials. Even if we are able to enroll a sufficient number of participants for our clinical trials, we may have difficulty maintaining participants in such clinical trials.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Preliminary, “topline”, or interim data from our clinical trials may change and are subject to audit and verification procedures, and should be viewed with caution until the final data are available. Our interpretation of such data is based on assumptions that may evolve as additional data become available, which could result in changes to conclusions regarding the safety, efficacy, timing, or likelihood of success of our clinical development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publicly disclose preliminary or topline data from our preclinical studies and clinical trials that are based on a preliminary analysis of then-available data, and the results and related findings and conclusions are subject to change following a more comprehensive review of the data. We may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and our conclusions may change or be qualified as additional data are received, fully evaluated, and subjected to audit and verification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publicly disclose interim data from our preclinical studies and clinical trials. Such interim data are inherently preliminary and subject to the risk that one or more of the clinical outcomes may change as participant enrollment continues, additional data become available, as participants from our clinical trials pursue other treatments, or further analyses are conducted. In addition, third parties, including regulatory agencies, may not accept or agree with our assumptions, estimates, calculations, conclusions, or analyses or may interpret or weigh the importance of data differently, which could impact the perceived value of the particular product candidate, the approvability or commercialization of the particular product candidate, and our company and our business in general. In addition, others may not agree with what we determine is material or otherwise appropriate information to include in our public disclosure of a particular preclinical study or clinical trial.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preliminary, topline, or interim data that we report differ from actual results, or if final data or data from later stage clinical trials do not produce favorable results, our ability to obtain approval for, and commercialize, our product candidates may be harmed, which could harm our business, operating results, prospects or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clinical trials may reveal significant adverse events, undesirable side effects, or patient intolerance not seen in our preclinical studies or earlier clinical trials, and may result in a safety profile that could halt clinical development, inhibit regulatory approval, or limit commercial potential or market acceptance of any of our product candidates. We do not know whether any clinical trials we may conduct will demonstrate adequate efficacy and safety to result in regulatory approval to market any of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our clinical trials could reveal an unacceptable severity and prevalence of side effects or patient intolerance, adverse events, or unexpected characteristics, and any of these occurrences could harm our business, financial condition, results of operations and prospects significantly. If significant adverse events or other side effects are observed in any of our clinical trials, we may have difficulty recruiting participants to such trials, participants may drop out of the trials, or we may have to suspend, materially modify or abandon the trials or our development efforts of one or more programs altogether. We, the FDA or other applicable regulatory authorities, or an IRB, may suspend or require the material modification of any clinical trials of any program or require that we repeat or conduct additional clinical trials at any time for various reasons, including safety and health risks or exposure to adverse side effects.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side effects do not preclude the product candidate from obtaining or maintaining marketing approval, undesirable side effects may inhibit market acceptance of the approved product due to their tolerability versus other therapies. Potential side effects associated with our product candidates may not be appropriately recognized or managed by the treating medical staff, as toxicities resulting from our product candidates may not be normally encountered in the general patient population and by medical personnel. In addition, an extended half-life could prolong the duration of undesirable side effects, which could also affect our clinical trials or inhibit market acceptance.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even if we successfully advance our product candidates through clinical trials, such trials will only include a limited number of participants and limited duration of exposure to our product candidates. As a result, we cannot be assured that adverse effects of our product candidates will not be uncovered when a significantly larger number of participants are exposed to the product candidate after approval and potentially over an extended period of use. Further, any clinical trials may not be sufficient to determine the effect and safety consequences of using our product candidates over a multi-year period or longer.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foregoing events occur or if one or more of our product candidates prove to be unsafe, our pipeline could be affected, which would have a material adverse effect on our business, financial condition, results of operations, and prospects.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expend our limited resources to pursue a particular program and fail to capitalize on programs that may be more profitable or for which there is a greater likelihood of success.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initially focused on our most advanced programs, ORKA-001 and ORKA-002, and as a result, we may forgo or delay pursuit of opportunities with other programs that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market for a particular product candidate, we may be in a position where we may have to relinquish valuable rights to that product candidate through collaboration, licensing or other arrangements in cases in which we would have been more advantageous for us to retain sole development and commercialization rights to such product candidate. We may never receive approval to market and commercialize any product candidate.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approved products resulting from our programs may not achieve adequate market acceptance among clinicians, patients, healthcare third-party payors and others in the medical community necessary for commercial success and we may not generate any future revenue from the sale or licensing of such products.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regulatory approval is obtained for a product candidate resulting from one of our current or future programs, it may not gain market acceptance among physicians, patients, third-party payors or others in the medical community. Market acceptance of our product candidates will depend on many factors, including factors that are not within our control. Market participants with influence over acceptance of new treatments, such as clinicians and third-party payors, may not adopt a biologic that incorporates half-life extension for our targeted indications, and we may not be able to convince the medical community and third-party payors to accept and use, or to provide favorable reimbursement for, any programs developed by us or our existing or future collaborators. Moreover, an extended half-life may make it more difficult for patients to change treatments and there may be a perception that half-life extension could exacerbate side effects, each of which may adversely affect our ability to gain market acceptance. Further, we may not generate or derive sufficient revenue from a product candidate and may not become or remain profitable if such product candidate is approved, but does not achieve an adequate level of acceptance.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of our programs may compete with our other programs, which could negatively impact our business and reduce our future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developing product candidates for PsO, HS, and may in the future develop our programs for other I&amp;I indications. Each such program targets a different mechanism of action. However, developing multiple programs for a single indication may negatively impact our business if the programs compete with each other. For example, concurrent clinical trials across multiple programs may compete for the enrollment of participants. In addition, the approval of multiple product candidates for the same indication could intensify market competition and limit our future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conducting, and may conduct in the future, clinical trials for programs at sites outside the United States, subjecting us to additional risks that may delay or adversely affect our product development timelines.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conducting clinical trials outside the United States and may continue to do so in the future. Conducting clinical trials outside the United States may expose us to additional operational and regulatory risks, including differing regulatory standards and review timelines and increased complexity in ensuring compliance with applicable laws and data protection requirements. Although the FDA may accept data from clinical trials conducted outside the United States, acceptance of this data is subject to conditions imposed by the FDA. If the FDA does not accept the data from any trial that we conduct outside the United States, it would likely result in the need for additional trials, which would be costly and time-consuming and would delay or permanently halt our development of the applicable product candidates. Even if the FDA accepted such data, it could impose additional conditions, such as requiring us to modify our planned clinical trials to receive clearance to initiate such trials in the United States or to continue such trials once initiated.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conducting clinical trials outside of the United States presents additional risks that may delay completion of our clinical trials. These risks include requirements for local ethics approvals, challenges in monitoring trial conduct and data integrity across jurisdictions, including the potential failure of investigators or enrolled participants in foreign countries to adhere to clinical protocol that could restrict or limit our ability to conduct our clinical trials, the administrative burdens of conducting clinical trials under multiple sets of foreign regulations, potential restrictions, such as local privacy restrictions, on data generated from the clinical trial, and diminished protection of intellectual property in some countries. Operations in foreign jurisdictions are subject to additional risks, including dependence on third party manufacturers or suppliers outside of the United States, as well as political and economic risks relevant to foreign countries.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and Regulatory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regulatory approval processes of the FDA and other comparable foreign regulatory authorities are lengthy, time-consuming and unpredictable. We may not be able to commercialize, or may be delayed in commercializing, our product candidates, and our ability to generate revenue may be materially impaired if we are not able to obtain, or if there are delays in obtaining, required regulatory approvals for our product candidates.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lengthy regulatory approval process as well as the unpredictability of clinical trial results may result in our failing to obtain or be delayed in obtaining approval to market our product candidates, which would significantly harm our business, results of operations and prospects. Before obtaining regulatory approvals for the commercial sale of our product candidates, we must demonstrate through lengthy, complex and expensive preclinical studies and clinical trials that our product candidates are both safe and effective for each targeted indication. In addition, securing regulatory approval also requires the submission of information about the drug manufacturing process to, and inspection of manufacturing facilities by, the relevant regulatory authority. Of the large number of drugs in development, only a small percentage successfully complete the FDA or foreign regulatory approval processes and are commercialized. Approval may never be obtained and the approval process can vary substantially based upon a variety of factors, including the type, complexity and novelty of the product candidates involved. While there are several approved products and product candidates in later stages of development for the treatment of PsO and for the treatment of HS, our programs incorporate advanced antibody engineering to optimize the half-life and formulation of antibodies, and to date, no such antibody has been approved by the FDA for the treatment of PsO or for 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and comparable foreign regulatory authorities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failure to demonstrate that a product candidate’s benefits outweigh safety risks; regulatory authorities may disagree with our interpretation of clinical data or the data collected may not be acceptable or sufficient to support submission; or the results may not meet the level of statistical significance required for approval by the relevant regulatory authorities or otherwise considered insufficient by the FDA or comparable foreign regulatory authorities. Regulatory authorities may require the addition of labeling statements, such as a black box warning or other warnings or contraindications that could diminish the usage of the product or otherwise limit the commercial success of the affected product.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regulatory authorities may approve any of our product candidates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our product candidates, we will not be able to commercialize, or will be delayed in commercializing, our product candidates and our ability to generate revenue may be materially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meet requirements for the chemistry, manufacturing, and control of our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receive approval of our products by the FDA and comparable foreign regulatory authorities, we must show that we and our CMO partners are able to characterize, control and manufacture our drug products safely and in accordance with regulatory requirements. This includes, among other things, manufacturing the active ingredient, developing an acceptable formulation, manufacturing the drug product, performing tests to adequately characterize the formulated product, documenting a repeatable manufacturing process in larger quantities as we move forward in our development programs, and demonstrating that our drug products meet stability requirements. As noted above, we may deliver our product candidates via a drug delivery device, which also requires us to meet certain chemistry, manufacturing and control requirements set forth by the FDA and other foreign regulatory authorities. Meeting these chemistry, manufacturing and control requirements is a complex task that requires specialized expertise. If we are not able to meet the chemistry, manufacturing, and control requirements, we may not be successful in our clinical trials or getting our product candidates approved by regulatory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candidates for which we intend to seek approval as biologics may face competition sooner than anticipated.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Protection and Affordable Care Act, as amended by the Healthcare and Education Reconciliation Act (the “ACA”), includes a subtitle called the Biologics Price Competition and Innovation Act (the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any of our product candidates approved as biologics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our product candidates receive regulatory approval, we will remain subject to extensive ongoing regulatory obligations and continued regulatory review, which could result in restrictions on the use of the products, significant additional expenses, and penalties if we fail to comply with regulatory requirements or experience unanticipated issues with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product candidates receive regulatory approval, we will remain subject to ongoing regulatory requirements imposed by the FDA and comparable foreign authorities. These requirements may include post-approval safety and pharmacovigilance reporting, product labeling restrictions or warnings, risk management requirements such as a Risk Evaluation and Mitigation Strategy (“REMS”), post-marketing commitments or additional studies to further assess safety, efficacy, or real-world use, as well as compliance with applicable manufacturing and quality system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also conduct periodic inspections of our manufacturing facilities or those of our third-party manufacturers and may take enforcement action if we or such third parties fail to comply with applicable regulatory requirements or if safety, quality, or manufacturing issues arise. Such actions could include labeling changes, restrictions on use or distribution, clinical holds, recalls or withdrawal of products, warning or untitled letters, fines, penalties, or other enforcement measures. Failure to comply with these ongoing obligations, or the emergence of unexpected safety or quality issues after commercialization, could result in significant additional costs, limit our ability to commercialize, and may materially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Disruptions or changes at the FDA, the SEC and other government agencies and regulatory authorities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FDA to review regulatory filings and our ability to commence clinical trials can be affected by a variety of factors, including government budget and funding levels, ability to hire and retain key personnel and accept the payment of user fees, statutory, regulatory and policy changes, disruptions caused by government shutdowns and public health crises. There have been mass layoffs of federal government employees since the start of the Trump administration in January 2025, the full impact of which is unclear at this time.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Furthermore, the Trump administration has made and is expected to continue to make changes in the leadership of various U.S. federal regulatory agencies and changes to U.S. federal government policy that have led to, in some cases, legal challenges and uncertainty around the funding, functioning and policy priorities of the U.S. federal regulatory agencies, including the FDA.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at the FDA and other agencies or comparable foreign regulatory authorities, may also slow the time necessary for the review and approval of applications for clinical trial or marketing authorization, which would adversely affect our business. For example, in recent years, the U.S. government has experienced shut downs and funding lapses, during which time certain regulatory agencies, such as the FDA and the SEC, furloughed critical employees and stopped critical activities. Additionally, action by the Trump administration to limit federal agency budgets or personnel may result in reductions to the FDA’s budget, employees, and operations, which may lead to slower response times and longer review periods, potentially affecting our ability to progress development of our product candidates or obtain regulatory approval for our product candidates. If a prolonged government shutdown occurs, it could significantly impact the ability of the FDA to timely review and process our regulatory submissions, which could have a material adverse effect on our business. Further, government shutdowns could impact our ability to access the public markets and obtain necessary capital in order to properly capitalize and continue our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the extent to which the Trump administration may impose or seek to impose leadership or policy changes at the FDA or changes to rules and policies impacting our business and operations. It is unclear how these executive actions or other potential actions by the federal government will impact the FDA or other regulatory authorities that oversee our business. Government proposals to reduce or eliminate budgetary deficits may include reduced allocations to the FDA and other related government agencies. These budgetary pressures may reduce the FDA’s ability to perform its responsibilities, which could result in delays in our clinical trial timelines. If a significant reduction in the FDA’s workforce occurs, the FDA’s budget is significantly reduced or a prolonged government shutdown occurs, it could significantly impact the ability of the FDA to timely review and process our regulatory submissions or take other actions critical to the development or manufacturing of our product candidates, which could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difficulties from legislative or regulatory reform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faced with additional or changing regulatory and governmental regulations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the Trump administration has discussed several changes to the reach and oversight of the FDA, which could affect its relationship with the pharmaceutical industry, transparency in decision making and ultimately the cost and availability of prescription drugs.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pharmaceuticals has been a topic of considerable public discussion that could lead to price controls or other price-limiting strategies by third-party payors that have the effect of lowering payment and reimbursement rates for drugs or otherwise making the commercialization of pharmaceuticals less profitable. Many federal and state legislatures have considered, and adopted, healthcare policies intended to curb rising healthcare costs, such as the Inflation Reduction Act (“IRA”). These cost-containment measures may include, among other measures: requirements for pharmaceutical companies to negotiate prescription drug prices with government healthcare programs; controls on government-funded reimbursement for drugs; new or increased requirements to pay prescription drug rebates to government healthcare programs, including if drug prices increase at a higher rate than inflation; controls on healthcare providers; challenges to or limits on the pricing of drugs, including pricing controls or limits or prohibitions on reimbursement for specific products through other means; requirements to try less expensive products or generics before a more expensive branded product; and public funding for cost effectiveness research, which may be used by government and private third-party payors to make coverage and payment decisions. Political, economic and regulatory developments may further complicate developments in healthcare systems and pharmaceutical drug pricing. These developments could, for example, impact our potential licensing agreements as commercial and collaborative partners may also consider the impact of these pressures on their licensing strategies.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new laws or regulations that have the effect of imposing additional costs or regulatory burden on pharmaceutical manufacturers, or otherwise negatively affect the industry, could adversely affect our ability to successfully commercialize our product candidates. The implementation of any price controls, caps on prescription drugs or price transparency requirements could adversely affect our business, operating results and financial condition.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operations and current and future arrangements with investigators, healthcare professionals, consultants, third-party payors, patient organizations and customers will be subject to applicable healthcare regulatory laws, including conflicts of interest rules, which could expose us to penalties.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and current and future arrangements with investigators, healthcare professionals, consultants, third-party payors, patient organizations and customers may expose us to broadly applicable healthcare laws and regulations, including conflict of interest laws. These laws may constrain the business or financial arrangements and relationships through which we conduct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investigators for our clinical trials may serve as scientific advisors or consultants to us or may be affiliated with our other service providers, including CROs or site management organizations, and from time to time may receive cash compensation in connection with such services. If these relationships and any related compensation result in perceived or actual conflicts of interest, the integrity of the data generated at the applicable clinical trial site or in the applicable trial may be questioned or jeopardized.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Ensuring that our internal operations and future business arrangements with third parties comply with applicable healthcare laws and regulations will involve costs and management attention. If our operations are found to be in violation of any of these laws or any other governmental laws and regulations that may apply to it,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are able to commercialize any product candidates, we may be subject to unfavorable pricing regulations and/or third-party coverage and reimbursement policies, and we may not be able to offer such product candidates at competitive prices, which could seriously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seek approval to market our product candidates in the United States and in selected foreign jurisdictions, and we will be subject to rules and regulations in those jurisdictions where we obtain approval. Our ability to successfully commercialize any product candidates that we may develop will depend in part on the extent to which reimbursement for these product candidates and related treatments will be available from government health administration authorities, private health insurers, and other organizations. In some jurisdictions, government authorities and other third-party payors decide which medications they will pay for and establish reimbursement levels, and have attempted to control costs by limiting coverage and the amount of reimbursement for particular medications. These entities may create preferential access policies for a competitor’s product, including a branded or generic/biosimilar product, over our products in an attempt to reduce their costs, which may reduce our commercial opportunity. Additionally, if any of our product candidates are approved and we are found to have improperly promoted off-label uses of those product candidates, we may become subject to significant liability, which could materially adversely affect our business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the U.S. Physician Payments Sunshine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Governments outside the United States tend to impose strict price controls, which may adversely affect our revenue,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countries, particularly member states of the EU (“EU Member States”),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To obtain coverage and reimbursement or pricing approvals in some countries, we or current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If the UK or EU Member States were to significantly alter their regulations affecting the pricing of prescription pharmaceuticals, we could face significant new costs.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obtain, maintain, and protect our patents and other proprietary rights is uncertain, exposing us to the possible loss of competitive advantage.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upon a combination of patents, trademarks, trade secret protection, confidentiality agreements, and the Option and License Agreements with Paragon to protect the intellectual property related to our programs and technologies and to prevent third parties from competing unfairly with it. Our success depends in large part on our ability to obtain and maintain patent protection for our programs and our product candidates and their uses, as well as our ability to operate without infringing on or violating the proprietary rights of others. We and Paragon have filed, and may continue to file, provisional and non-provisional patent applications directed to antibodies that target IL-23, including applications covering composition of matter, pharmaceutical formulations, and methods of use, including ORKA-001. In addition, we and Paragon have filed, and may continue to file, provisional and non-provisional patent applications directed to antibodies that target IL-17, including applications covering composition of matter, pharmaceutical formulations, and methods of use, including ORKA-002. However, we may not be able to protect our intellectual property rights throughout the world and the legal systems in certain countries may not favor enforcement or protection of patents, trade secrets, and other intellectual property. Filing, prosecuting and defending patents on programs worldwide is expensive and our intellectual property rights in some foreign jurisdictions can be less extensive than those in the United States; the reverse may also occur.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pending and future patent applications may not result in patents being issued. Any issued patents may not afford sufficient protection of our programs or their intended uses against competitors, nor can there be any assurance that the patents issued will not be infringed, designed around, or invalidated by third parties, or will effectively prevent others from commercializing competitive technologies, products, or programs. Even if these patents are granted, they may be difficult to enforce. Further, any issued patents that we may license or own covering our programs could be narrowed or found invalid or unenforceable if challenged in court or before administrative bodies in the United States or abroad, including the United States Patent and Trademark Office (“USPTO”). Further, if we encounter delays in our clinical trials or delays in obtaining regulatory approval, the period of time during which we could market our product candidates under patent protection would be reduced. Thus, the patents that we may own and license may not afford us any meaningful competitive advantage.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seeking patents for some of our technology and programs, we may also rely on trade secrets, including unpatented know-how, technology and other proprietary information, to maintain our competitive position. Any disclosure, either intentional or unintentional, by our employees, the personnel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In order to protect our proprietary technology and processes, we rely in part on agreements, such as confidentiality agreements, with our vendors,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We may need to share our proprietary information, including trade secrets, with future business partners, collaborators, contractors and others located in countries at heightened risk of theft of trade secrets, including through direct intrusion by private parties or state actors and those affiliated with or controlled by state actors.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Enforcing a claim that a party illegally obtained and is using our trade secrets is challenging and the outcome is unpredictable. In addition, courts outside of the U.S. may be less willing to protect trade secrets.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if our trademarks and trade names are not registered or adequately protected, then we may not be able to build name recognition in our markets of interest and our business may be adversely affected.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successful in obtaining or maintaining necessary rights to our programs through acquisitions and in-licenses.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development programs currently do and may in the future require the use of proprietary rights held by third parties, the growth of our business may depend in part on our ability to acquire, in-license, or use these third-party proprietary rights. It is possible that we may be unable to obtain licenses at a reasonable cost or on reasonable terms, if at all. Even if we are able to obtain a license, it may be non-exclusive, thereby giving our competitors access to the same technologies licensed to us. We may be unable to acquire or in-license any compositions, methods of use, processes or other intellectual property rights from third parties that we identify as necessary for our programs.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maintain the existing intellectual property rights we do obtain, we may have to abandon the development of the relevant program, which could have a material adverse effect on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plan to obtain the right to control patent prosecution, maintenance, and enforcement of the patents relating to our programs, there may be times when the filing and prosecution activities for patents and patent applications relating to our programs are controlled by our current and future licensors or collaboration partners. If any of our current and future licensors or collaboration partners fail to prosecute, maintain, and enforce such patents and patent applications in a manner consistent with the best interests of our business,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prosecution of patents and patent applications we have licensed to and from third parties, we may still be adversely affected or prejudiced by actions or inactions of our licensees, our future licensors, and our counsel that took place prior to the date upon which we assumed control over patent prosecution. Moreover, if other third parties have ownership rights to our future in-licensed patents, they may be able to license such patents to our competitors, and our competitors could market competing products and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obtain licenses at a reasonable cost or on reasonable terms may require us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product candidates. This could have a material adverse effect on our competitive position,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may arise between us and our future licensors regarding intellectual property subject to a license agreement, including without limitation: the scope of rights granted under the license agreement and other interpretation-related issues; whether and the extent to which our technology and processes may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future licensors and us and our partners; and the priority of invention of patented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patent infringement claims or may need to file claims to protect our intellectual property, which could result in substantial costs and liability and prevent us from commercializing our potential products.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intellectual property landscape in the biopharmaceutical industry is rapidly evolving and interdisciplinary, it is difficult to conclusively assess our freedom to operate and guarantee that we can operate without infringing on or violating third-party rights. Third-party patent rights, if found to be valid and enforceable, could be alleged to render one or more of our product candidates infringing. If a third party successfully brings a claim against us, we may be required to pay substantial damages, be forced to abandon or delay the development of any affected product candidate, and/or seek a license from the patent holder. Any intellectual property claims brought against us, whether or not successful, may cause us to incur significant legal expenses and divert the attention of our management and key personnel from other business concerns. We cannot be certain that patents owned or licensed by us will not be challenged by others in litigation. Some of our competitors may be able to sustain the costs of complex intellectual property litigation more effectively than we can because they may have substantially greater resources. In addition, any litigation could have a material adverse effect on our business and operations, including our ability to raise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infringe or otherwise violate our patents, trademarks, copyrights, or other intellectual property. To counter infringement or other violations, we may be required to file claims, which can be expensive and time-consuming, and any such claims could provoke these parties to assert counterclaims against us.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(“marks”)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may be required to protect our patents through procedures created to attack the validity of a patent at the USPTO. An adverse determination in any such submission or proceeding could reduce the scope of, affect the enforceability of, or invalidate, our patent rights, which could adversely affect our competitive position.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our programs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licenses for the products they 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patent laws in the U.S. and other jurisdictions could diminish the value of patents in general, thereby impairing our ability to protect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either the patent laws or interpretation of patent laws in the U.S. and foreign jurisdictions could increase the uncertainties and costs surrounding the prosecution of our owned and in-licensed patent applications and the maintenance, enforcement or defense of our owned and in-licensed issued patents. Additionally, there have been proposals for additional changes to the patent laws of the U.S. and other countries that, if adopted, could impact our ability to enforce our proprietary technology. This combination of events has created uncertainty with respect to the validity and enforceability of patents once obtained. Depending on future actions by the U.S. Congress, the federal courts, the USPTO, and the relevant law-making bodies in other countries, the laws and regulations governing patents could change in unpredictable ways that could have a material adverse effect on our patent rights and our ability to protect, defend, and enforce our patent rights in the future. In addition, geopolitical instability could increase the uncertainties and costs surrounding the prosecution or maintenance of patent applications and the maintenance, enforcement, or defense of issued patents.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U.S. Supreme Court in Amgen, Inc. v. Sanofi (Amgen) stated that if patent claims are directed to an entire class of compositions of matter, then the patent specification must enable a person skilled in the art to make and use the entire class of compositions. This decision makes it unlikely that we will be granted U.S. patents with composition of matter claims directed to antibodies functionally defined by their ability to bind a particular antigen. Even if we are granted claims directed to functionally defined antibodies, it is possible that a third party may challenge our patents, when issued, relying on the reasoning in Amgen or other recent precedential court decisions.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European Unified Patent Court (“UPC”) entered into force on June 1, 2023. The UPC is a common patent court that hears patent infringement and revocation proceedings effective for EU Member States. This could enable third parties to seek revocation of a European patent in a single proceeding at the UPC rather than through multiple proceedings in each of the jurisdictions in which the European patent is validated.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currently own any European patents or applications,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programs, our competitive position would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U.S. or abroad that we consider relevant may be incorrect. Our failure to identify and correctly interpret relevant patents may negatively impact our ability to develop and market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some patent applications in the U.S. may be maintained in secrecy until the patents are issued, and because patent applications in the U.S.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products or technology similar to ours. Any such patent application may have priority over our patent applications or patents, which could require us to obtain rights to issued patents covering such technologies.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claims challenging the inventorship or ownership of our patents and other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claims that former employees, collaborators, or other third parties have an interest in our patents or other intellectual property as an inventor or co-inventor. The failure to name the proper inventors on a patent application can impact the validity of the patents issuing thereon.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 terms may be inadequate to protect the competitive position of our product candidates for an adequate amount of time.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time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technology licensed from various third parties may be subject to retained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future licensors may rely on third-party consultants or collaborators or on funds from third parties, such as the U.S. government, such that our licensors would not be the sole and exclusive owners of any patents we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Reliance on Third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licensing arrangements for a substantial portion of our product portfolio, including with Paragon for ORKA-001 and ORKA-002. If we are unable to maintain collaborations or licensing arrangements, or if our collaborations or licensing arrangements are not successful, our business could be negatively impacted.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Collaborations or licensing arrangements that we enter into may not be successful, and any success will depend heavily on the efforts and activities of such collaborators or licensors. If any of our current or future collaborators or licensors experience delays in performance of, or fails to perform, their obligations under their agreement with us, disagrees with our interpretation of the terms of such agreement or terminates their agreement with us, our development timeline could be adversely affected. We currently rely on our licensing agreements with Paragon for a substantial portion of our product portfolio, including for ORKA-001 and ORKA-002. If we fail to comply with any of the obligations under our collaborations or license agreements, including payment terms and diligence terms, our collaborators or licensors may have the right to terminate such agreements, in which event we may lose intellectual property rights and may not be able to develop, manufacture, market, or sell the products covered by our agreements or may face other penalties under our agreements. Our collaborators and licensors may also fail to properly maintain or defend the intellectual property we have licensed from them, if required by our agreement with them, or even infringe upon, our intellectual property rights, leading to the potential invalidation of our intellectual property or subjecting us to litigation or arbitration, any of which would be time-consuming and expensive and could harm our ability to commercialize our product candidates. In addition, collaborators could independently develop, or develop with third parties, products that compete directly or indirectly with our programs and products if the collaborators believe that the competitive products are more likely to be successfully developed or can be commercialized under terms that are more economically attractive than ours.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strategy, we plan to evaluate additional opportunities to enhance our capabilities and expand our development pipeline or provide development or commercialization capabilities that complement ours. We may not realize the benefits of such collaborations, partnerships, or licensing arrangements.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upon, among other things,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collaborations on a timely basis,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utilized and plan to continue to utilize and depend upon independent investigators and collaborators, such as institutions, CROs, contract testing labs, CMOs and strategic partners, to supply, conduct, and support our preclinical studies and clinical trials pursuant to agreements with us.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regulations, which are regulations and guidelines enforced by the FDA and comparable foreign regulatory authorities for all of our programs in clinical development.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or refuse to approve our marketing applications. We cannot assure you that upon inspection by a given regulatory authority, such regulatory authority will determine that any of our clinical trials comply with GCP regulations. Moreover, our business may be implicated if any of these third parties violate federal or state fraud and abuse or false claims laws and regulations or healthcare privacy and security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remedies available to us under our agreements, any third parties conducting our preclinical studies or clinical trials will not be our employees and we cannot control whether they devote sufficient time and resources to our programs. These third parties may have relationships with other commercial entities, including our competitors, for whom they may also be conducting clinical trials or other product development activities, which could negatively affect their performance on our behalf and the timing thereof and could lead to products that compete directly or indirectly with our product candidates.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own any facility that may be used as our clinical or commercial manufacturing and processing facility and must currently rely on CMOs to manufacture our product candidates. We have not yet caused any product candidates to be manufactured on a commercial scale and may not be able to do so for any of our product candidates, if approved. We currently have a sole source relationship for our supply of the ORKA-001 and ORKA-002 programs. If there should be any disruption in such supply arrangement, including any adverse events affecting our sole supplier, it could have a negative effect on the clinical development of our programs and other operations while we work to identify and qualify an alternate supply source. We do not control the manufacturing process of, and are completely dependent on, our contract manufacturing partners for compliance with cGMP requirements and any other regulatory requirements of the FDA or comparable foreign regulatory authorities for the manufacture of our product candidates. Beyond periodic audits, we have limited control over the ability of our CMOs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delays, and materially adversely affect our ability to develop, obtain regulatory approval for or market our product candidates, if approved. Similarly, our failure, or the failure of our CMOs,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our CMOs may experience manufacturing difficulties due to resource constraints, supply chain issues, proposed or actual legislative changes or requirements, or as a result of labor disputes or unstable political environments. If any CMOs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 In addition, our CMOs are responsible for transporting temperature-controlled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 candidates.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CMOs may be subject to U.S. legislation, including the BIOSECURE Act, trade restrictions, and other foreign regulatory requirements, which could increase costs, reduce the availability of materials, delay procurement or supply, or otherwise adversely affect our operations. We currently rely on foreign CROs and CMOs, including WuXi Biologics (Hong Kong) Limited and its affiliates (“WuXi Biologics”), and we expect to continue to rely on foreign CROs and CMOs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BIOSECURE Act was enacted into U.S. law in December 2025 and restricts U.S. federal agencies, as well as recipients of certain federal funding, from procuring, using, or contracting for biotechnology equipment or services from entities designated as “biotechnology companies of concern”. The law contemplates a designation process to identify such biotechnology companies of concern, and the timing, scope, and implementation of the Act, including the criteria for designation and the application of any transition or grandfathering provisions, remain subject to ongoing rulemaking and agency interpretation.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WuXi Biologics has been identified in prior legislative proposals and public discourse as a potential biotechnology company of concern; however, it has not been automatically designated as such under the enacted statute. If WuXi Biologics or other third-party providers we rely on were to be designated as biotechnology companies of concern in the future, or if the BIOSECURE Act were otherwise interpreted or implemented in a manner that restricts our ability to use their services, we could be required to transition to alternative providers, experience supply disruptions or increased costs, or be limited in our ability to access U.S. federal government contracts, grants, or other funding opportunities, which could materially adversely affect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operations and financial condition may be negatively impacted as a result of any delays or increased costs arising from the trade restrictions and other foreign regulatory requirements affecting such collaborators. In addition, while we have established relationships with CROs and CMOs outside of China, moving to those suppliers in the event of geopolitical instability affecting our collaborators in China could introduce delays into the development program. For example, in April 2025, the United States government imposed significant tariffs on imports from China and other countries and may impose more restrictions on goods, including biologically derived substances, manufactured in or imported from China or other countries, or impose other restrictions on companies’ ability to work with Chinese or other foreign counterparties. To the extent these or future tariffs are applicable to the material we import from China and other countries or if we are not able to secure supply of our product candidates as a result of applicable legislation, our business and financial condition could be adversely affected.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Employee Matters, Managing Growth and Other Risks Related to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order to successfully implement our plans and strategies, we will need to grow the size of our organization and we may experience difficulties in managing this growth.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grow the size of our organization, including an increase in the number of our employees and the scope of our operations, particularly in the areas of preclinical and clinical drug development, technical operations, clinical operations, regulatory affairs and, potentially, sales and marketing. To manage our anticipated future growth, we must continue to implement and improve our managerial, operational and financial personnel and systems, expand our facilities, and continue to recruit and train additional qualified personnel. Due to our limited financial resources and the limited experience of our management team working together in managing a company with such anticipated growth, we may not be able to effectively manage the expansion of our operations or recruit and train additional qualified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highly dependent on our key personnel and anticipate hiring new key personnel. If we are not successful in attracting and retaining highly qualified personnel, we may not be able to successfully implement our business strategy.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pursue our growth strategy will be limited if we are unable to continue to attract and retain high quality personnel. We have been and will continue to be highly dependent on the research and development, clinical, and business development expertise of our executive officers, as well as the other principal members of our management, scientific, and clinical team. Any of our management team members may terminate their employment with us at any time. We do not maintain “key person” insurance for any of our executives or other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and retaining qualified personnel will also be critical to our success, including with respect to any strategic transaction that we may pursue. The loss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facilitate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as well as from universities and research institutions.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rely on consultants and advisors to assist us in formulating our discovery and nonclinical and clinical development and commercialization strategy. Our consultants and advisors may be employed by employers other than us and may have commitments under consulting or advisory contracts with other entities that may limit their availability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that we have wrongfully hired an employee from a competitor or that our employees, consultants or independent contractors have wrongfully used or disclosed confidential information of third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common in the biopharmaceutical industry, in addition to our employees, we engage the services of consultants and independent contractors to assist us in the development of our programs. Many of these consultants, independent contractors, and our employees, may have been previously employed at, or may have previously provided or may be currently providing consulting services to, other biotechnology or pharmaceutical companies including our competitors or potential competitors. Although we try to ensure that our employees, consultants, and independent contractors do not use the intellectual property, proprietary information, know-how, or trade secrets of others in their work for us, we may become subject to claims that we caused an individual to breach the terms of his or her non-competition or non-solicitation agreement, or that we or these individuals have, inadvertently or otherwise, used or disclosed the alleged trade secrets or other proprietary information of a former employer or competitor.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programs, if such technologies or features are found to incorporate or be derived from the trade secrets or other proprietary information of the former employers. Moreover, any such litigation or the threat thereof may adversely affect our reputation or our ability to form strategic alliances or sublicense our rights to collaborators, engage with scientific advisors or hire employees, consultants or independent contractors, each of which would have an adverse effect on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growth may depend, in part, on our ability to operate in foreign markets, where we would be subject to additional regulatory burdens and other risks and uncertainties.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may depend, in part, on our ability to develop and commercialize our product candidates in foreign markets for which we may rely on collaboration with third parties. If we fail to comply with the regulatory requirements in foreign markets and receive applicable marketing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independent contractors, consultants, advisors, commercial collaborators, principal investigators, CROs, CMOs, suppliers, and vendors may engage in misconduct or other improper activities, including noncompliance with regulatory standards and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that our employees, independent contractors, consultants, advisors, commercial collaborators, principal investigators, CROs, CMOs, suppliers, and vendors acting for or on our behalf may engage in misconduct or other improper activities. We have adopted a code of conduct and ethics,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internal information technology systems, or those of any of our third-party service providers,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 If we (or a third party upon whom we rely) experience a security incident or are perceived to have experienced a security incident, we may experience adverse consequences. While we have implemented security measures designed to protect against security incidents, there can be no assurance that these measures will be effective. Further, cybersecurity breaches or other cybersecurity incidents may allow hackers access to our preclinical compounds, strategies, discoveries, trade secrets, and/or other confidential information. Additionally, sensitive data could be leaked, disclosed, or revealed as a result of or in connection with our employees’, personnel’s, vendors’ or partners’ use of generative AI technologies. Our ability to monitor third parties’ information security practices is limited, and these third parties may not have adequate security measures in place.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 Moreover, while we may be entitled to damages if our third-party service providers fail to satisfy their privacy or security-related obligations to us, any award may be insufficient or we may be unable to recover such award. Security incidents and attendant consequences may negatively impact our ability to grow and operate our business. The risk of a cybersecurity incident or other information technology disruption, particularly through cyber-attacks, has generally increased as the number, intensity and sophistication of attempted attacks and intrusions from around the world have increased.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disruption or security breach were to result in loss, destruction, unavailability, alteration or dissemination of, or damage to, our data (including clinical trial data) or applications, or for it to be believed or reported that any of these occurred, we could incur liability, including under laws and regulations governing the protection of protected health information and other personal data, and reputational damage and the development and commercialization of our product candidates could be delayed.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contractors, sites performing our clinical trials, third-party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or from cyber-attacks by malicious third parties, or ransomware attacks, which, in each case, may compromise our system infrastructure or lead to the loss, destruction, alteration or dissemination of, or damage to, our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hybrid-remote workforce may create additional risks for our information technology systems and data because our employees work remotely and utilize network connections, computers, and devices working at home, while in transit and in public locations.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third parties who we work with are or may become subject to numerous domestic and foreign laws, regulations, and standards relating to privacy, data protection, data transfer, and data security, the scope of which is changing, subject to differing applications and interpretations, and may be inconsistent among countries, or conflict with other rules. We are or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adverse U.S. legislative or regulatory tax changes that could negatively impact our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U.S. federal, state, and local income taxation are constantly under review by persons involved in the legislative process and by the Internal Revenue Service and the U.S. Treasury Department. Changes to tax laws (which may have retroactive application) could adversely affect our stockholders or us. We continue to assess the impact of various tax reform proposals and modifications to existing tax treaties in all jurisdictions where we have operations or employees to determine the potential effect on our business and any assumptions we make about our future taxable income. We cannot predict whether any specific proposals will be enacted, the terms of any such proposals or what effect, if any, such proposals would have on our business if they were to be enacted. For example, the United States enacted the IRA, which implements, among other changes, a 1% excise tax on certain stock buybacks. In addition, beginning in 2022, the Tax Cuts and Jobs Act eliminated the previously available option to deduct research and development expenditures and requires taxpayers to amortize them generally over five years for research activities conducted in the United States and over 15 years for research activities conducted outside the United States. Such changes, among others, may adversely affect our effective tax rate, results of operation and general business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acquire businesses or products, or form strategic alliances, in the future, and may not realize the benefits of such acquisitions.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maintain our cash at financial institutions, often in balances that exceed federally-insured limits. The failure of financial institutions could adversely affect our ability to pay our operational expenses or make other 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held in non-interest-bearing and interest-bearing accounts exceeds the Federal Deposit Insurance Corporation insurance limits. If such banking institutions were to fail, we could lose all or a portion of those amounts held in excess of such insurance limitations.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and cash equivalents could have an adverse effect on our ability to pay our operational expenses or make other payments, which could adversely affect our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estimates of market opportunity and forecasts of market growth may prove to be inaccurate, and even if the markets in which we compete achieve the forecasted growth, our business may not grow at similar rates, or at all.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opportunity estimates and growth forecasts are subject to significant uncertainty and are based on assumptions and estimates that may not prove to be 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exposed to costly and damaging product liability claims and our insurance may not cover all damages from such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potential product liability and professional indemnity risks that are inherent in the research, development, manufacturing, marketing, and use of pharmaceutical products. The use of a product candidate in clinical trials and the sale of any approved products in the future may expose us to liability claims. An individual or group of individuals may bring a liability claim against us if one of our product candidates causes, or merely appears to have caused, an injury, either at the clinical or commercial stage. Any claims against us, regardless of their merit, could be difficult and costly to defend and could materially and adversely affect our business. While we carry product liability insurance for our clinical trials, it is possible that any liabilities could exceed our insurance coverage or that in the future we may not be able to maintain insurance coverage at a reasonable cost or obtain insurance coverage that will be adequate to satisfy any liability that may arise. On occasion, large judgments have been awarded in class action or individual lawsuits. A successful product liability claim or series of claims brought against us could cause our stock price to decline and, if judgments exceed our insurance coverage, could decrease our cash and our business operations could be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costs and the outcome of litigation could have a material adverse effect on our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subject to litigation claims through the ordinary course of our business operations regarding, but not limited to, employment matters, security of patient and employee personal information, contractual relations with collaborators, and intellectual property rights. Litigation to defend ourselves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by economic downturns, inflation, fluctuation in interest rates, natural disasters, public health crises, political crises, geopolitical events or other macroeconomic conditions, which could have a material and adverse effect on our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economy, including credit and financial markets, has experienced and may experience in the future extreme volatility and disruptions, including, among other things, diminished liquidity and credit availability, declines in consumer confidence, declines in economic growth, supply chain shortages, new or increased tariffs, and other barriers to trade, especially in light of recent executive orders made by the Trump administration, trade and other international disputes, increases in inflation rates, fluctuation in interest rates, slower growth or recession, tighter credit, volatility in financial markets, high unemployment, labor availability constraints, public health crises, significant natural disasters, changes to fiscal and monetary policy, or government budget dynamics (particularly in the pharmaceutical and biotechnology areas), political and military conflict, and uncertainty about economic stability. Recently, the U.S. has announced tariffs on imports from most countries, including significant tariffs on imports from China.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There is substantial uncertainty about the duration of existing tariffs and whether additional tariffs may be imposed, modified or suspended. Fluctuation in interest rates, coupled with reduced government spending and volatility in financial markets, may increase economic uncertainty and affect consumer spending. Similarly, the ongoing military conflict between Russia and Ukraine and in the Middle East and rising tensions with China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economic or political uncertainty, political unrest or war, it may make any necessary debt or equity financing more costly, more dilutive, or more difficult to obtain in a timely manner or on favorable terms, if at all. Increased inflation rates can adversely affect us by increasing our costs, including materials, operational, labor and employee benefit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Geopolitical events and global economic conditions may also affect the ability of the FDA and other regulatory authorities to perform routine functions. If such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Owning Our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has been, and may continue to be, volatile.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has been and is likely to be highly volatile and is subject to significant fluctuations. Moreover, the stock markets in general have experienced substantial volatility that has often been unrelated to the operating performance of individual companies. These broad market fluctuations may also adversely affect the trading price of our common stock. For example, escalating trade tensions, elevated interest rates, and regulatory uncertainty have caused significant market volatility recently, and particularly in the biotechnology and biopharmaceutical industries.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market volatility may lead to securities litigation or increased stockholder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financial condition and cash flows. Class action securities litigation, if instituted, could result in substantial costs and diversion of management attention and resources, which could significantly harm our profitability and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factors that may cause the market price of our common stock to fluctuate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Timing and results of clinical trials and preclinical studies of our product candidates, or those of our competitors or our existing or future collaborators;</w:t>
            </w:r>
          </w:p>
        </w:tc>
      </w:tr>
    </w:tbl>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105"/>
        <w:gridCol w:w="200"/>
        <w:gridCol w:w="81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meet or exceed financial and development projections that we may provide to the public;</w:t>
            </w:r>
          </w:p>
        </w:tc>
      </w:tr>
    </w:tbl>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105"/>
        <w:gridCol w:w="200"/>
        <w:gridCol w:w="56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of significant or potential equity or debt sales by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Actions taken by regulatory agencies with respect to our product candidates, clinical studies, manufacturing process, or sales and marketing terms;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meet or exceed the financial and development projections of the investment community or if securities or industry analysts do not publish research or reports about our business, or if they issue adverse or misleading opinions regarding our business and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market, macroeconomic, geopolitical conditions, or market conditions in the pharmaceutical and biotechnology sectors;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of significant acquisitions, strategic collaborations, joint ventures, or capital commitments by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Disputes or other developments relating to proprietary rights, including patents, litigation matters, and our ability to obtain patent protection for our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105"/>
        <w:gridCol w:w="200"/>
        <w:gridCol w:w="72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 or departures of key personnel, including scientific or management personnel;</w:t>
            </w:r>
          </w:p>
        </w:tc>
      </w:tr>
    </w:tbl>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105"/>
        <w:gridCol w:w="200"/>
        <w:gridCol w:w="52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lawsuits, including patent or stockholder litigation;</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105"/>
        <w:gridCol w:w="200"/>
        <w:gridCol w:w="45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market valuations of similar companies;</w:t>
            </w:r>
          </w:p>
        </w:tc>
      </w:tr>
    </w:tbl>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105"/>
        <w:gridCol w:w="200"/>
        <w:gridCol w:w="77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of securities by us or our securityholders in the future, or the anticipation of such events;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raise an adequate amount of capital to fund our operations or continued development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105"/>
        <w:gridCol w:w="200"/>
        <w:gridCol w:w="32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Trading volume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by competitors of new products, clinical progress or lack thereof, significant contracts, commercial relationships, or capital commitments;</w:t>
            </w:r>
          </w:p>
        </w:tc>
      </w:tr>
    </w:tbl>
    <w:p>
      <w:pPr>
        <w:pStyle w:val="TextBody"/>
        <w:bidi w:val="0"/>
        <w:spacing w:before="0" w:after="0"/>
        <w:ind w:left="0" w:right="0" w:hanging="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105"/>
        <w:gridCol w:w="200"/>
        <w:gridCol w:w="82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introduction of technological innovations or new therapies that compete with our products; and</w:t>
            </w:r>
          </w:p>
        </w:tc>
      </w:tr>
    </w:tbl>
    <w:p>
      <w:pPr>
        <w:pStyle w:val="TextBody"/>
        <w:bidi w:val="0"/>
        <w:spacing w:before="0" w:after="0"/>
        <w:ind w:left="0" w:right="0" w:hanging="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105"/>
        <w:gridCol w:w="200"/>
        <w:gridCol w:w="43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Period-to-period fluctuations in our financial results.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certificate of incorporation and bylaws, as well as provisions under Delaware law, could make an acquisition of the company more difficult and may prevent attempts by our stockholders to replace or remove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current management by making it more difficult for stockholders to replace members of our board of directors. Among other things, these provisions:</w:t>
      </w:r>
    </w:p>
    <w:p>
      <w:pPr>
        <w:pStyle w:val="TextBody"/>
        <w:bidi w:val="0"/>
        <w:spacing w:before="0" w:after="0"/>
        <w:ind w:left="0" w:right="0" w:firstLine="360"/>
        <w:jc w:val="both"/>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105"/>
        <w:gridCol w:w="200"/>
        <w:gridCol w:w="83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a classified board of directors such that all members of the board are not elected at one time;</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105"/>
        <w:gridCol w:w="200"/>
        <w:gridCol w:w="85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Allow the authorized number of our directors to be changed only by resolution of our board of directors;</w:t>
            </w:r>
          </w:p>
        </w:tc>
      </w:tr>
    </w:tbl>
    <w:p>
      <w:pPr>
        <w:pStyle w:val="TextBody"/>
        <w:bidi w:val="0"/>
        <w:spacing w:before="0" w:after="0"/>
        <w:ind w:left="0" w:right="0" w:hanging="0"/>
        <w:jc w:val="center"/>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105"/>
        <w:gridCol w:w="200"/>
        <w:gridCol w:w="63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the manner in which stockholders can remove directors from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advance notice requirements for nominations for election to the board of directors or for proposing matters that can be acted on at stockholder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that stockholder actions must be effected at a duly called stockholder meeting and prohibit actions by our stockholders by written consent;</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105"/>
        <w:gridCol w:w="200"/>
        <w:gridCol w:w="44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who may call a special meeting of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the approval of the holders of at least 66 2/3% of the votes that all stockholders would be entitled to cast to amend or repeal certain provisions of our charter or bylaws.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because we are incorporated in Delaware, we are governed by the provisions of Section 203 of the Delaware General Corporation Law (“DGCL”), which prohibits stockholders owning more than 15% of our outstanding voting stock from merging or combining with us. Although we believe these provisions collectively will provide for an opportunity to receive higher bids by requiring potential acquirors to negotiate with our board of directors, they would apply even if the offer may be considered beneficial by some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governing documents provide that, unless we consent in writing to the selection of an alternative forum, certain designated courts will be the sole and exclusive forum for certain legal actions between us and our stockholders, which could limit our stockholders’ ability to obtain a favorable judicial forum for disputes with us or our directors, officers, employees or agents.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governing documents provide that, unless we consent in writing to an alternative forum, the Court of Chancery of the State of Delaware is the sole and exclusive forum for state law claims for (i) any derivative action or proceeding brought on our behalf, (ii) any action asserting a claim of or based on a breach of a fiduciary duty owed by any of our current or former directors, officers, or other employees or our stockholders, (iii) any action asserting a claim arising pursuant to any provision of the DGCL, the certificate of incorporation or the bylaws, (iv) any action to interpret, apply, enforce or determine the validity of the certificate of incorporation or bylaws, or (v)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Our governing documents further provide that, unless we consent in writing to an alternative forum, the federal district courts of the United States will be the exclusive forum for resolving any complaint asserting a cause of action arising under the Securities Act, which for purposes of this risk factor refers to herein as the “Federal Forum Provision”. Neither the Delaware Forum Provision nor the Federal Forum Provision will apply to any causes of action arising under the Exchange Act. In addition, any person or entity purchasing or otherwise acquiring any interest in shares of our capital stock will be deemed to have notice of and consented to the foregoing Delaware Forum Provision and Federal Forum Provision; provided, however, that stockholders cannot and will not be deemed to have waived our compliance with the U.S. federal securities laws and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Forum Provision and the Federal Forum Provision may impose additional litigation costs on our stockholders in pursuing any such claims, particularly if such stockholders do not reside in or near the State of Delaware. Additionally, these forum selection clauses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shares by existing stockholders, or the anticipation of such events, could cause our stock price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sell, or indicate an intention to sell, substantial amounts of our common stock in the public market, the trading price of our common stock could decline. In October 2025 we filed a registration statement on Form S-3 covering the resale of 39,425,806 shares of our common stock (including shares of common stock issuable upon the conversion of outstanding Series B Preferred Stock, or issuable upon the exercise of outstanding pre-funded warrants to purchase shares of common stock). The sale of these shares in the public market or the perception that holders of a large number of the securities intend to sell their securities could significantly reduce the price of our common stock. We cannot predict if and when the selling stockholders listed in the registration statement may sell such shares in the public markets. In addition, shares of our common stock that are subject to our outstanding options will become eligible for sale in the public market to the extent permitted by the provisions of various vesting agreements and Rules 144 and 701 under the Securities Act. Furthermore, in the future, we may issue additional shares of common stock or other equity or debt securities convertible into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anticipate that we will pay any cash dividends in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that we will pay any cash dividends in the foreseeable future. The current expectation is that we will retain our future earnings, if any, to fund the development and growth of our business. As a result, capital appreciation, if any, of our common stock will be your sole source of gain, if any, for the foreseeable future.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executive officers, directors, and principal stockholders have the ability to control or significantly influence all matters submitted to our stockholders for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directors, and principal stockholders beneficially own a significant percentage of our outstanding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our acquisition on terms that other stockholders may desire.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equity research analysts do not publish research or reports, or publish unfavorable research or reports about us, our business or our market, our stock price and trading volume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If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Plans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2026, no director or Section 16 officer adopted or terminated any Rule 10b5-1 trading arrangements or non-Rule 10b5-1 trading arrangements (in each case, as defined in Item 408(a) of Regulation S-K), except as disclosed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2026, Arjun Agarwal, our Senior Vice President – Finance and Treasurer, adopted a Rule 10b5-1 trading arrangement intended to satisfy the affirmative defense of Rule 10b5-1(c) for the sale of shares of our common stock over a period ending upon the earlier of when all shares under the plan are sold, or February 26, 2027, subject to certain conditions. This plan covers the sale of up to (i) 97,965 shares (ii) 100% of net vested RSUs from gross RSU grants of up to 4,375 shares and (iii) 100% of shares purchased pursuant to the ESPP on June 8, 2026 and December 8,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Carl Dambkowski, a director in our company, adopted a Rule 10b5-1 trading arrangement intended to satisfy the affirmative defense of Rule 10b5-1(c) for the sale of up to 140,000 shares of our common stock over a period ending upon the earlier of when all shares under the plan are sold, or May 31, 2027, subject to certain conditions.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6. Exhibits.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filed or furnished as part of this Quarterly Report are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0"/>
        <w:gridCol w:w="90"/>
        <w:gridCol w:w="6196"/>
        <w:gridCol w:w="90"/>
        <w:gridCol w:w="635"/>
        <w:gridCol w:w="90"/>
        <w:gridCol w:w="890"/>
        <w:gridCol w:w="90"/>
        <w:gridCol w:w="1204"/>
      </w:tblGrid>
      <w:tr>
        <w:trPr/>
        <w:tc>
          <w:tcPr>
            <w:tcW w:w="92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90" w:type="dxa"/>
            <w:tcBorders/>
            <w:tcMar>
              <w:bottom w:w="0" w:type="dxa"/>
            </w:tcMar>
            <w:vAlign w:val="center"/>
          </w:tcPr>
          <w:p>
            <w:pPr>
              <w:pStyle w:val="TableContents"/>
              <w:bidi w:val="0"/>
              <w:spacing w:before="0" w:after="283"/>
              <w:jc w:val="center"/>
              <w:rPr/>
            </w:pPr>
            <w:r>
              <w:rPr/>
              <w:t> </w:t>
            </w:r>
          </w:p>
        </w:tc>
        <w:tc>
          <w:tcPr>
            <w:tcW w:w="619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90" w:type="dxa"/>
            <w:tcBorders/>
            <w:tcMar>
              <w:bottom w:w="0" w:type="dxa"/>
            </w:tcMar>
            <w:vAlign w:val="center"/>
          </w:tcPr>
          <w:p>
            <w:pPr>
              <w:pStyle w:val="TableContents"/>
              <w:bidi w:val="0"/>
              <w:spacing w:before="0" w:after="283"/>
              <w:jc w:val="center"/>
              <w:rPr/>
            </w:pPr>
            <w:r>
              <w:rPr/>
              <w:t> </w:t>
            </w:r>
          </w:p>
        </w:tc>
        <w:tc>
          <w:tcPr>
            <w:tcW w:w="6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90" w:type="dxa"/>
            <w:tcBorders/>
            <w:tcMar>
              <w:bottom w:w="0" w:type="dxa"/>
            </w:tcMar>
            <w:vAlign w:val="center"/>
          </w:tcPr>
          <w:p>
            <w:pPr>
              <w:pStyle w:val="TableContents"/>
              <w:bidi w:val="0"/>
              <w:spacing w:before="0" w:after="283"/>
              <w:jc w:val="center"/>
              <w:rPr/>
            </w:pPr>
            <w:r>
              <w:rPr/>
              <w:t> </w:t>
            </w:r>
          </w:p>
        </w:tc>
        <w:tc>
          <w:tcPr>
            <w:tcW w:w="8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c>
          <w:tcPr>
            <w:tcW w:w="90" w:type="dxa"/>
            <w:tcBorders/>
            <w:tcMar>
              <w:bottom w:w="0" w:type="dxa"/>
            </w:tcMar>
            <w:vAlign w:val="center"/>
          </w:tcPr>
          <w:p>
            <w:pPr>
              <w:pStyle w:val="TableContents"/>
              <w:bidi w:val="0"/>
              <w:spacing w:before="0" w:after="283"/>
              <w:jc w:val="left"/>
              <w:rPr/>
            </w:pPr>
            <w:r>
              <w:rPr/>
              <w:t> </w:t>
            </w:r>
          </w:p>
        </w:tc>
        <w:tc>
          <w:tcPr>
            <w:tcW w:w="120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w:t>
              <w:br/>
              <w:t>DATE</w:t>
            </w:r>
          </w:p>
        </w:tc>
      </w:tr>
      <w:tr>
        <w:trPr/>
        <w:tc>
          <w:tcPr>
            <w:tcW w:w="9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pPr>
            <w:r>
              <w:rPr/>
              <w:t> </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sz w:val="20"/>
                </w:rPr>
                <w:t>Agreement and Plan of Merger and Reorganization, dated as of April 3, 2024, by and among ARCA biopharma, Inc., Atlas Merger Sub Corp., Atlas Merger Sub II, LLC and Oruka Therapeutics, Inc.</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3, 2024</w:t>
            </w:r>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Second Amended and Restated Certificate of Incorporation of the Company, filed September 3, 2024.</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5, 2024</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Amended and Restated Bylaws of the Company.</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5, 2024</w:t>
            </w:r>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sz w:val="20"/>
                </w:rPr>
                <w:t>Form of Certificate of Designation of Preferences, Rights and Limitations of Series A Convertible Preferred Stock.</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S-1/A</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3.1(b)</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24, 2013</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sz w:val="20"/>
                </w:rPr>
                <w:t>Certificate of Elimination of Series A Convertible Preferred Stock, effective August 29, 2024.</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5, 2024</w:t>
            </w:r>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sz w:val="20"/>
                </w:rPr>
                <w:t>Certificate of Designation of Preferences, Rights and Limitations of Series B Non-Voting Convertible Preferred Stock.</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5, 2024</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sz w:val="20"/>
                </w:rPr>
                <w:t>Certificate of Designation of Preferences, Rights and Limitations of Series A Non-Voting Convertible Preferred Stock.</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13, 2024</w:t>
            </w:r>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sz w:val="20"/>
                </w:rPr>
                <w:t>Description of Securities.</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6, 2025</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sz w:val="20"/>
                </w:rPr>
                <w:t>Form of Pre-Funded Warrant, dated August 29, 2024.</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6, 2025</w:t>
            </w:r>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sz w:val="20"/>
                </w:rPr>
                <w:t>Form of Pre-Funded Warrant, dated September 13, 2024.</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13, 2024</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Form of Pre-Funded Warrant, dated September 19, 2025.</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22, 2025</w:t>
            </w:r>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sz w:val="20"/>
                </w:rPr>
                <w:t>Paruka Warrant, dated December 31, 2024</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14, 2025</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Paruka Warrant, dated December 12, 2025</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12, 2026</w:t>
            </w:r>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both"/>
              <w:rPr/>
            </w:pPr>
            <w:hyperlink w:anchor="ea028775201ex31-1.htm">
              <w:r>
                <w:rPr>
                  <w:rStyle w:val="InternetLink"/>
                  <w:rFonts w:ascii="Times New Roman;Times;Serif" w:hAnsi="Times New Roman;Times;Serif"/>
                  <w:sz w:val="20"/>
                </w:rPr>
                <w:t>Certification of the Principal Executive Officer pursuant to Rule 13a-14(a) or 15d-14(a) promulgated under the Securities Exchange Act of 1934</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pPr>
            <w:r>
              <w:rPr/>
              <w:t> </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both"/>
              <w:rPr/>
            </w:pPr>
            <w:hyperlink w:anchor="ea028775201ex31-2.htm">
              <w:r>
                <w:rPr>
                  <w:rStyle w:val="InternetLink"/>
                  <w:rFonts w:ascii="Times New Roman;Times;Serif" w:hAnsi="Times New Roman;Times;Serif"/>
                  <w:sz w:val="20"/>
                </w:rPr>
                <w:t>Certification of the Principal Financial Officer pursuant to Rule 13a-14(a) or 15d-14(a) promulgated under the Securities Exchange Act of 1934</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pPr>
            <w:r>
              <w:rPr/>
              <w:t> </w:t>
            </w:r>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both"/>
              <w:rPr/>
            </w:pPr>
            <w:hyperlink w:anchor="ea028775201ex32-1.htm">
              <w:r>
                <w:rPr>
                  <w:rStyle w:val="InternetLink"/>
                  <w:rFonts w:ascii="Times New Roman;Times;Serif" w:hAnsi="Times New Roman;Times;Serif"/>
                  <w:sz w:val="20"/>
                </w:rPr>
                <w:t>Certification of the Principal Executive Officer and Principal Financial Officer pursuant to 18 U.S.C. Section 1350 and Rule 13a-14(B) promulgated under the Securities Exchange Act of 1934</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pPr>
            <w:r>
              <w:rPr/>
              <w:t> </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pPr>
            <w:r>
              <w:rPr/>
              <w:t> </w:t>
            </w:r>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with Embedded Linkbases Document</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pPr>
            <w:r>
              <w:rPr/>
              <w:t> </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pPr>
            <w:r>
              <w:rPr/>
              <w:t> </w:t>
            </w:r>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left"/>
              <w:rPr/>
            </w:pPr>
            <w:r>
              <w:rPr/>
              <w:t> </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pPr>
            <w:r>
              <w:rPr/>
              <w:t> </w:t>
            </w:r>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left"/>
              <w:rPr/>
            </w:pPr>
            <w:r>
              <w:rPr/>
              <w:t> </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170"/>
        <w:gridCol w:w="131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herewith. The certifications on Exhibit 32.1 hereto are deemed not “filed” for purposes of Section 18 of the Exchange Act or otherwise subject to the liability of that Section. Such certifications will not be deemed incorporated by reference into any filing under the Securities Act or the Exchange Act.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 and/or schedules have been omitted pursuant to Item 601(a)(5) of Regulation S-K. The Company hereby undertakes to furnish supplementally copies of any of the omitted exhibits and schedules upon request by the SEC; provided, however, that the Company may request confidential treatment pursuant to Rule 24b-2 under the Exchange Act for any exhibits or schedules so furnished. Certain portions of this exhibit (indicated by “***”) have been omitted because they are both (i) not material and (ii) is the type of information that the registrant both customarily and actually treats as private and confidential.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SIGNATURES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1685"/>
        <w:gridCol w:w="395"/>
        <w:gridCol w:w="3185"/>
      </w:tblGrid>
      <w:tr>
        <w:trPr/>
        <w:tc>
          <w:tcPr>
            <w:tcW w:w="1685" w:type="dxa"/>
            <w:tcBorders/>
            <w:vAlign w:val="center"/>
          </w:tcPr>
          <w:p>
            <w:pPr>
              <w:pStyle w:val="TableContents"/>
              <w:bidi w:val="0"/>
              <w:spacing w:before="0" w:after="283"/>
              <w:jc w:val="left"/>
              <w:rPr/>
            </w:pPr>
            <w:r>
              <w:rPr/>
              <w:t> </w:t>
            </w:r>
          </w:p>
        </w:tc>
        <w:tc>
          <w:tcPr>
            <w:tcW w:w="35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Oruka Therapeutics, Inc.</w:t>
            </w:r>
          </w:p>
        </w:tc>
      </w:tr>
      <w:tr>
        <w:trPr/>
        <w:tc>
          <w:tcPr>
            <w:tcW w:w="168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13, 2026</w:t>
            </w:r>
          </w:p>
        </w:tc>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31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Lawrence Klein</w:t>
            </w:r>
          </w:p>
        </w:tc>
      </w:tr>
      <w:tr>
        <w:trPr/>
        <w:tc>
          <w:tcPr>
            <w:tcW w:w="168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Lawrence Klein</w:t>
              <w:br/>
            </w:r>
            <w:r>
              <w:rPr>
                <w:rFonts w:ascii="Times New Roman;Times;Serif" w:hAnsi="Times New Roman;Times;Serif"/>
                <w:i/>
                <w:sz w:val="20"/>
              </w:rPr>
              <w:t>President and Chief Executive Officer</w:t>
              <w:b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5910" w:type="dxa"/>
        <w:jc w:val="left"/>
        <w:tblInd w:w="0" w:type="dxa"/>
        <w:tblLayout w:type="fixed"/>
        <w:tblCellMar>
          <w:top w:w="0" w:type="dxa"/>
          <w:left w:w="0" w:type="dxa"/>
          <w:bottom w:w="0" w:type="dxa"/>
          <w:right w:w="0" w:type="dxa"/>
        </w:tblCellMar>
      </w:tblPr>
      <w:tblGrid>
        <w:gridCol w:w="1685"/>
        <w:gridCol w:w="395"/>
        <w:gridCol w:w="3830"/>
      </w:tblGrid>
      <w:tr>
        <w:trPr/>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13, 2026</w:t>
            </w:r>
          </w:p>
        </w:tc>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38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Arjun Agarwal</w:t>
            </w:r>
          </w:p>
        </w:tc>
      </w:tr>
      <w:tr>
        <w:trPr/>
        <w:tc>
          <w:tcPr>
            <w:tcW w:w="168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Arjun Agarwal</w:t>
              <w:br/>
            </w:r>
            <w:r>
              <w:rPr>
                <w:rFonts w:ascii="Times New Roman;Times;Serif" w:hAnsi="Times New Roman;Times;Serif"/>
                <w:i/>
                <w:sz w:val="20"/>
              </w:rPr>
              <w:t>Senior Vice President, Finance and Treasurer</w:t>
              <w:br/>
              <w:t>(Principal Financial Officer and</w:t>
              <w:br/>
              <w:t>Principal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28775201ex31-1.htm"/>
      <w:bookmarkStart w:id="23" w:name="ksea028775201ex311"/>
      <w:bookmarkEnd w:id="22"/>
      <w:bookmarkEnd w:id="23"/>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br/>
        <w:t>RULES 13a-14(a) OR 15d-14(a) UNDER THE SECURITIES EXCHANGE ACT OF 1934,</w:t>
        <w:b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Lawrence Klein, certify that:</w:t>
      </w:r>
    </w:p>
    <w:p>
      <w:pPr>
        <w:pStyle w:val="TextBody"/>
        <w:bidi w:val="0"/>
        <w:spacing w:before="0" w:after="0"/>
        <w:ind w:left="0"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185"/>
        <w:gridCol w:w="653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 have reviewed this Quarterly Report on Form 10-Q of Oruka Therapeutics, Inc.;</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235" w:type="dxa"/>
        <w:jc w:val="left"/>
        <w:tblInd w:w="0" w:type="dxa"/>
        <w:tblLayout w:type="fixed"/>
        <w:tblCellMar>
          <w:top w:w="0" w:type="dxa"/>
          <w:left w:w="0" w:type="dxa"/>
          <w:bottom w:w="0" w:type="dxa"/>
          <w:right w:w="0" w:type="dxa"/>
        </w:tblCellMar>
      </w:tblPr>
      <w:tblGrid>
        <w:gridCol w:w="1655"/>
        <w:gridCol w:w="365"/>
        <w:gridCol w:w="3215"/>
      </w:tblGrid>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13,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32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Lawrence Klein</w:t>
            </w:r>
          </w:p>
        </w:tc>
      </w:tr>
      <w:tr>
        <w:trPr/>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Lawrence Klein</w:t>
            </w:r>
          </w:p>
        </w:tc>
      </w:tr>
      <w:tr>
        <w:trPr/>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President and Chief Executive Officer</w:t>
              <w:br/>
            </w:r>
            <w:r>
              <w:rPr>
                <w:rFonts w:ascii="Times New Roman;Times;Serif" w:hAnsi="Times New Roman;Times;Serif"/>
                <w:i/>
                <w:sz w:val="20"/>
              </w:rPr>
              <w:t>(Principal Executive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28775201ex31-2.htm"/>
      <w:bookmarkStart w:id="25" w:name="ksea028775201ex312"/>
      <w:bookmarkEnd w:id="24"/>
      <w:bookmarkEnd w:id="25"/>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br/>
        <w:t>RULES 13a-14(a) OR 15d-14(a) UNDER THE SECURITIES EXCHANGE ACT OF 1934,</w:t>
        <w:b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Arjun Agarwal, certify that:</w:t>
      </w:r>
    </w:p>
    <w:p>
      <w:pPr>
        <w:pStyle w:val="TextBody"/>
        <w:bidi w:val="0"/>
        <w:spacing w:before="0" w:after="0"/>
        <w:ind w:left="490" w:right="0" w:hanging="49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185"/>
        <w:gridCol w:w="653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Oruka Therapeutics, Inc.;</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865" w:type="dxa"/>
        <w:jc w:val="left"/>
        <w:tblInd w:w="0" w:type="dxa"/>
        <w:tblLayout w:type="fixed"/>
        <w:tblCellMar>
          <w:top w:w="0" w:type="dxa"/>
          <w:left w:w="0" w:type="dxa"/>
          <w:bottom w:w="0" w:type="dxa"/>
          <w:right w:w="0" w:type="dxa"/>
        </w:tblCellMar>
      </w:tblPr>
      <w:tblGrid>
        <w:gridCol w:w="1655"/>
        <w:gridCol w:w="320"/>
        <w:gridCol w:w="3890"/>
      </w:tblGrid>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Arjun Agarwal</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Arjun Agarwal</w:t>
              <w:br/>
              <w:t>Senior Vice President, Finance and Treasurer</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(Principal Financial Officer and </w:t>
              <w:br/>
              <w:t>Principal Accounting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a028775201ex32-1.htm"/>
      <w:bookmarkStart w:id="27" w:name="ksea028775201ex321"/>
      <w:bookmarkEnd w:id="26"/>
      <w:bookmarkEnd w:id="27"/>
      <w:r>
        <w:rPr>
          <w:rFonts w:ascii="Times New Roman;Times;Serif" w:hAnsi="Times New Roman;Times;Serif"/>
          <w:b/>
          <w:i w:val="false"/>
          <w:caps w:val="false"/>
          <w:smallCaps w:val="false"/>
          <w:sz w:val="20"/>
        </w:rPr>
        <w:t>Exhibit 32.1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br/>
        <w:t>18 U.S.C. SECTION 1350, AS ADOPTED PURSUANT TO</w:t>
        <w:b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Oruka Therapeutics, Inc. (the “Company”) for the quarterly period ending March 31, 2026, as filed with the Securities and Exchange Commission on the date hereof (the “Report”), each of the undersigned officers of the Company hereby certifies, pursuant to 18 U.S.C. § 1350, as adopted pursuant to § 906 of the Sarbanes-Oxley Act of 2002, that to the best of his knowledge:</w:t>
      </w:r>
    </w:p>
    <w:p>
      <w:pPr>
        <w:pStyle w:val="TextBody"/>
        <w:bidi w:val="0"/>
        <w:spacing w:before="0" w:after="0"/>
        <w:ind w:left="979" w:right="0" w:hanging="49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245"/>
        <w:gridCol w:w="960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490" w:right="0" w:hanging="490"/>
        <w:jc w:val="left"/>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1655"/>
        <w:gridCol w:w="320"/>
        <w:gridCol w:w="3215"/>
      </w:tblGrid>
      <w:tr>
        <w:trPr/>
        <w:tc>
          <w:tcPr>
            <w:tcW w:w="1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13, 2026</w:t>
            </w:r>
          </w:p>
        </w:tc>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1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Lawrence Klein</w:t>
            </w:r>
          </w:p>
        </w:tc>
      </w:tr>
      <w:tr>
        <w:trPr/>
        <w:tc>
          <w:tcPr>
            <w:tcW w:w="165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32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Lawrence Klein</w:t>
            </w:r>
          </w:p>
        </w:tc>
      </w:tr>
      <w:tr>
        <w:trPr/>
        <w:tc>
          <w:tcPr>
            <w:tcW w:w="165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3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President and Chief Executive Officer</w:t>
            </w:r>
            <w:r>
              <w:rPr>
                <w:rFonts w:ascii="Times New Roman;Times;Serif" w:hAnsi="Times New Roman;Times;Serif"/>
                <w:sz w:val="20"/>
              </w:rPr>
              <w:br/>
            </w:r>
            <w:r>
              <w:rPr>
                <w:rFonts w:ascii="Times New Roman;Times;Serif" w:hAnsi="Times New Roman;Times;Serif"/>
                <w:i/>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5865" w:type="dxa"/>
        <w:jc w:val="left"/>
        <w:tblInd w:w="0" w:type="dxa"/>
        <w:tblLayout w:type="fixed"/>
        <w:tblCellMar>
          <w:top w:w="0" w:type="dxa"/>
          <w:left w:w="0" w:type="dxa"/>
          <w:bottom w:w="0" w:type="dxa"/>
          <w:right w:w="0" w:type="dxa"/>
        </w:tblCellMar>
      </w:tblPr>
      <w:tblGrid>
        <w:gridCol w:w="1655"/>
        <w:gridCol w:w="320"/>
        <w:gridCol w:w="3890"/>
      </w:tblGrid>
      <w:tr>
        <w:trPr/>
        <w:tc>
          <w:tcPr>
            <w:tcW w:w="1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13, 2026</w:t>
            </w:r>
          </w:p>
        </w:tc>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9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Arjun Agarwal</w:t>
            </w:r>
          </w:p>
        </w:tc>
      </w:tr>
      <w:tr>
        <w:trPr/>
        <w:tc>
          <w:tcPr>
            <w:tcW w:w="165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389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Arjun Agarwal</w:t>
            </w:r>
          </w:p>
        </w:tc>
      </w:tr>
      <w:tr>
        <w:trPr/>
        <w:tc>
          <w:tcPr>
            <w:tcW w:w="165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Senior Vice President, Finance and Treasurer</w:t>
            </w:r>
            <w:r>
              <w:rPr>
                <w:rFonts w:ascii="Times New Roman;Times;Serif" w:hAnsi="Times New Roman;Times;Serif"/>
                <w:sz w:val="20"/>
              </w:rPr>
              <w:br/>
            </w:r>
            <w:r>
              <w:rPr>
                <w:rFonts w:ascii="Times New Roman;Times;Serif" w:hAnsi="Times New Roman;Times;Serif"/>
                <w:i/>
                <w:sz w:val="20"/>
              </w:rPr>
              <w:t xml:space="preserve">(Principal Financial Officer and </w:t>
              <w:br/>
              <w:t>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solely to accompany the Report pursuant to 18 U.S.C.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 signed original of this written statement required by §906 has been provided to Oruka Therapeutics, Inc. and will be retained by Oruka Therapeutics, Inc.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907654/000119312524085437/d794675dex21.htm" TargetMode="External"/><Relationship Id="rId3" Type="http://schemas.openxmlformats.org/officeDocument/2006/relationships/hyperlink" Target="http://www.sec.gov/Archives/edgar/data/907654/000121390024076184/ea021319301ex3-5_oruka.htm" TargetMode="External"/><Relationship Id="rId4" Type="http://schemas.openxmlformats.org/officeDocument/2006/relationships/hyperlink" Target="http://www.sec.gov/Archives/edgar/data/907654/000121390024076184/ea021319301ex3-6_oruka.htm" TargetMode="External"/><Relationship Id="rId5" Type="http://schemas.openxmlformats.org/officeDocument/2006/relationships/hyperlink" Target="http://www.sec.gov/Archives/edgar/data/907654/000119312513233692/d507513dex31b.htm" TargetMode="External"/><Relationship Id="rId6" Type="http://schemas.openxmlformats.org/officeDocument/2006/relationships/hyperlink" Target="http://www.sec.gov/Archives/edgar/data/907654/000121390024076184/ea021319301ex3-8_oruka.htm" TargetMode="External"/><Relationship Id="rId7" Type="http://schemas.openxmlformats.org/officeDocument/2006/relationships/hyperlink" Target="http://www.sec.gov/Archives/edgar/data/907654/000121390024076184/ea021319301ex3-9_oruka.htm" TargetMode="External"/><Relationship Id="rId8" Type="http://schemas.openxmlformats.org/officeDocument/2006/relationships/hyperlink" Target="http://www.sec.gov/Archives/edgar/data/907654/000121390024078549/ea021443901ex3-1_oruka.htm" TargetMode="External"/><Relationship Id="rId9" Type="http://schemas.openxmlformats.org/officeDocument/2006/relationships/hyperlink" Target="https://www.sec.gov/Archives/edgar/data/907654/000121390025021165/ea023044501ex4-1_orukathe.htm" TargetMode="External"/><Relationship Id="rId10" Type="http://schemas.openxmlformats.org/officeDocument/2006/relationships/hyperlink" Target="https://www.sec.gov/Archives/edgar/data/907654/000121390025021165/ea023044501ex4-3_orukathe.htm" TargetMode="External"/><Relationship Id="rId11" Type="http://schemas.openxmlformats.org/officeDocument/2006/relationships/hyperlink" Target="http://www.sec.gov/Archives/edgar/data/907654/000121390024078549/ea021443901ex4-1_oruka.htm" TargetMode="External"/><Relationship Id="rId12" Type="http://schemas.openxmlformats.org/officeDocument/2006/relationships/hyperlink" Target="https://www.sec.gov/Archives/edgar/data/907654/000121390025090129/ea025786501ex4-1_oruka.htm" TargetMode="External"/><Relationship Id="rId13" Type="http://schemas.openxmlformats.org/officeDocument/2006/relationships/hyperlink" Target="https://www.sec.gov/Archives/edgar/data/907654/000121390025043279/ea023989801ex4-5_oruka.htm" TargetMode="External"/><Relationship Id="rId14" Type="http://schemas.openxmlformats.org/officeDocument/2006/relationships/hyperlink" Target="https://www.sec.gov/Archives/edgar/data/907654/000121390026026929/ea027330001ex4-6_oruka.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40404</Words>
  <Characters>226776</Characters>
  <CharactersWithSpaces>269095</CharactersWithSpaces>
  <Paragraphs>6684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