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16929-10q_oruka.htm"/>
      <w:bookmarkStart w:id="1" w:name="ksea021692910q_oruka"/>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September 30,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 to 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000-22873</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28" w:type="dxa"/>
          <w:right w:w="0" w:type="dxa"/>
        </w:tblCellMar>
      </w:tblPr>
      <w:tblGrid>
        <w:gridCol w:w="3215"/>
        <w:gridCol w:w="60"/>
        <w:gridCol w:w="1535"/>
      </w:tblGrid>
      <w:tr>
        <w:trPr/>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36-3855489</w:t>
            </w:r>
          </w:p>
        </w:tc>
      </w:tr>
      <w:tr>
        <w:trPr/>
        <w:tc>
          <w:tcPr>
            <w:tcW w:w="3215" w:type="dxa"/>
            <w:tcBorders/>
            <w:tcMar>
              <w:bottom w:w="0"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3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855 Oak Grove Avenue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Suite 100</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Menlo Park, California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pPr>
            <w:r>
              <w:rPr>
                <w:b/>
              </w:rPr>
              <w:t>94025</w:t>
            </w:r>
            <w:r>
              <w:rPr/>
              <w:t xml:space="preserve"> </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606-7910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30" w:type="dxa"/>
        <w:jc w:val="left"/>
        <w:tblInd w:w="0" w:type="dxa"/>
        <w:tblLayout w:type="fixed"/>
        <w:tblCellMar>
          <w:top w:w="0" w:type="dxa"/>
          <w:left w:w="0" w:type="dxa"/>
          <w:bottom w:w="28" w:type="dxa"/>
          <w:right w:w="0" w:type="dxa"/>
        </w:tblCellMar>
      </w:tblPr>
      <w:tblGrid>
        <w:gridCol w:w="3485"/>
        <w:gridCol w:w="60"/>
        <w:gridCol w:w="1535"/>
        <w:gridCol w:w="60"/>
        <w:gridCol w:w="3590"/>
      </w:tblGrid>
      <w:tr>
        <w:trPr/>
        <w:tc>
          <w:tcPr>
            <w:tcW w:w="348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ORKA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31, 2024, there were 34,998,550 shares of the registrant’s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725"/>
        <w:gridCol w:w="8345"/>
        <w:gridCol w:w="455"/>
      </w:tblGrid>
      <w:tr>
        <w:trPr/>
        <w:tc>
          <w:tcPr>
            <w:tcW w:w="72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725" w:type="dxa"/>
            <w:tcBorders/>
            <w:shd w:fill="CCEEFF" w:val="clear"/>
            <w:vAlign w:val="center"/>
          </w:tcPr>
          <w:p>
            <w:pPr>
              <w:pStyle w:val="TableContents"/>
              <w:bidi w:val="0"/>
              <w:spacing w:before="0" w:after="283"/>
              <w:jc w:val="left"/>
              <w:rPr/>
            </w:pPr>
            <w:r>
              <w:rPr/>
              <w:t> </w:t>
            </w:r>
          </w:p>
        </w:tc>
        <w:tc>
          <w:tcPr>
            <w:tcW w:w="834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sz w:val="20"/>
                </w:rPr>
                <w:t>PART I. Financial Information</w:t>
              </w:r>
            </w:hyperlink>
          </w:p>
        </w:tc>
        <w:tc>
          <w:tcPr>
            <w:tcW w:w="455" w:type="dxa"/>
            <w:tcBorders/>
            <w:shd w:fill="CCEEFF" w:val="clear"/>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345"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Financial Statements (Unaudited)</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25" w:type="dxa"/>
            <w:tcBorders/>
            <w:shd w:fill="CCEEFF" w:val="clear"/>
            <w:vAlign w:val="center"/>
          </w:tcPr>
          <w:p>
            <w:pPr>
              <w:pStyle w:val="TableContents"/>
              <w:bidi w:val="0"/>
              <w:spacing w:before="0" w:after="283"/>
              <w:jc w:val="left"/>
              <w:rPr/>
            </w:pPr>
            <w:r>
              <w:rPr/>
              <w:t> </w:t>
            </w:r>
          </w:p>
        </w:tc>
        <w:tc>
          <w:tcPr>
            <w:tcW w:w="834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Balance Sheets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2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Condensed Consolidated Statements of Operations and Comprehensive Loss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725" w:type="dxa"/>
            <w:tcBorders/>
            <w:shd w:fill="CCEEFF" w:val="clear"/>
            <w:vAlign w:val="center"/>
          </w:tcPr>
          <w:p>
            <w:pPr>
              <w:pStyle w:val="TableContents"/>
              <w:bidi w:val="0"/>
              <w:spacing w:before="0" w:after="283"/>
              <w:jc w:val="left"/>
              <w:rPr/>
            </w:pPr>
            <w:r>
              <w:rPr/>
              <w:t> </w:t>
            </w:r>
          </w:p>
        </w:tc>
        <w:tc>
          <w:tcPr>
            <w:tcW w:w="834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of Convertible Preferred Stock and Stockholders’ Equity (Deficit)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72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Condensed Consolidated Statement of Cash Flows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725" w:type="dxa"/>
            <w:tcBorders/>
            <w:shd w:fill="CCEEFF" w:val="clear"/>
            <w:vAlign w:val="center"/>
          </w:tcPr>
          <w:p>
            <w:pPr>
              <w:pStyle w:val="TableContents"/>
              <w:bidi w:val="0"/>
              <w:spacing w:before="0" w:after="283"/>
              <w:jc w:val="left"/>
              <w:rPr/>
            </w:pPr>
            <w:r>
              <w:rPr/>
              <w:t> </w:t>
            </w:r>
          </w:p>
        </w:tc>
        <w:tc>
          <w:tcPr>
            <w:tcW w:w="834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Notes to Condensed Consolidated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345"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834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8345"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Controls and Procedures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725" w:type="dxa"/>
            <w:tcBorders/>
            <w:shd w:fill="CCEEFF" w:val="clear"/>
            <w:vAlign w:val="center"/>
          </w:tcPr>
          <w:p>
            <w:pPr>
              <w:pStyle w:val="TableContents"/>
              <w:bidi w:val="0"/>
              <w:spacing w:before="0" w:after="283"/>
              <w:jc w:val="left"/>
              <w:rPr/>
            </w:pPr>
            <w:r>
              <w:rPr/>
              <w:t> </w:t>
            </w:r>
          </w:p>
        </w:tc>
        <w:tc>
          <w:tcPr>
            <w:tcW w:w="8345" w:type="dxa"/>
            <w:tcBorders/>
            <w:shd w:fill="CCEEFF" w:val="clear"/>
            <w:vAlign w:val="center"/>
          </w:tcPr>
          <w:p>
            <w:pPr>
              <w:pStyle w:val="TableContents"/>
              <w:bidi w:val="0"/>
              <w:spacing w:before="0" w:after="283"/>
              <w:jc w:val="center"/>
              <w:rPr/>
            </w:pPr>
            <w:hyperlink w:anchor="a_011">
              <w:r>
                <w:rPr>
                  <w:rStyle w:val="InternetLink"/>
                  <w:rFonts w:ascii="Times New Roman;Times;Serif" w:hAnsi="Times New Roman;Times;Serif"/>
                  <w:sz w:val="20"/>
                </w:rPr>
                <w:t>PART II. Other Information</w:t>
              </w:r>
            </w:hyperlink>
          </w:p>
        </w:tc>
        <w:tc>
          <w:tcPr>
            <w:tcW w:w="455" w:type="dxa"/>
            <w:tcBorders/>
            <w:shd w:fill="CCEEFF" w:val="clear"/>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345"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Legal Proceedings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834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345"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Unregistered Sales of Equity Securities and Use of Proceeds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834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Defaults Upon Senior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8345"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Mine Safety Disclosures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834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8345" w:type="dxa"/>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Exhibits</w:t>
              </w:r>
            </w:hyperlink>
          </w:p>
        </w:tc>
        <w:tc>
          <w:tcPr>
            <w:tcW w:w="455" w:type="dxa"/>
            <w:tcBorders/>
            <w:vAlign w:val="center"/>
          </w:tcPr>
          <w:p>
            <w:pPr>
              <w:pStyle w:val="TableContents"/>
              <w:bidi w:val="0"/>
              <w:spacing w:before="0" w:after="283"/>
              <w:jc w:val="center"/>
              <w:rPr/>
            </w:pPr>
            <w:r>
              <w:rPr/>
              <w:t>72</w:t>
            </w:r>
          </w:p>
        </w:tc>
      </w:tr>
      <w:tr>
        <w:trPr/>
        <w:tc>
          <w:tcPr>
            <w:tcW w:w="9070" w:type="dxa"/>
            <w:gridSpan w:val="2"/>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Signatures</w:t>
              </w:r>
            </w:hyperlink>
          </w:p>
        </w:tc>
        <w:tc>
          <w:tcPr>
            <w:tcW w:w="455" w:type="dxa"/>
            <w:tcBorders/>
            <w:shd w:fill="CCEEFF" w:val="clear"/>
            <w:vAlign w:val="center"/>
          </w:tcPr>
          <w:p>
            <w:pPr>
              <w:pStyle w:val="TableContents"/>
              <w:bidi w:val="0"/>
              <w:spacing w:before="0" w:after="283"/>
              <w:jc w:val="center"/>
              <w:rPr/>
            </w:pPr>
            <w:r>
              <w:rPr/>
              <w:t>73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ORUKA THERAPEUTICS, INC.</w:t>
        <w:br/>
        <w:t>CONDENSED CONSOLIDATED BALANCE SHEETS</w:t>
        <w:br/>
        <w:t>(UNAUDITED)</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73"/>
        <w:gridCol w:w="60"/>
        <w:gridCol w:w="186"/>
        <w:gridCol w:w="1044"/>
        <w:gridCol w:w="80"/>
        <w:gridCol w:w="60"/>
        <w:gridCol w:w="171"/>
        <w:gridCol w:w="854"/>
        <w:gridCol w:w="77"/>
      </w:tblGrid>
      <w:tr>
        <w:trPr/>
        <w:tc>
          <w:tcPr>
            <w:tcW w:w="7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30, </w:t>
              <w:b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February 6,</w:t>
              <w:br/>
              <w:t>2024</w:t>
            </w:r>
          </w:p>
        </w:tc>
        <w:tc>
          <w:tcPr>
            <w:tcW w:w="77" w:type="dxa"/>
            <w:tcBorders/>
            <w:vAlign w:val="center"/>
          </w:tcPr>
          <w:p>
            <w:pPr>
              <w:pStyle w:val="TableContents"/>
              <w:bidi w:val="0"/>
              <w:spacing w:before="0" w:after="283"/>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assets:</w:t>
            </w:r>
          </w:p>
        </w:tc>
        <w:tc>
          <w:tcPr>
            <w:tcW w:w="6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Subscription receivable</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412,949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60" w:type="dxa"/>
            <w:tcBorders/>
            <w:vAlign w:val="center"/>
          </w:tcPr>
          <w:p>
            <w:pPr>
              <w:pStyle w:val="TableContents"/>
              <w:bidi w:val="0"/>
              <w:spacing w:before="0" w:after="283"/>
              <w:jc w:val="left"/>
              <w:rPr/>
            </w:pPr>
            <w:r>
              <w:rPr/>
              <w:t> </w:t>
            </w:r>
          </w:p>
        </w:tc>
        <w:tc>
          <w:tcPr>
            <w:tcW w:w="186"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414,090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 Convertible Preferred Stock and Stockholders’ Equity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liability, current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common stock warrant liability</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7,681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accounts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18,039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liability, non-current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18,881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tcMar>
              <w:bottom w:w="28" w:type="dxa"/>
            </w:tcMar>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 and contingencies (Note 11)</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0"/>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right"/>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A convertible preferred stock, $0.0001 par value; no shares and 20,000,000 shares authorized as of September 30, 2024 and February 6, 2024, respectively; no shares issued and outstanding as of September 30, 2024 and February 6, 2024; liquidation preference of $0 as of September 30, 2024 and February 6, 2024</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A non-voting convertible preferred stock, $0.001 par value; 2,439 and no shares authorized as of September 30, 2024 and February 6, 2024, respectively; 2,439 and no shares issued and outstanding as of September 30, 2024 and February 6, 2024, respectively</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52,841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B non-voting convertible preferred stock, $0.001 par value; 251,504 and no shares authorized as of September 30, 2024 and February 6, 2024, respectively; 137,138 and no shares issued and outstanding as of September 30, 2024 and February 6, 2024, respectively</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$0.001 and $0.001 par value as of September 30, 2024 and February 6, 2024, respectively; 545,000,000 and 65,000,000 shares authorized, 34,998,550 and 3,197,975 shares issued and outstanding as of September 30, 2024 and February 6, 2024, respectively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397,345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342,368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77" w:type="dxa"/>
            <w:tcBorders/>
            <w:vAlign w:val="center"/>
          </w:tcPr>
          <w:p>
            <w:pPr>
              <w:pStyle w:val="TableContents"/>
              <w:bidi w:val="0"/>
              <w:spacing w:before="0" w:after="283"/>
              <w:ind w:left="0" w:right="0" w:hanging="180"/>
              <w:jc w:val="left"/>
              <w:rPr/>
            </w:pPr>
            <w:r>
              <w:rPr/>
              <w:t> </w:t>
            </w:r>
          </w:p>
        </w:tc>
      </w:tr>
      <w:tr>
        <w:trPr/>
        <w:tc>
          <w:tcPr>
            <w:tcW w:w="76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 convertible preferred stock and stockholders’ equity</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ORUKA THERAPEUTICS, INC.</w:t>
        <w:br/>
        <w:t>CONDENSED CONSOLIDATED STATEMENTS OF OPERATIONS AND COMPREHENSIVE LOSS</w:t>
        <w:br/>
        <w:t>(UNAUDITED)</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70"/>
        <w:gridCol w:w="60"/>
        <w:gridCol w:w="198"/>
        <w:gridCol w:w="1566"/>
        <w:gridCol w:w="95"/>
        <w:gridCol w:w="60"/>
        <w:gridCol w:w="180"/>
        <w:gridCol w:w="1263"/>
        <w:gridCol w:w="113"/>
      </w:tblGrid>
      <w:tr>
        <w:trPr/>
        <w:tc>
          <w:tcPr>
            <w:tcW w:w="6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 xml:space="preserve">September 30,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February 6,</w:t>
              <w:br/>
              <w:t xml:space="preserve">2024 </w:t>
              <w:br/>
              <w:t>(Inception) to</w:t>
              <w:br/>
              <w:t xml:space="preserve">September 30, </w:t>
              <w:br/>
              <w:t>2024</w:t>
            </w:r>
          </w:p>
        </w:tc>
        <w:tc>
          <w:tcPr>
            <w:tcW w:w="113" w:type="dxa"/>
            <w:tcBorders/>
            <w:vAlign w:val="center"/>
          </w:tcPr>
          <w:p>
            <w:pPr>
              <w:pStyle w:val="TableContents"/>
              <w:bidi w:val="0"/>
              <w:spacing w:before="0" w:after="283"/>
              <w:jc w:val="left"/>
              <w:rPr/>
            </w:pPr>
            <w:r>
              <w:rPr/>
              <w:t> </w:t>
            </w:r>
          </w:p>
        </w:tc>
      </w:tr>
      <w:tr>
        <w:trPr/>
        <w:tc>
          <w:tcPr>
            <w:tcW w:w="6670"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7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3"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66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566" w:type="dxa"/>
            <w:tcBorders/>
            <w:shd w:fill="CCEEFF" w:val="clear"/>
            <w:vAlign w:val="center"/>
          </w:tcPr>
          <w:p>
            <w:pPr>
              <w:pStyle w:val="TableContents"/>
              <w:bidi w:val="0"/>
              <w:spacing w:before="0" w:after="283"/>
              <w:jc w:val="right"/>
              <w:rPr/>
            </w:pPr>
            <w:r>
              <w:rPr/>
              <w:t>25,691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3" w:type="dxa"/>
            <w:tcBorders/>
            <w:shd w:fill="CCEEFF" w:val="clear"/>
            <w:vAlign w:val="center"/>
          </w:tcPr>
          <w:p>
            <w:pPr>
              <w:pStyle w:val="TableContents"/>
              <w:bidi w:val="0"/>
              <w:spacing w:before="0" w:after="283"/>
              <w:jc w:val="right"/>
              <w:rPr/>
            </w:pPr>
            <w:r>
              <w:rPr/>
              <w:t>49,557</w:t>
            </w:r>
          </w:p>
        </w:tc>
        <w:tc>
          <w:tcPr>
            <w:tcW w:w="113" w:type="dxa"/>
            <w:tcBorders/>
            <w:shd w:fill="CCEEFF" w:val="clear"/>
            <w:vAlign w:val="center"/>
          </w:tcPr>
          <w:p>
            <w:pPr>
              <w:pStyle w:val="TableContents"/>
              <w:bidi w:val="0"/>
              <w:spacing w:before="0" w:after="283"/>
              <w:jc w:val="left"/>
              <w:rPr/>
            </w:pPr>
            <w:r>
              <w:rPr/>
              <w:t> </w:t>
            </w:r>
          </w:p>
        </w:tc>
      </w:tr>
      <w:tr>
        <w:trPr/>
        <w:tc>
          <w:tcPr>
            <w:tcW w:w="6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(2)</w:t>
            </w:r>
          </w:p>
        </w:tc>
        <w:tc>
          <w:tcPr>
            <w:tcW w:w="6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566" w:type="dxa"/>
            <w:tcBorders>
              <w:bottom w:val="single" w:sz="12" w:space="0" w:color="000000"/>
            </w:tcBorders>
            <w:tcMar>
              <w:bottom w:w="28" w:type="dxa"/>
            </w:tcMar>
            <w:vAlign w:val="center"/>
          </w:tcPr>
          <w:p>
            <w:pPr>
              <w:pStyle w:val="TableContents"/>
              <w:bidi w:val="0"/>
              <w:spacing w:before="0" w:after="283"/>
              <w:jc w:val="right"/>
              <w:rPr/>
            </w:pPr>
            <w:r>
              <w:rPr/>
              <w:t>3,758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tcMar>
              <w:bottom w:w="28" w:type="dxa"/>
            </w:tcMar>
            <w:vAlign w:val="center"/>
          </w:tcPr>
          <w:p>
            <w:pPr>
              <w:pStyle w:val="TableContents"/>
              <w:bidi w:val="0"/>
              <w:spacing w:before="0" w:after="283"/>
              <w:jc w:val="right"/>
              <w:rPr/>
            </w:pPr>
            <w:r>
              <w:rPr/>
              <w:t>8,248</w:t>
            </w:r>
          </w:p>
        </w:tc>
        <w:tc>
          <w:tcPr>
            <w:tcW w:w="113" w:type="dxa"/>
            <w:tcBorders/>
            <w:vAlign w:val="center"/>
          </w:tcPr>
          <w:p>
            <w:pPr>
              <w:pStyle w:val="TableContents"/>
              <w:bidi w:val="0"/>
              <w:spacing w:before="0" w:after="283"/>
              <w:jc w:val="left"/>
              <w:rPr/>
            </w:pPr>
            <w:r>
              <w:rPr/>
              <w:t> </w:t>
            </w:r>
          </w:p>
        </w:tc>
      </w:tr>
      <w:tr>
        <w:trPr/>
        <w:tc>
          <w:tcPr>
            <w:tcW w:w="667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66" w:type="dxa"/>
            <w:tcBorders>
              <w:bottom w:val="single" w:sz="12" w:space="0" w:color="000000"/>
            </w:tcBorders>
            <w:shd w:fill="CCEEFF" w:val="clear"/>
            <w:tcMar>
              <w:bottom w:w="28" w:type="dxa"/>
            </w:tcMar>
            <w:vAlign w:val="center"/>
          </w:tcPr>
          <w:p>
            <w:pPr>
              <w:pStyle w:val="TableContents"/>
              <w:bidi w:val="0"/>
              <w:spacing w:before="0" w:after="283"/>
              <w:jc w:val="right"/>
              <w:rPr/>
            </w:pPr>
            <w:r>
              <w:rPr/>
              <w:t>29,449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57,805</w:t>
            </w:r>
          </w:p>
        </w:tc>
        <w:tc>
          <w:tcPr>
            <w:tcW w:w="113" w:type="dxa"/>
            <w:tcBorders/>
            <w:shd w:fill="CCEEFF" w:val="clear"/>
            <w:vAlign w:val="center"/>
          </w:tcPr>
          <w:p>
            <w:pPr>
              <w:pStyle w:val="TableContents"/>
              <w:bidi w:val="0"/>
              <w:spacing w:before="0" w:after="283"/>
              <w:jc w:val="left"/>
              <w:rPr/>
            </w:pPr>
            <w:r>
              <w:rPr/>
              <w:t> </w:t>
            </w:r>
          </w:p>
        </w:tc>
      </w:tr>
      <w:tr>
        <w:trPr/>
        <w:tc>
          <w:tcPr>
            <w:tcW w:w="6670" w:type="dxa"/>
            <w:tcBorders/>
            <w:vAlign w:val="center"/>
          </w:tcPr>
          <w:p>
            <w:pPr>
              <w:pStyle w:val="TableContents"/>
              <w:bidi w:val="0"/>
              <w:spacing w:before="0" w:after="283"/>
              <w:jc w:val="left"/>
              <w:rPr/>
            </w:pPr>
            <w:r>
              <w:rPr/>
              <w:t>Loss from operations</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right"/>
              <w:rPr/>
            </w:pPr>
            <w:r>
              <w:rPr/>
              <w:t>(29,449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(57,805</w:t>
            </w:r>
          </w:p>
        </w:tc>
        <w:tc>
          <w:tcPr>
            <w:tcW w:w="113" w:type="dxa"/>
            <w:tcBorders/>
            <w:vAlign w:val="center"/>
          </w:tcPr>
          <w:p>
            <w:pPr>
              <w:pStyle w:val="TableContents"/>
              <w:bidi w:val="0"/>
              <w:spacing w:before="0" w:after="283"/>
              <w:jc w:val="left"/>
              <w:rPr/>
            </w:pPr>
            <w:r>
              <w:rPr/>
              <w:t>)</w:t>
            </w:r>
          </w:p>
        </w:tc>
      </w:tr>
      <w:tr>
        <w:trPr/>
        <w:tc>
          <w:tcPr>
            <w:tcW w:w="667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670" w:type="dxa"/>
            <w:tcBorders/>
            <w:vAlign w:val="center"/>
          </w:tcPr>
          <w:p>
            <w:pPr>
              <w:pStyle w:val="TableContents"/>
              <w:bidi w:val="0"/>
              <w:spacing w:before="0" w:after="283"/>
              <w:jc w:val="left"/>
              <w:rPr/>
            </w:pPr>
            <w:r>
              <w:rPr/>
              <w:t>Interest income</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right"/>
              <w:rPr/>
            </w:pPr>
            <w:r>
              <w:rPr/>
              <w:t>1,330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1,330</w:t>
            </w:r>
          </w:p>
        </w:tc>
        <w:tc>
          <w:tcPr>
            <w:tcW w:w="113" w:type="dxa"/>
            <w:tcBorders/>
            <w:vAlign w:val="center"/>
          </w:tcPr>
          <w:p>
            <w:pPr>
              <w:pStyle w:val="TableContents"/>
              <w:bidi w:val="0"/>
              <w:spacing w:before="0" w:after="283"/>
              <w:jc w:val="left"/>
              <w:rPr/>
            </w:pPr>
            <w:r>
              <w:rPr/>
              <w:t> </w:t>
            </w:r>
          </w:p>
        </w:tc>
      </w:tr>
      <w:tr>
        <w:trPr/>
        <w:tc>
          <w:tcPr>
            <w:tcW w:w="66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66" w:type="dxa"/>
            <w:tcBorders>
              <w:bottom w:val="single" w:sz="12" w:space="0" w:color="000000"/>
            </w:tcBorders>
            <w:shd w:fill="CCEEFF" w:val="clear"/>
            <w:tcMar>
              <w:bottom w:w="28" w:type="dxa"/>
            </w:tcMar>
            <w:vAlign w:val="center"/>
          </w:tcPr>
          <w:p>
            <w:pPr>
              <w:pStyle w:val="TableContents"/>
              <w:bidi w:val="0"/>
              <w:spacing w:before="0" w:after="283"/>
              <w:jc w:val="right"/>
              <w:rPr/>
            </w:pPr>
            <w:r>
              <w:rPr/>
              <w:t>(504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(1,468</w:t>
            </w:r>
          </w:p>
        </w:tc>
        <w:tc>
          <w:tcPr>
            <w:tcW w:w="113" w:type="dxa"/>
            <w:tcBorders/>
            <w:shd w:fill="CCEEFF" w:val="clear"/>
            <w:vAlign w:val="center"/>
          </w:tcPr>
          <w:p>
            <w:pPr>
              <w:pStyle w:val="TableContents"/>
              <w:bidi w:val="0"/>
              <w:spacing w:before="0" w:after="283"/>
              <w:jc w:val="left"/>
              <w:rPr/>
            </w:pPr>
            <w:r>
              <w:rPr/>
              <w:t>)</w:t>
            </w:r>
          </w:p>
        </w:tc>
      </w:tr>
      <w:tr>
        <w:trPr/>
        <w:tc>
          <w:tcPr>
            <w:tcW w:w="6670" w:type="dxa"/>
            <w:tcBorders/>
            <w:vAlign w:val="center"/>
          </w:tcPr>
          <w:p>
            <w:pPr>
              <w:pStyle w:val="TableContents"/>
              <w:bidi w:val="0"/>
              <w:spacing w:before="0" w:after="283"/>
              <w:jc w:val="left"/>
              <w:rPr/>
            </w:pPr>
            <w:r>
              <w:rPr/>
              <w:t>Total other income (expense), net</w:t>
            </w:r>
          </w:p>
        </w:tc>
        <w:tc>
          <w:tcPr>
            <w:tcW w:w="6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566" w:type="dxa"/>
            <w:tcBorders>
              <w:bottom w:val="single" w:sz="12" w:space="0" w:color="000000"/>
            </w:tcBorders>
            <w:tcMar>
              <w:bottom w:w="28" w:type="dxa"/>
            </w:tcMar>
            <w:vAlign w:val="center"/>
          </w:tcPr>
          <w:p>
            <w:pPr>
              <w:pStyle w:val="TableContents"/>
              <w:bidi w:val="0"/>
              <w:spacing w:before="0" w:after="283"/>
              <w:jc w:val="right"/>
              <w:rPr/>
            </w:pPr>
            <w:r>
              <w:rPr/>
              <w:t>826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tcMar>
              <w:bottom w:w="28" w:type="dxa"/>
            </w:tcMar>
            <w:vAlign w:val="center"/>
          </w:tcPr>
          <w:p>
            <w:pPr>
              <w:pStyle w:val="TableContents"/>
              <w:bidi w:val="0"/>
              <w:spacing w:before="0" w:after="283"/>
              <w:jc w:val="right"/>
              <w:rPr/>
            </w:pPr>
            <w:r>
              <w:rPr/>
              <w:t>(138</w:t>
            </w:r>
          </w:p>
        </w:tc>
        <w:tc>
          <w:tcPr>
            <w:tcW w:w="113" w:type="dxa"/>
            <w:tcBorders/>
            <w:vAlign w:val="center"/>
          </w:tcPr>
          <w:p>
            <w:pPr>
              <w:pStyle w:val="TableContents"/>
              <w:bidi w:val="0"/>
              <w:spacing w:before="0" w:after="283"/>
              <w:jc w:val="left"/>
              <w:rPr/>
            </w:pPr>
            <w:r>
              <w:rPr/>
              <w:t>)</w:t>
            </w:r>
          </w:p>
        </w:tc>
      </w:tr>
      <w:tr>
        <w:trPr/>
        <w:tc>
          <w:tcPr>
            <w:tcW w:w="6670"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66" w:type="dxa"/>
            <w:tcBorders>
              <w:bottom w:val="double" w:sz="10" w:space="0" w:color="000000"/>
            </w:tcBorders>
            <w:shd w:fill="CCEEFF" w:val="clear"/>
            <w:tcMar>
              <w:bottom w:w="28" w:type="dxa"/>
            </w:tcMar>
            <w:vAlign w:val="center"/>
          </w:tcPr>
          <w:p>
            <w:pPr>
              <w:pStyle w:val="TableContents"/>
              <w:bidi w:val="0"/>
              <w:spacing w:before="0" w:after="283"/>
              <w:jc w:val="right"/>
              <w:rPr/>
            </w:pPr>
            <w:r>
              <w:rPr/>
              <w:t>(28,623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3" w:type="dxa"/>
            <w:tcBorders>
              <w:bottom w:val="double" w:sz="10" w:space="0" w:color="000000"/>
            </w:tcBorders>
            <w:shd w:fill="CCEEFF" w:val="clear"/>
            <w:tcMar>
              <w:bottom w:w="28" w:type="dxa"/>
            </w:tcMar>
            <w:vAlign w:val="center"/>
          </w:tcPr>
          <w:p>
            <w:pPr>
              <w:pStyle w:val="TableContents"/>
              <w:bidi w:val="0"/>
              <w:spacing w:before="0" w:after="283"/>
              <w:jc w:val="right"/>
              <w:rPr/>
            </w:pPr>
            <w:r>
              <w:rPr/>
              <w:t>(57,943</w:t>
            </w:r>
          </w:p>
        </w:tc>
        <w:tc>
          <w:tcPr>
            <w:tcW w:w="113" w:type="dxa"/>
            <w:tcBorders/>
            <w:shd w:fill="CCEEFF" w:val="clear"/>
            <w:vAlign w:val="center"/>
          </w:tcPr>
          <w:p>
            <w:pPr>
              <w:pStyle w:val="TableContents"/>
              <w:bidi w:val="0"/>
              <w:spacing w:before="0" w:after="283"/>
              <w:jc w:val="left"/>
              <w:rPr/>
            </w:pPr>
            <w:r>
              <w:rPr/>
              <w:t>)</w:t>
            </w:r>
          </w:p>
        </w:tc>
      </w:tr>
      <w:tr>
        <w:trPr/>
        <w:tc>
          <w:tcPr>
            <w:tcW w:w="6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6670" w:type="dxa"/>
            <w:tcBorders/>
            <w:shd w:fill="CCEEFF" w:val="clear"/>
            <w:vAlign w:val="center"/>
          </w:tcPr>
          <w:p>
            <w:pPr>
              <w:pStyle w:val="TableContents"/>
              <w:bidi w:val="0"/>
              <w:spacing w:before="0" w:after="283"/>
              <w:jc w:val="left"/>
              <w:rPr/>
            </w:pPr>
            <w:r>
              <w:rPr/>
              <w:t>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66" w:type="dxa"/>
            <w:tcBorders>
              <w:bottom w:val="double" w:sz="10" w:space="0" w:color="000000"/>
            </w:tcBorders>
            <w:shd w:fill="CCEEFF" w:val="clear"/>
            <w:tcMar>
              <w:bottom w:w="28" w:type="dxa"/>
            </w:tcMar>
            <w:vAlign w:val="center"/>
          </w:tcPr>
          <w:p>
            <w:pPr>
              <w:pStyle w:val="TableContents"/>
              <w:bidi w:val="0"/>
              <w:spacing w:before="0" w:after="283"/>
              <w:jc w:val="right"/>
              <w:rPr/>
            </w:pPr>
            <w:r>
              <w:rPr/>
              <w:t>(1.46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3" w:type="dxa"/>
            <w:tcBorders>
              <w:bottom w:val="double" w:sz="10" w:space="0" w:color="000000"/>
            </w:tcBorders>
            <w:shd w:fill="CCEEFF" w:val="clear"/>
            <w:tcMar>
              <w:bottom w:w="28" w:type="dxa"/>
            </w:tcMar>
            <w:vAlign w:val="center"/>
          </w:tcPr>
          <w:p>
            <w:pPr>
              <w:pStyle w:val="TableContents"/>
              <w:bidi w:val="0"/>
              <w:spacing w:before="0" w:after="283"/>
              <w:jc w:val="right"/>
              <w:rPr/>
            </w:pPr>
            <w:r>
              <w:rPr/>
              <w:t>(6.08</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6670" w:type="dxa"/>
            <w:tcBorders/>
            <w:vAlign w:val="center"/>
          </w:tcPr>
          <w:p>
            <w:pPr>
              <w:pStyle w:val="TableContents"/>
              <w:bidi w:val="0"/>
              <w:spacing w:before="0" w:after="283"/>
              <w:jc w:val="left"/>
              <w:rPr/>
            </w:pPr>
            <w:r>
              <w:rPr/>
              <w:t>Net loss per share attributable to Series A non-voting convertible preferred stockholders, basic and diluted</w:t>
            </w:r>
          </w:p>
        </w:tc>
        <w:tc>
          <w:tcPr>
            <w:tcW w:w="6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pPr>
            <w:r>
              <w:rPr/>
              <w:t>$</w:t>
            </w:r>
          </w:p>
        </w:tc>
        <w:tc>
          <w:tcPr>
            <w:tcW w:w="1566" w:type="dxa"/>
            <w:tcBorders>
              <w:bottom w:val="double" w:sz="10" w:space="0" w:color="000000"/>
            </w:tcBorders>
            <w:tcMar>
              <w:bottom w:w="28" w:type="dxa"/>
            </w:tcMar>
            <w:vAlign w:val="center"/>
          </w:tcPr>
          <w:p>
            <w:pPr>
              <w:pStyle w:val="TableContents"/>
              <w:bidi w:val="0"/>
              <w:spacing w:before="0" w:after="283"/>
              <w:jc w:val="right"/>
              <w:rPr/>
            </w:pPr>
            <w:r>
              <w:rPr/>
              <w:t>(1,461.10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 w:type="dxa"/>
            <w:tcBorders>
              <w:bottom w:val="double" w:sz="10" w:space="0" w:color="000000"/>
            </w:tcBorders>
            <w:tcMar>
              <w:bottom w:w="28" w:type="dxa"/>
            </w:tcMar>
            <w:vAlign w:val="center"/>
          </w:tcPr>
          <w:p>
            <w:pPr>
              <w:pStyle w:val="TableContents"/>
              <w:bidi w:val="0"/>
              <w:spacing w:before="0" w:after="283"/>
              <w:jc w:val="left"/>
              <w:rPr/>
            </w:pPr>
            <w:r>
              <w:rPr/>
              <w:t>$</w:t>
            </w:r>
          </w:p>
        </w:tc>
        <w:tc>
          <w:tcPr>
            <w:tcW w:w="1263" w:type="dxa"/>
            <w:tcBorders>
              <w:bottom w:val="double" w:sz="10" w:space="0" w:color="000000"/>
            </w:tcBorders>
            <w:tcMar>
              <w:bottom w:w="28" w:type="dxa"/>
            </w:tcMar>
            <w:vAlign w:val="center"/>
          </w:tcPr>
          <w:p>
            <w:pPr>
              <w:pStyle w:val="TableContents"/>
              <w:bidi w:val="0"/>
              <w:spacing w:before="0" w:after="283"/>
              <w:jc w:val="right"/>
              <w:rPr/>
            </w:pPr>
            <w:r>
              <w:rPr/>
              <w:t>(6,077.25</w:t>
            </w:r>
          </w:p>
        </w:tc>
        <w:tc>
          <w:tcPr>
            <w:tcW w:w="113" w:type="dxa"/>
            <w:tcBorders/>
            <w:vAlign w:val="center"/>
          </w:tcPr>
          <w:p>
            <w:pPr>
              <w:pStyle w:val="TableContents"/>
              <w:bidi w:val="0"/>
              <w:spacing w:before="0" w:after="283"/>
              <w:ind w:left="0" w:right="0" w:hanging="180"/>
              <w:jc w:val="left"/>
              <w:rPr/>
            </w:pPr>
            <w:r>
              <w:rPr/>
              <w:t>)</w:t>
            </w:r>
          </w:p>
        </w:tc>
      </w:tr>
      <w:tr>
        <w:trPr/>
        <w:tc>
          <w:tcPr>
            <w:tcW w:w="6670" w:type="dxa"/>
            <w:tcBorders/>
            <w:shd w:fill="CCEEFF" w:val="clear"/>
            <w:vAlign w:val="center"/>
          </w:tcPr>
          <w:p>
            <w:pPr>
              <w:pStyle w:val="TableContents"/>
              <w:bidi w:val="0"/>
              <w:spacing w:before="0" w:after="283"/>
              <w:jc w:val="left"/>
              <w:rPr/>
            </w:pPr>
            <w:r>
              <w:rPr/>
              <w:t>Net loss per share attributable to Series B non-voting convertible preferred stockholders, basic and diluted</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66" w:type="dxa"/>
            <w:tcBorders>
              <w:bottom w:val="double" w:sz="10" w:space="0" w:color="000000"/>
            </w:tcBorders>
            <w:shd w:fill="CCEEFF" w:val="clear"/>
            <w:tcMar>
              <w:bottom w:w="28" w:type="dxa"/>
            </w:tcMar>
            <w:vAlign w:val="center"/>
          </w:tcPr>
          <w:p>
            <w:pPr>
              <w:pStyle w:val="TableContents"/>
              <w:bidi w:val="0"/>
              <w:spacing w:before="0" w:after="283"/>
              <w:jc w:val="right"/>
              <w:rPr/>
            </w:pPr>
            <w:r>
              <w:rPr/>
              <w:t>(121.76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3" w:type="dxa"/>
            <w:tcBorders>
              <w:bottom w:val="double" w:sz="10" w:space="0" w:color="000000"/>
            </w:tcBorders>
            <w:shd w:fill="CCEEFF" w:val="clear"/>
            <w:tcMar>
              <w:bottom w:w="28" w:type="dxa"/>
            </w:tcMar>
            <w:vAlign w:val="center"/>
          </w:tcPr>
          <w:p>
            <w:pPr>
              <w:pStyle w:val="TableContents"/>
              <w:bidi w:val="0"/>
              <w:spacing w:before="0" w:after="283"/>
              <w:jc w:val="right"/>
              <w:rPr/>
            </w:pPr>
            <w:r>
              <w:rPr/>
              <w:t>(506.44</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6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ind w:left="0" w:right="0" w:hanging="180"/>
              <w:jc w:val="left"/>
              <w:rPr/>
            </w:pPr>
            <w:r>
              <w:rPr/>
              <w:t> </w:t>
            </w:r>
          </w:p>
        </w:tc>
      </w:tr>
      <w:tr>
        <w:trPr/>
        <w:tc>
          <w:tcPr>
            <w:tcW w:w="6670" w:type="dxa"/>
            <w:tcBorders/>
            <w:shd w:fill="CCEEFF" w:val="clear"/>
            <w:vAlign w:val="center"/>
          </w:tcPr>
          <w:p>
            <w:pPr>
              <w:pStyle w:val="TableContents"/>
              <w:bidi w:val="0"/>
              <w:spacing w:before="0" w:after="283"/>
              <w:jc w:val="left"/>
              <w:rPr/>
            </w:pPr>
            <w:r>
              <w:rPr/>
              <w:t>Weighted-average shares used in computing 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66" w:type="dxa"/>
            <w:tcBorders>
              <w:bottom w:val="double" w:sz="10" w:space="0" w:color="000000"/>
            </w:tcBorders>
            <w:shd w:fill="CCEEFF" w:val="clear"/>
            <w:tcMar>
              <w:bottom w:w="28" w:type="dxa"/>
            </w:tcMar>
            <w:vAlign w:val="center"/>
          </w:tcPr>
          <w:p>
            <w:pPr>
              <w:pStyle w:val="TableContents"/>
              <w:bidi w:val="0"/>
              <w:spacing w:before="0" w:after="283"/>
              <w:jc w:val="right"/>
              <w:rPr/>
            </w:pPr>
            <w:r>
              <w:rPr/>
              <w:t>15,013,655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double" w:sz="10" w:space="0" w:color="000000"/>
            </w:tcBorders>
            <w:shd w:fill="CCEEFF" w:val="clear"/>
            <w:tcMar>
              <w:bottom w:w="28" w:type="dxa"/>
            </w:tcMar>
            <w:vAlign w:val="center"/>
          </w:tcPr>
          <w:p>
            <w:pPr>
              <w:pStyle w:val="TableContents"/>
              <w:bidi w:val="0"/>
              <w:spacing w:before="0" w:after="283"/>
              <w:jc w:val="right"/>
              <w:rPr/>
            </w:pPr>
            <w:r>
              <w:rPr/>
              <w:t>7,765,381</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6670" w:type="dxa"/>
            <w:tcBorders/>
            <w:vAlign w:val="center"/>
          </w:tcPr>
          <w:p>
            <w:pPr>
              <w:pStyle w:val="TableContents"/>
              <w:bidi w:val="0"/>
              <w:spacing w:before="0" w:after="283"/>
              <w:jc w:val="left"/>
              <w:rPr/>
            </w:pPr>
            <w:r>
              <w:rPr/>
              <w:t>Weighted-average shares used in computing net loss per share attributable to Series A non-voting convertible preferred stockholders, basic and diluted</w:t>
            </w:r>
          </w:p>
        </w:tc>
        <w:tc>
          <w:tcPr>
            <w:tcW w:w="6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pPr>
            <w:r>
              <w:rPr/>
              <w:t> </w:t>
            </w:r>
          </w:p>
        </w:tc>
        <w:tc>
          <w:tcPr>
            <w:tcW w:w="1566" w:type="dxa"/>
            <w:tcBorders>
              <w:bottom w:val="double" w:sz="10" w:space="0" w:color="000000"/>
            </w:tcBorders>
            <w:tcMar>
              <w:bottom w:w="28" w:type="dxa"/>
            </w:tcMar>
            <w:vAlign w:val="center"/>
          </w:tcPr>
          <w:p>
            <w:pPr>
              <w:pStyle w:val="TableContents"/>
              <w:bidi w:val="0"/>
              <w:spacing w:before="0" w:after="283"/>
              <w:jc w:val="right"/>
              <w:rPr/>
            </w:pPr>
            <w:r>
              <w:rPr/>
              <w:t>477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63" w:type="dxa"/>
            <w:tcBorders>
              <w:bottom w:val="double" w:sz="10" w:space="0" w:color="000000"/>
            </w:tcBorders>
            <w:tcMar>
              <w:bottom w:w="28" w:type="dxa"/>
            </w:tcMar>
            <w:vAlign w:val="center"/>
          </w:tcPr>
          <w:p>
            <w:pPr>
              <w:pStyle w:val="TableContents"/>
              <w:bidi w:val="0"/>
              <w:spacing w:before="0" w:after="283"/>
              <w:jc w:val="right"/>
              <w:rPr/>
            </w:pPr>
            <w:r>
              <w:rPr/>
              <w:t>184</w:t>
            </w:r>
          </w:p>
        </w:tc>
        <w:tc>
          <w:tcPr>
            <w:tcW w:w="113" w:type="dxa"/>
            <w:tcBorders/>
            <w:vAlign w:val="center"/>
          </w:tcPr>
          <w:p>
            <w:pPr>
              <w:pStyle w:val="TableContents"/>
              <w:bidi w:val="0"/>
              <w:spacing w:before="0" w:after="283"/>
              <w:ind w:left="0" w:right="0" w:hanging="180"/>
              <w:jc w:val="left"/>
              <w:rPr/>
            </w:pPr>
            <w:r>
              <w:rPr/>
              <w:t> </w:t>
            </w:r>
          </w:p>
        </w:tc>
      </w:tr>
      <w:tr>
        <w:trPr/>
        <w:tc>
          <w:tcPr>
            <w:tcW w:w="6670" w:type="dxa"/>
            <w:tcBorders/>
            <w:shd w:fill="CCEEFF" w:val="clear"/>
            <w:vAlign w:val="center"/>
          </w:tcPr>
          <w:p>
            <w:pPr>
              <w:pStyle w:val="TableContents"/>
              <w:bidi w:val="0"/>
              <w:spacing w:before="0" w:after="283"/>
              <w:jc w:val="left"/>
              <w:rPr/>
            </w:pPr>
            <w:r>
              <w:rPr/>
              <w:t>Weighted-average shares used in computing net loss per share attributable to Series B non-voting convertible preferred stockholders, basic and diluted</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66" w:type="dxa"/>
            <w:tcBorders>
              <w:bottom w:val="double" w:sz="10" w:space="0" w:color="000000"/>
            </w:tcBorders>
            <w:shd w:fill="CCEEFF" w:val="clear"/>
            <w:tcMar>
              <w:bottom w:w="28" w:type="dxa"/>
            </w:tcMar>
            <w:vAlign w:val="center"/>
          </w:tcPr>
          <w:p>
            <w:pPr>
              <w:pStyle w:val="TableContents"/>
              <w:bidi w:val="0"/>
              <w:spacing w:before="0" w:after="283"/>
              <w:jc w:val="right"/>
              <w:rPr/>
            </w:pPr>
            <w:r>
              <w:rPr/>
              <w:t>49,191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double" w:sz="10" w:space="0" w:color="000000"/>
            </w:tcBorders>
            <w:shd w:fill="CCEEFF" w:val="clear"/>
            <w:tcMar>
              <w:bottom w:w="28" w:type="dxa"/>
            </w:tcMar>
            <w:vAlign w:val="center"/>
          </w:tcPr>
          <w:p>
            <w:pPr>
              <w:pStyle w:val="TableContents"/>
              <w:bidi w:val="0"/>
              <w:spacing w:before="0" w:after="283"/>
              <w:jc w:val="right"/>
              <w:rPr/>
            </w:pPr>
            <w:r>
              <w:rPr/>
              <w:t>19,015</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related party amount of $13,537 for the three months ended September 30, 2024 and $33,967 for the period from February 6, 2024 (inception) to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related party amount of $71 for the three months ended September 30, 2024 and $1,339 for the period from February 6, 2024 (inception) to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related party amount of $504 for the three months ended September 30, 2024 and $1,468 for the period from February 6, 2024 (inception) to September 30, 2024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ORUKA THERAPEUTICS, INC.</w:t>
        <w:br/>
        <w:t>CONDENSED CONSOLIDATED STATEMENTS OF CONVERTIBLE PREFERRED STOCK AND STOCKHOLDERS’ EQUITY (DEFICIT)</w:t>
        <w:br/>
        <w:t>(UNAUDITED)</w:t>
        <w:br/>
        <w:t>(In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1010" w:type="dxa"/>
        <w:jc w:val="left"/>
        <w:tblInd w:w="0" w:type="dxa"/>
        <w:tblLayout w:type="fixed"/>
        <w:tblCellMar>
          <w:top w:w="0" w:type="dxa"/>
          <w:left w:w="0" w:type="dxa"/>
          <w:bottom w:w="0" w:type="dxa"/>
          <w:right w:w="0" w:type="dxa"/>
        </w:tblCellMar>
      </w:tblPr>
      <w:tblGrid>
        <w:gridCol w:w="1085"/>
        <w:gridCol w:w="60"/>
        <w:gridCol w:w="60"/>
        <w:gridCol w:w="1100"/>
        <w:gridCol w:w="80"/>
        <w:gridCol w:w="60"/>
        <w:gridCol w:w="120"/>
        <w:gridCol w:w="485"/>
        <w:gridCol w:w="80"/>
        <w:gridCol w:w="60"/>
        <w:gridCol w:w="75"/>
        <w:gridCol w:w="425"/>
        <w:gridCol w:w="60"/>
        <w:gridCol w:w="60"/>
        <w:gridCol w:w="90"/>
        <w:gridCol w:w="515"/>
        <w:gridCol w:w="80"/>
        <w:gridCol w:w="60"/>
        <w:gridCol w:w="60"/>
        <w:gridCol w:w="605"/>
        <w:gridCol w:w="60"/>
        <w:gridCol w:w="60"/>
        <w:gridCol w:w="172"/>
        <w:gridCol w:w="433"/>
        <w:gridCol w:w="60"/>
        <w:gridCol w:w="60"/>
        <w:gridCol w:w="60"/>
        <w:gridCol w:w="830"/>
        <w:gridCol w:w="60"/>
        <w:gridCol w:w="60"/>
        <w:gridCol w:w="121"/>
        <w:gridCol w:w="484"/>
        <w:gridCol w:w="60"/>
        <w:gridCol w:w="60"/>
        <w:gridCol w:w="110"/>
        <w:gridCol w:w="680"/>
        <w:gridCol w:w="125"/>
        <w:gridCol w:w="60"/>
        <w:gridCol w:w="154"/>
        <w:gridCol w:w="811"/>
        <w:gridCol w:w="125"/>
        <w:gridCol w:w="60"/>
        <w:gridCol w:w="155"/>
        <w:gridCol w:w="855"/>
        <w:gridCol w:w="75"/>
      </w:tblGrid>
      <w:tr>
        <w:trPr/>
        <w:tc>
          <w:tcPr>
            <w:tcW w:w="1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Series A</w:t>
              <w:br/>
              <w:t>Convertible Preferred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Series A</w:t>
              <w:br/>
              <w:t>Non-Voting</w:t>
              <w:br/>
              <w:t>Convertible Preferred Stock</w:t>
            </w:r>
          </w:p>
        </w:tc>
        <w:tc>
          <w:tcPr>
            <w:tcW w:w="8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390"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Series B</w:t>
              <w:br/>
              <w:t>Non-Voting</w:t>
              <w:br/>
              <w:t>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0" w:type="dxa"/>
            <w:gridSpan w:val="2"/>
            <w:tcBorders/>
            <w:vAlign w:val="center"/>
          </w:tcPr>
          <w:p>
            <w:pPr>
              <w:pStyle w:val="TableContents"/>
              <w:bidi w:val="0"/>
              <w:spacing w:before="0" w:after="283"/>
              <w:jc w:val="center"/>
              <w:rPr>
                <w:b/>
                <w:sz w:val="16"/>
              </w:rPr>
            </w:pPr>
            <w:r>
              <w:rPr>
                <w:b/>
                <w:sz w:val="16"/>
              </w:rPr>
              <w:t xml:space="preserve">Additional </w:t>
              <w:br/>
              <w:t>Paid-in</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Accumulated</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16"/>
              </w:rPr>
            </w:pPr>
            <w:r>
              <w:rPr>
                <w:b/>
                <w:sz w:val="16"/>
              </w:rPr>
              <w:t xml:space="preserve">Total </w:t>
              <w:br/>
              <w:t>Stockholders’</w:t>
              <w:br/>
              <w:t>Equity</w:t>
            </w:r>
          </w:p>
        </w:tc>
        <w:tc>
          <w:tcPr>
            <w:tcW w:w="7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75" w:type="dxa"/>
            <w:tcBorders/>
            <w:vAlign w:val="center"/>
          </w:tcPr>
          <w:p>
            <w:pPr>
              <w:pStyle w:val="TableContents"/>
              <w:bidi w:val="0"/>
              <w:spacing w:before="0" w:after="283"/>
              <w:ind w:left="0" w:right="0" w:hanging="180"/>
              <w:jc w:val="left"/>
              <w:rPr/>
            </w:pPr>
            <w:r>
              <w:rPr/>
              <w:t> </w:t>
            </w:r>
          </w:p>
        </w:tc>
      </w:tr>
      <w:tr>
        <w:trPr/>
        <w:tc>
          <w:tcPr>
            <w:tcW w:w="1085" w:type="dxa"/>
            <w:tcBorders/>
            <w:shd w:fill="CCEEFF" w:val="clear"/>
            <w:vAlign w:val="center"/>
          </w:tcPr>
          <w:p>
            <w:pPr>
              <w:pStyle w:val="TableContents"/>
              <w:bidi w:val="0"/>
              <w:spacing w:before="0" w:after="283"/>
              <w:jc w:val="left"/>
              <w:rPr>
                <w:b/>
                <w:sz w:val="16"/>
              </w:rPr>
            </w:pPr>
            <w:r>
              <w:rPr>
                <w:b/>
                <w:sz w:val="16"/>
              </w:rPr>
              <w:t>Balances as of February 6, 2024 (inception)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16"/>
              </w:rPr>
            </w:pPr>
            <w:r>
              <w:rPr>
                <w:sz w:val="16"/>
              </w:rPr>
              <w:t>$</w:t>
            </w:r>
          </w:p>
        </w:tc>
        <w:tc>
          <w:tcPr>
            <w:tcW w:w="4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3,197,975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16"/>
              </w:rPr>
            </w:pPr>
            <w:r>
              <w:rPr>
                <w:sz w:val="16"/>
              </w:rPr>
              <w:t>$</w:t>
            </w:r>
          </w:p>
        </w:tc>
        <w:tc>
          <w:tcPr>
            <w:tcW w:w="484" w:type="dxa"/>
            <w:tcBorders/>
            <w:shd w:fill="CCEEFF" w:val="clear"/>
            <w:vAlign w:val="center"/>
          </w:tcPr>
          <w:p>
            <w:pPr>
              <w:pStyle w:val="TableContents"/>
              <w:bidi w:val="0"/>
              <w:spacing w:before="0" w:after="283"/>
              <w:jc w:val="right"/>
              <w:rPr/>
            </w:pPr>
            <w:r>
              <w:rPr/>
              <w:t>     </w:t>
            </w: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80" w:type="dxa"/>
            <w:tcBorders/>
            <w:shd w:fill="CCEEFF" w:val="cle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16"/>
              </w:rPr>
            </w:pPr>
            <w:r>
              <w:rPr>
                <w:sz w:val="16"/>
              </w:rPr>
              <w:t>$</w:t>
            </w:r>
          </w:p>
        </w:tc>
        <w:tc>
          <w:tcPr>
            <w:tcW w:w="81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16"/>
              </w:rPr>
            </w:pPr>
            <w:r>
              <w:rPr>
                <w:sz w:val="16"/>
              </w:rPr>
              <w:t>$</w:t>
            </w:r>
          </w:p>
        </w:tc>
        <w:tc>
          <w:tcPr>
            <w:tcW w:w="855" w:type="dxa"/>
            <w:tcBorders/>
            <w:shd w:fill="CCEEFF" w:val="clear"/>
            <w:vAlign w:val="center"/>
          </w:tcPr>
          <w:p>
            <w:pPr>
              <w:pStyle w:val="TableContents"/>
              <w:bidi w:val="0"/>
              <w:spacing w:before="0" w:after="283"/>
              <w:jc w:val="right"/>
              <w:rPr>
                <w:sz w:val="16"/>
              </w:rPr>
            </w:pPr>
            <w:r>
              <w:rPr>
                <w:sz w:val="16"/>
              </w:rPr>
              <w:t>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2,207,553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sz w:val="16"/>
              </w:rPr>
            </w:pPr>
            <w:r>
              <w:rPr>
                <w:sz w:val="16"/>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ind w:left="0" w:right="0" w:hanging="180"/>
              <w:jc w:val="left"/>
              <w:rPr/>
            </w:pPr>
            <w:r>
              <w:rPr/>
              <w:t> </w:t>
            </w:r>
          </w:p>
        </w:tc>
      </w:tr>
      <w:tr>
        <w:trPr/>
        <w:tc>
          <w:tcPr>
            <w:tcW w:w="1085" w:type="dxa"/>
            <w:tcBorders/>
            <w:shd w:fill="CCEEFF" w:val="clear"/>
            <w:vAlign w:val="center"/>
          </w:tcPr>
          <w:p>
            <w:pPr>
              <w:pStyle w:val="TableContents"/>
              <w:bidi w:val="0"/>
              <w:spacing w:before="0" w:after="283"/>
              <w:jc w:val="left"/>
              <w:rPr>
                <w:sz w:val="16"/>
              </w:rPr>
            </w:pPr>
            <w:r>
              <w:rPr>
                <w:sz w:val="16"/>
              </w:rPr>
              <w:t>Issuance of Series A convertible preferred stock, net of issuance costs of $69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16"/>
              </w:rPr>
            </w:pPr>
            <w:r>
              <w:rPr>
                <w:sz w:val="16"/>
              </w:rPr>
              <w:t>20,000,000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16"/>
              </w:rPr>
            </w:pPr>
            <w:r>
              <w:rPr>
                <w:sz w:val="16"/>
              </w:rPr>
              <w:t>2,931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85" w:type="dxa"/>
            <w:tcBorders/>
            <w:vAlign w:val="center"/>
          </w:tcPr>
          <w:p>
            <w:pPr>
              <w:pStyle w:val="TableContents"/>
              <w:bidi w:val="0"/>
              <w:spacing w:before="0" w:after="283"/>
              <w:jc w:val="left"/>
              <w:rPr>
                <w:sz w:val="16"/>
              </w:rPr>
            </w:pPr>
            <w:r>
              <w:rPr>
                <w:sz w:val="16"/>
              </w:rPr>
              <w:t>Stock-based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16"/>
              </w:rPr>
            </w:pPr>
            <w:r>
              <w:rPr>
                <w:sz w:val="16"/>
              </w:rPr>
              <w:t>17</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sz w:val="16"/>
              </w:rPr>
            </w:pPr>
            <w:r>
              <w:rPr>
                <w:sz w:val="16"/>
              </w:rPr>
              <w:t>17</w:t>
            </w:r>
          </w:p>
        </w:tc>
        <w:tc>
          <w:tcPr>
            <w:tcW w:w="75" w:type="dxa"/>
            <w:tcBorders/>
            <w:vAlign w:val="center"/>
          </w:tcPr>
          <w:p>
            <w:pPr>
              <w:pStyle w:val="TableContents"/>
              <w:bidi w:val="0"/>
              <w:spacing w:before="0" w:after="283"/>
              <w:ind w:left="0" w:right="0" w:hanging="180"/>
              <w:jc w:val="left"/>
              <w:rPr/>
            </w:pPr>
            <w:r>
              <w:rPr/>
              <w:t> </w:t>
            </w:r>
          </w:p>
        </w:tc>
      </w:tr>
      <w:tr>
        <w:trPr/>
        <w:tc>
          <w:tcPr>
            <w:tcW w:w="1085"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(7,077</w:t>
            </w:r>
          </w:p>
        </w:tc>
        <w:tc>
          <w:tcPr>
            <w:tcW w:w="12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(7,077</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85" w:type="dxa"/>
            <w:tcBorders/>
            <w:vAlign w:val="center"/>
          </w:tcPr>
          <w:p>
            <w:pPr>
              <w:pStyle w:val="TableContents"/>
              <w:bidi w:val="0"/>
              <w:spacing w:before="0" w:after="283"/>
              <w:jc w:val="left"/>
              <w:rPr>
                <w:b/>
                <w:sz w:val="16"/>
              </w:rPr>
            </w:pPr>
            <w:r>
              <w:rPr>
                <w:b/>
                <w:sz w:val="16"/>
              </w:rPr>
              <w:t>Balances as of March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20,000,000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16"/>
              </w:rPr>
            </w:pPr>
            <w:r>
              <w:rPr>
                <w:sz w:val="16"/>
              </w:rPr>
              <w:t>$</w:t>
            </w:r>
          </w:p>
        </w:tc>
        <w:tc>
          <w:tcPr>
            <w:tcW w:w="485" w:type="dxa"/>
            <w:tcBorders/>
            <w:vAlign w:val="center"/>
          </w:tcPr>
          <w:p>
            <w:pPr>
              <w:pStyle w:val="TableContents"/>
              <w:bidi w:val="0"/>
              <w:spacing w:before="0" w:after="283"/>
              <w:jc w:val="right"/>
              <w:rPr>
                <w:sz w:val="16"/>
              </w:rPr>
            </w:pPr>
            <w:r>
              <w:rPr>
                <w:sz w:val="16"/>
              </w:rPr>
              <w:t>2,931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5,405,528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16"/>
              </w:rPr>
            </w:pPr>
            <w:r>
              <w:rPr>
                <w:sz w:val="16"/>
              </w:rPr>
              <w:t>$</w:t>
            </w:r>
          </w:p>
        </w:tc>
        <w:tc>
          <w:tcPr>
            <w:tcW w:w="484"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16"/>
              </w:rPr>
            </w:pPr>
            <w:r>
              <w:rPr>
                <w:sz w:val="16"/>
              </w:rPr>
              <w:t>$</w:t>
            </w:r>
          </w:p>
        </w:tc>
        <w:tc>
          <w:tcPr>
            <w:tcW w:w="680" w:type="dxa"/>
            <w:tcBorders/>
            <w:vAlign w:val="center"/>
          </w:tcPr>
          <w:p>
            <w:pPr>
              <w:pStyle w:val="TableContents"/>
              <w:bidi w:val="0"/>
              <w:spacing w:before="0" w:after="283"/>
              <w:jc w:val="right"/>
              <w:rPr>
                <w:sz w:val="16"/>
              </w:rPr>
            </w:pPr>
            <w:r>
              <w:rPr>
                <w:sz w:val="16"/>
              </w:rPr>
              <w:t>13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16"/>
              </w:rPr>
            </w:pPr>
            <w:r>
              <w:rPr>
                <w:sz w:val="16"/>
              </w:rPr>
              <w:t>$</w:t>
            </w:r>
          </w:p>
        </w:tc>
        <w:tc>
          <w:tcPr>
            <w:tcW w:w="811" w:type="dxa"/>
            <w:tcBorders/>
            <w:vAlign w:val="center"/>
          </w:tcPr>
          <w:p>
            <w:pPr>
              <w:pStyle w:val="TableContents"/>
              <w:bidi w:val="0"/>
              <w:spacing w:before="0" w:after="283"/>
              <w:jc w:val="right"/>
              <w:rPr>
                <w:sz w:val="16"/>
              </w:rPr>
            </w:pPr>
            <w:r>
              <w:rPr>
                <w:sz w:val="16"/>
              </w:rPr>
              <w:t>(7,077</w:t>
            </w:r>
          </w:p>
        </w:tc>
        <w:tc>
          <w:tcPr>
            <w:tcW w:w="125"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6"/>
              </w:rPr>
            </w:pPr>
            <w:r>
              <w:rPr>
                <w:sz w:val="16"/>
              </w:rPr>
              <w:t>$</w:t>
            </w:r>
          </w:p>
        </w:tc>
        <w:tc>
          <w:tcPr>
            <w:tcW w:w="855" w:type="dxa"/>
            <w:tcBorders/>
            <w:vAlign w:val="center"/>
          </w:tcPr>
          <w:p>
            <w:pPr>
              <w:pStyle w:val="TableContents"/>
              <w:bidi w:val="0"/>
              <w:spacing w:before="0" w:after="283"/>
              <w:jc w:val="right"/>
              <w:rPr>
                <w:sz w:val="16"/>
              </w:rPr>
            </w:pPr>
            <w:r>
              <w:rPr>
                <w:sz w:val="16"/>
              </w:rPr>
              <w:t>(7,059</w:t>
            </w:r>
          </w:p>
        </w:tc>
        <w:tc>
          <w:tcPr>
            <w:tcW w:w="75" w:type="dxa"/>
            <w:tcBorders/>
            <w:vAlign w:val="center"/>
          </w:tcPr>
          <w:p>
            <w:pPr>
              <w:pStyle w:val="TableContents"/>
              <w:bidi w:val="0"/>
              <w:spacing w:before="0" w:after="283"/>
              <w:ind w:left="0" w:right="0" w:hanging="180"/>
              <w:jc w:val="left"/>
              <w:rPr>
                <w:sz w:val="16"/>
              </w:rPr>
            </w:pPr>
            <w:r>
              <w:rPr>
                <w:sz w:val="16"/>
              </w:rPr>
              <w:t>)</w:t>
            </w:r>
          </w:p>
        </w:tc>
      </w:tr>
      <w:tr>
        <w:trPr/>
        <w:tc>
          <w:tcPr>
            <w:tcW w:w="1085" w:type="dxa"/>
            <w:tcBorders/>
            <w:shd w:fill="CCEEFF" w:val="clear"/>
            <w:vAlign w:val="center"/>
          </w:tcPr>
          <w:p>
            <w:pPr>
              <w:pStyle w:val="TableContents"/>
              <w:bidi w:val="0"/>
              <w:spacing w:before="0" w:after="283"/>
              <w:jc w:val="left"/>
              <w:rPr>
                <w:sz w:val="16"/>
              </w:rPr>
            </w:pPr>
            <w:r>
              <w:rPr>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321</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16"/>
              </w:rPr>
            </w:pPr>
            <w:r>
              <w:rPr>
                <w:sz w:val="16"/>
              </w:rPr>
              <w:t>321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85" w:type="dxa"/>
            <w:tcBorders/>
            <w:vAlign w:val="center"/>
          </w:tcPr>
          <w:p>
            <w:pPr>
              <w:pStyle w:val="TableContents"/>
              <w:bidi w:val="0"/>
              <w:spacing w:before="0" w:after="283"/>
              <w:jc w:val="left"/>
              <w:rPr>
                <w:sz w:val="16"/>
              </w:rPr>
            </w:pPr>
            <w:r>
              <w:rPr>
                <w:sz w:val="16"/>
              </w:rPr>
              <w:t>Net loss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433"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bottom w:val="single" w:sz="12" w:space="0" w:color="000000"/>
            </w:tcBorders>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bottom w:val="single" w:sz="12" w:space="0" w:color="000000"/>
            </w:tcBorders>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tcMar>
              <w:bottom w:w="28" w:type="dxa"/>
            </w:tcMar>
            <w:vAlign w:val="center"/>
          </w:tcPr>
          <w:p>
            <w:pPr>
              <w:pStyle w:val="TableContents"/>
              <w:bidi w:val="0"/>
              <w:spacing w:before="0" w:after="283"/>
              <w:jc w:val="right"/>
              <w:rPr>
                <w:sz w:val="16"/>
              </w:rPr>
            </w:pPr>
            <w:r>
              <w:rPr>
                <w:sz w:val="16"/>
              </w:rPr>
              <w:t>(22,243</w:t>
            </w:r>
          </w:p>
        </w:tc>
        <w:tc>
          <w:tcPr>
            <w:tcW w:w="125"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(22,243</w:t>
            </w:r>
          </w:p>
        </w:tc>
        <w:tc>
          <w:tcPr>
            <w:tcW w:w="75" w:type="dxa"/>
            <w:tcBorders/>
            <w:vAlign w:val="center"/>
          </w:tcPr>
          <w:p>
            <w:pPr>
              <w:pStyle w:val="TableContents"/>
              <w:bidi w:val="0"/>
              <w:spacing w:before="0" w:after="283"/>
              <w:ind w:left="0" w:right="0" w:hanging="180"/>
              <w:jc w:val="left"/>
              <w:rPr>
                <w:sz w:val="16"/>
              </w:rPr>
            </w:pPr>
            <w:r>
              <w:rPr>
                <w:sz w:val="16"/>
              </w:rPr>
              <w:t>)</w:t>
            </w:r>
          </w:p>
        </w:tc>
      </w:tr>
      <w:tr>
        <w:trPr/>
        <w:tc>
          <w:tcPr>
            <w:tcW w:w="1085" w:type="dxa"/>
            <w:tcBorders/>
            <w:shd w:fill="CCEEFF" w:val="clear"/>
            <w:vAlign w:val="center"/>
          </w:tcPr>
          <w:p>
            <w:pPr>
              <w:pStyle w:val="TableContents"/>
              <w:bidi w:val="0"/>
              <w:spacing w:before="0" w:after="283"/>
              <w:jc w:val="left"/>
              <w:rPr>
                <w:b/>
                <w:sz w:val="16"/>
              </w:rPr>
            </w:pPr>
            <w:r>
              <w:rPr>
                <w:b/>
                <w:sz w:val="16"/>
              </w:rPr>
              <w:t>Balances as of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485" w:type="dxa"/>
            <w:tcBorders/>
            <w:shd w:fill="CCEEFF" w:val="clear"/>
            <w:vAlign w:val="center"/>
          </w:tcPr>
          <w:p>
            <w:pPr>
              <w:pStyle w:val="TableContents"/>
              <w:bidi w:val="0"/>
              <w:spacing w:before="0" w:after="283"/>
              <w:jc w:val="right"/>
              <w:rPr>
                <w:sz w:val="16"/>
              </w:rPr>
            </w:pPr>
            <w:r>
              <w:rPr>
                <w:sz w:val="16"/>
              </w:rPr>
              <w:t>2,931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5,405,528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16"/>
              </w:rPr>
            </w:pPr>
            <w:r>
              <w:rPr>
                <w:sz w:val="16"/>
              </w:rPr>
              <w:t>$</w:t>
            </w:r>
          </w:p>
        </w:tc>
        <w:tc>
          <w:tcPr>
            <w:tcW w:w="484"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80" w:type="dxa"/>
            <w:tcBorders/>
            <w:shd w:fill="CCEEFF" w:val="clear"/>
            <w:vAlign w:val="center"/>
          </w:tcPr>
          <w:p>
            <w:pPr>
              <w:pStyle w:val="TableContents"/>
              <w:bidi w:val="0"/>
              <w:spacing w:before="0" w:after="283"/>
              <w:jc w:val="right"/>
              <w:rPr>
                <w:sz w:val="16"/>
              </w:rPr>
            </w:pPr>
            <w:r>
              <w:rPr>
                <w:sz w:val="16"/>
              </w:rPr>
              <w:t>334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16"/>
              </w:rPr>
            </w:pPr>
            <w:r>
              <w:rPr>
                <w:sz w:val="16"/>
              </w:rPr>
              <w:t>$</w:t>
            </w:r>
          </w:p>
        </w:tc>
        <w:tc>
          <w:tcPr>
            <w:tcW w:w="811" w:type="dxa"/>
            <w:tcBorders/>
            <w:shd w:fill="CCEEFF" w:val="clear"/>
            <w:vAlign w:val="center"/>
          </w:tcPr>
          <w:p>
            <w:pPr>
              <w:pStyle w:val="TableContents"/>
              <w:bidi w:val="0"/>
              <w:spacing w:before="0" w:after="283"/>
              <w:jc w:val="right"/>
              <w:rPr>
                <w:sz w:val="16"/>
              </w:rPr>
            </w:pPr>
            <w:r>
              <w:rPr>
                <w:sz w:val="16"/>
              </w:rPr>
              <w:t>(29,320</w:t>
            </w:r>
          </w:p>
        </w:tc>
        <w:tc>
          <w:tcPr>
            <w:tcW w:w="12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16"/>
              </w:rPr>
            </w:pPr>
            <w:r>
              <w:rPr>
                <w:sz w:val="16"/>
              </w:rPr>
              <w:t>$</w:t>
            </w:r>
          </w:p>
        </w:tc>
        <w:tc>
          <w:tcPr>
            <w:tcW w:w="855" w:type="dxa"/>
            <w:tcBorders/>
            <w:shd w:fill="CCEEFF" w:val="clear"/>
            <w:vAlign w:val="center"/>
          </w:tcPr>
          <w:p>
            <w:pPr>
              <w:pStyle w:val="TableContents"/>
              <w:bidi w:val="0"/>
              <w:spacing w:before="0" w:after="283"/>
              <w:jc w:val="right"/>
              <w:rPr>
                <w:sz w:val="16"/>
              </w:rPr>
            </w:pPr>
            <w:r>
              <w:rPr>
                <w:sz w:val="16"/>
              </w:rPr>
              <w:t>(28,981</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85" w:type="dxa"/>
            <w:tcBorders/>
            <w:vAlign w:val="center"/>
          </w:tcPr>
          <w:p>
            <w:pPr>
              <w:pStyle w:val="TableContents"/>
              <w:bidi w:val="0"/>
              <w:spacing w:before="0" w:after="283"/>
              <w:jc w:val="left"/>
              <w:rPr>
                <w:sz w:val="16"/>
              </w:rPr>
            </w:pPr>
            <w:r>
              <w:rPr>
                <w:sz w:val="16"/>
              </w:rPr>
              <w:t>Exchange of Series A convertible preferred stock for Series B non-voting convertible preferred stock upon the closing of the reverse recapitalization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16"/>
              </w:rPr>
            </w:pPr>
            <w:r>
              <w:rPr>
                <w:sz w:val="16"/>
              </w:rPr>
              <w:t>(20,000,000</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16"/>
              </w:rPr>
            </w:pPr>
            <w:r>
              <w:rPr>
                <w:sz w:val="16"/>
              </w:rPr>
              <w:t>(2,931</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137,138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right"/>
              <w:rPr>
                <w:sz w:val="16"/>
              </w:rPr>
            </w:pPr>
            <w:r>
              <w:rPr>
                <w:sz w:val="16"/>
              </w:rPr>
              <w:t>2,931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sz w:val="16"/>
              </w:rPr>
            </w:pPr>
            <w:r>
              <w:rPr>
                <w:sz w:val="16"/>
              </w:rPr>
              <w:t>2,931</w:t>
            </w:r>
          </w:p>
        </w:tc>
        <w:tc>
          <w:tcPr>
            <w:tcW w:w="75" w:type="dxa"/>
            <w:tcBorders/>
            <w:vAlign w:val="center"/>
          </w:tcPr>
          <w:p>
            <w:pPr>
              <w:pStyle w:val="TableContents"/>
              <w:bidi w:val="0"/>
              <w:spacing w:before="0" w:after="283"/>
              <w:ind w:left="0" w:right="0" w:hanging="180"/>
              <w:jc w:val="left"/>
              <w:rPr/>
            </w:pPr>
            <w:r>
              <w:rPr/>
              <w:t> </w:t>
            </w:r>
          </w:p>
        </w:tc>
      </w:tr>
      <w:tr>
        <w:trPr/>
        <w:tc>
          <w:tcPr>
            <w:tcW w:w="1085" w:type="dxa"/>
            <w:tcBorders/>
            <w:shd w:fill="CCEEFF" w:val="clear"/>
            <w:vAlign w:val="center"/>
          </w:tcPr>
          <w:p>
            <w:pPr>
              <w:pStyle w:val="TableContents"/>
              <w:bidi w:val="0"/>
              <w:spacing w:before="0" w:after="283"/>
              <w:jc w:val="left"/>
              <w:rPr>
                <w:sz w:val="16"/>
              </w:rPr>
            </w:pPr>
            <w:r>
              <w:rPr>
                <w:sz w:val="16"/>
              </w:rPr>
              <w:t>Conversion of convertible notes (including accrued interest) into common stock upon the closing of the reverse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2,722,207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sz w:val="16"/>
              </w:rPr>
            </w:pPr>
            <w:r>
              <w:rPr>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26,445</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16"/>
              </w:rPr>
            </w:pPr>
            <w:r>
              <w:rPr>
                <w:sz w:val="16"/>
              </w:rPr>
              <w:t>26,448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85" w:type="dxa"/>
            <w:tcBorders/>
            <w:vAlign w:val="center"/>
          </w:tcPr>
          <w:p>
            <w:pPr>
              <w:pStyle w:val="TableContents"/>
              <w:bidi w:val="0"/>
              <w:spacing w:before="0" w:after="283"/>
              <w:jc w:val="left"/>
              <w:rPr>
                <w:sz w:val="16"/>
              </w:rPr>
            </w:pPr>
            <w:r>
              <w:rPr>
                <w:sz w:val="16"/>
              </w:rPr>
              <w:t xml:space="preserve">Issuance of common stock and pre-funded warrants in the Pre-Closing Financing,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20,061,932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sz w:val="16"/>
              </w:rPr>
            </w:pPr>
            <w:r>
              <w:rPr>
                <w:sz w:val="16"/>
              </w:rPr>
              <w:t>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16"/>
              </w:rPr>
            </w:pPr>
            <w:r>
              <w:rPr>
                <w:sz w:val="16"/>
              </w:rPr>
              <w:t>248,437</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sz w:val="16"/>
              </w:rPr>
            </w:pPr>
            <w:r>
              <w:rPr>
                <w:sz w:val="16"/>
              </w:rPr>
              <w:t>248,457</w:t>
            </w:r>
          </w:p>
        </w:tc>
        <w:tc>
          <w:tcPr>
            <w:tcW w:w="75" w:type="dxa"/>
            <w:tcBorders/>
            <w:vAlign w:val="center"/>
          </w:tcPr>
          <w:p>
            <w:pPr>
              <w:pStyle w:val="TableContents"/>
              <w:bidi w:val="0"/>
              <w:spacing w:before="0" w:after="283"/>
              <w:ind w:left="0" w:right="0" w:hanging="180"/>
              <w:jc w:val="left"/>
              <w:rPr/>
            </w:pPr>
            <w:r>
              <w:rPr/>
              <w:t> </w:t>
            </w:r>
          </w:p>
        </w:tc>
      </w:tr>
      <w:tr>
        <w:trPr/>
        <w:tc>
          <w:tcPr>
            <w:tcW w:w="1085" w:type="dxa"/>
            <w:tcBorders/>
            <w:shd w:fill="CCEEFF" w:val="clear"/>
            <w:vAlign w:val="center"/>
          </w:tcPr>
          <w:p>
            <w:pPr>
              <w:pStyle w:val="TableContents"/>
              <w:bidi w:val="0"/>
              <w:spacing w:before="0" w:after="283"/>
              <w:jc w:val="left"/>
              <w:rPr>
                <w:sz w:val="16"/>
              </w:rPr>
            </w:pPr>
            <w:r>
              <w:rPr>
                <w:sz w:val="16"/>
              </w:rPr>
              <w:t>Issuance costs of Pre-Closing Financing and reverse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(20,480</w:t>
            </w:r>
          </w:p>
        </w:tc>
        <w:tc>
          <w:tcPr>
            <w:tcW w:w="12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16"/>
              </w:rPr>
            </w:pPr>
            <w:r>
              <w:rPr>
                <w:sz w:val="16"/>
              </w:rPr>
              <w:t>(20,480</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85" w:type="dxa"/>
            <w:tcBorders/>
            <w:vAlign w:val="center"/>
          </w:tcPr>
          <w:p>
            <w:pPr>
              <w:pStyle w:val="TableContents"/>
              <w:bidi w:val="0"/>
              <w:spacing w:before="0" w:after="283"/>
              <w:jc w:val="left"/>
              <w:rPr>
                <w:sz w:val="16"/>
              </w:rPr>
            </w:pPr>
            <w:r>
              <w:rPr>
                <w:sz w:val="16"/>
              </w:rPr>
              <w:t>Issuance of common stock to former stockholders of ARCA biopharma, Inc. in connection with the closing of the reverse recapitalization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1,208,883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sz w:val="16"/>
              </w:rPr>
            </w:pPr>
            <w:r>
              <w:rPr>
                <w:sz w:val="16"/>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16"/>
              </w:rPr>
            </w:pPr>
            <w:r>
              <w:rPr>
                <w:sz w:val="16"/>
              </w:rPr>
              <w:t>4,999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sz w:val="16"/>
              </w:rPr>
            </w:pPr>
            <w:r>
              <w:rPr>
                <w:sz w:val="16"/>
              </w:rPr>
              <w:t>5,000</w:t>
            </w:r>
          </w:p>
        </w:tc>
        <w:tc>
          <w:tcPr>
            <w:tcW w:w="75" w:type="dxa"/>
            <w:tcBorders/>
            <w:vAlign w:val="center"/>
          </w:tcPr>
          <w:p>
            <w:pPr>
              <w:pStyle w:val="TableContents"/>
              <w:bidi w:val="0"/>
              <w:spacing w:before="0" w:after="283"/>
              <w:ind w:left="0" w:right="0" w:hanging="180"/>
              <w:jc w:val="left"/>
              <w:rPr/>
            </w:pPr>
            <w:r>
              <w:rPr/>
              <w:t> </w:t>
            </w:r>
          </w:p>
        </w:tc>
      </w:tr>
      <w:tr>
        <w:trPr/>
        <w:tc>
          <w:tcPr>
            <w:tcW w:w="1085" w:type="dxa"/>
            <w:tcBorders/>
            <w:shd w:fill="CCEEFF" w:val="clear"/>
            <w:vAlign w:val="center"/>
          </w:tcPr>
          <w:p>
            <w:pPr>
              <w:pStyle w:val="TableContents"/>
              <w:bidi w:val="0"/>
              <w:spacing w:before="0" w:after="283"/>
              <w:jc w:val="left"/>
              <w:rPr>
                <w:sz w:val="16"/>
              </w:rPr>
            </w:pPr>
            <w:r>
              <w:rPr>
                <w:sz w:val="16"/>
              </w:rPr>
              <w:t>Issuance of common stock, Series A non-voting convertible preferred stock, and pre-funded warrants in connection with the PIPE Financing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16"/>
              </w:rPr>
            </w:pPr>
            <w:r>
              <w:rPr>
                <w:sz w:val="16"/>
              </w:rPr>
              <w:t>2,439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56,097</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5,600,000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sz w:val="16"/>
              </w:rPr>
            </w:pPr>
            <w:r>
              <w:rPr>
                <w:sz w:val="16"/>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144,433</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16"/>
              </w:rPr>
            </w:pPr>
            <w:r>
              <w:rPr>
                <w:sz w:val="16"/>
              </w:rPr>
              <w:t>144,439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85" w:type="dxa"/>
            <w:tcBorders/>
            <w:vAlign w:val="center"/>
          </w:tcPr>
          <w:p>
            <w:pPr>
              <w:pStyle w:val="TableContents"/>
              <w:bidi w:val="0"/>
              <w:spacing w:before="0" w:after="283"/>
              <w:jc w:val="left"/>
              <w:rPr>
                <w:sz w:val="16"/>
              </w:rPr>
            </w:pPr>
            <w:r>
              <w:rPr>
                <w:sz w:val="16"/>
              </w:rPr>
              <w:t>Issuance cost of PIPE Financing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sz w:val="16"/>
              </w:rPr>
            </w:pPr>
            <w:r>
              <w:rPr>
                <w:sz w:val="16"/>
              </w:rPr>
              <w:t>(3,256</w:t>
            </w:r>
          </w:p>
        </w:tc>
        <w:tc>
          <w:tcPr>
            <w:tcW w:w="80" w:type="dxa"/>
            <w:tcBorders/>
            <w:vAlign w:val="center"/>
          </w:tcPr>
          <w:p>
            <w:pPr>
              <w:pStyle w:val="TableContents"/>
              <w:bidi w:val="0"/>
              <w:spacing w:before="0" w:after="283"/>
              <w:jc w:val="left"/>
              <w:rPr>
                <w:sz w:val="16"/>
              </w:rPr>
            </w:pPr>
            <w:r>
              <w:rPr>
                <w:sz w:val="16"/>
              </w:rPr>
              <w:t>)</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16"/>
              </w:rPr>
            </w:pPr>
            <w:r>
              <w:rPr>
                <w:sz w:val="16"/>
              </w:rPr>
              <w:t>(8,573</w:t>
            </w:r>
          </w:p>
        </w:tc>
        <w:tc>
          <w:tcPr>
            <w:tcW w:w="125"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sz w:val="16"/>
              </w:rPr>
            </w:pPr>
            <w:r>
              <w:rPr>
                <w:sz w:val="16"/>
              </w:rPr>
              <w:t>(8,573</w:t>
            </w:r>
          </w:p>
        </w:tc>
        <w:tc>
          <w:tcPr>
            <w:tcW w:w="75" w:type="dxa"/>
            <w:tcBorders/>
            <w:vAlign w:val="center"/>
          </w:tcPr>
          <w:p>
            <w:pPr>
              <w:pStyle w:val="TableContents"/>
              <w:bidi w:val="0"/>
              <w:spacing w:before="0" w:after="283"/>
              <w:ind w:left="0" w:right="0" w:hanging="180"/>
              <w:jc w:val="left"/>
              <w:rPr>
                <w:sz w:val="16"/>
              </w:rPr>
            </w:pPr>
            <w:r>
              <w:rPr>
                <w:sz w:val="16"/>
              </w:rPr>
              <w:t>)</w:t>
            </w:r>
          </w:p>
        </w:tc>
      </w:tr>
      <w:tr>
        <w:trPr/>
        <w:tc>
          <w:tcPr>
            <w:tcW w:w="1085" w:type="dxa"/>
            <w:tcBorders/>
            <w:shd w:fill="CCEEFF" w:val="clear"/>
            <w:vAlign w:val="center"/>
          </w:tcPr>
          <w:p>
            <w:pPr>
              <w:pStyle w:val="TableContents"/>
              <w:bidi w:val="0"/>
              <w:spacing w:before="0" w:after="283"/>
              <w:jc w:val="left"/>
              <w:rPr>
                <w:sz w:val="16"/>
              </w:rPr>
            </w:pPr>
            <w:r>
              <w:rPr>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1,750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16"/>
              </w:rPr>
            </w:pPr>
            <w:r>
              <w:rPr>
                <w:sz w:val="16"/>
              </w:rPr>
              <w:t>1,750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85" w:type="dxa"/>
            <w:tcBorders/>
            <w:vAlign w:val="center"/>
          </w:tcPr>
          <w:p>
            <w:pPr>
              <w:pStyle w:val="TableContents"/>
              <w:bidi w:val="0"/>
              <w:spacing w:before="0" w:after="283"/>
              <w:jc w:val="left"/>
              <w:rPr>
                <w:sz w:val="16"/>
              </w:rPr>
            </w:pPr>
            <w:r>
              <w:rPr>
                <w:sz w:val="16"/>
              </w:rPr>
              <w:t>Net loss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433"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bottom w:val="single" w:sz="12" w:space="0" w:color="000000"/>
            </w:tcBorders>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bottom w:val="single" w:sz="12" w:space="0" w:color="000000"/>
            </w:tcBorders>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tcMar>
              <w:bottom w:w="28" w:type="dxa"/>
            </w:tcMar>
            <w:vAlign w:val="center"/>
          </w:tcPr>
          <w:p>
            <w:pPr>
              <w:pStyle w:val="TableContents"/>
              <w:bidi w:val="0"/>
              <w:spacing w:before="0" w:after="283"/>
              <w:jc w:val="right"/>
              <w:rPr>
                <w:sz w:val="16"/>
              </w:rPr>
            </w:pPr>
            <w:r>
              <w:rPr>
                <w:sz w:val="16"/>
              </w:rPr>
              <w:t>(28,623</w:t>
            </w:r>
          </w:p>
        </w:tc>
        <w:tc>
          <w:tcPr>
            <w:tcW w:w="125" w:type="dxa"/>
            <w:tcBorders/>
            <w:vAlign w:val="center"/>
          </w:tcPr>
          <w:p>
            <w:pPr>
              <w:pStyle w:val="TableContents"/>
              <w:bidi w:val="0"/>
              <w:spacing w:before="0" w:after="283"/>
              <w:jc w:val="left"/>
              <w:rPr>
                <w:sz w:val="16"/>
              </w:rPr>
            </w:pPr>
            <w:r>
              <w:rPr>
                <w:sz w:val="16"/>
              </w:rPr>
              <w:t>) </w:t>
            </w:r>
          </w:p>
        </w:tc>
        <w:tc>
          <w:tcPr>
            <w:tcW w:w="6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(28,623</w:t>
            </w:r>
          </w:p>
        </w:tc>
        <w:tc>
          <w:tcPr>
            <w:tcW w:w="75" w:type="dxa"/>
            <w:tcBorders/>
            <w:vAlign w:val="center"/>
          </w:tcPr>
          <w:p>
            <w:pPr>
              <w:pStyle w:val="TableContents"/>
              <w:bidi w:val="0"/>
              <w:spacing w:before="0" w:after="283"/>
              <w:ind w:left="0" w:right="0" w:hanging="180"/>
              <w:jc w:val="left"/>
              <w:rPr>
                <w:sz w:val="16"/>
              </w:rPr>
            </w:pPr>
            <w:r>
              <w:rPr>
                <w:sz w:val="16"/>
              </w:rPr>
              <w:t>) </w:t>
            </w:r>
          </w:p>
        </w:tc>
      </w:tr>
      <w:tr>
        <w:trPr/>
        <w:tc>
          <w:tcPr>
            <w:tcW w:w="1085" w:type="dxa"/>
            <w:tcBorders/>
            <w:shd w:fill="CCEEFF" w:val="clear"/>
            <w:vAlign w:val="center"/>
          </w:tcPr>
          <w:p>
            <w:pPr>
              <w:pStyle w:val="TableContents"/>
              <w:bidi w:val="0"/>
              <w:spacing w:before="0" w:after="283"/>
              <w:jc w:val="left"/>
              <w:rPr>
                <w:b/>
                <w:sz w:val="16"/>
              </w:rPr>
            </w:pPr>
            <w:r>
              <w:rPr>
                <w:b/>
                <w:sz w:val="16"/>
              </w:rPr>
              <w:t>Balances as of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52,841</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137,138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34,998,550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84"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397,345</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11"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(57,943</w:t>
            </w:r>
          </w:p>
        </w:tc>
        <w:tc>
          <w:tcPr>
            <w:tcW w:w="125" w:type="dxa"/>
            <w:tcBorders/>
            <w:shd w:fill="CCEEFF" w:val="clear"/>
            <w:vAlign w:val="center"/>
          </w:tcPr>
          <w:p>
            <w:pPr>
              <w:pStyle w:val="TableContents"/>
              <w:bidi w:val="0"/>
              <w:spacing w:before="0" w:after="283"/>
              <w:jc w:val="left"/>
              <w:rPr>
                <w:sz w:val="16"/>
              </w:rPr>
            </w:pPr>
            <w:r>
              <w:rPr>
                <w:sz w:val="16"/>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5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342,368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ORUKA THERAPEUTICS, INC.</w:t>
        <w:br/>
        <w:t>CONDENSED CONSOLIDATED STATEMENT OF CASH FLOWS</w:t>
        <w:br/>
        <w:t>(UNAUDITED)</w:t>
        <w:b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27"/>
        <w:gridCol w:w="60"/>
        <w:gridCol w:w="224"/>
        <w:gridCol w:w="1292"/>
        <w:gridCol w:w="102"/>
      </w:tblGrid>
      <w:tr>
        <w:trPr/>
        <w:tc>
          <w:tcPr>
            <w:tcW w:w="85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 xml:space="preserve">February 6, </w:t>
              <w:br/>
              <w:t xml:space="preserve">2024 </w:t>
              <w:br/>
              <w:t xml:space="preserve">(Inception) to </w:t>
              <w:br/>
              <w:t xml:space="preserve">September 30, </w:t>
              <w:br/>
              <w:t>2024</w:t>
            </w:r>
          </w:p>
        </w:tc>
        <w:tc>
          <w:tcPr>
            <w:tcW w:w="102" w:type="dxa"/>
            <w:tcBorders/>
            <w:vAlign w:val="center"/>
          </w:tcPr>
          <w:p>
            <w:pPr>
              <w:pStyle w:val="TableContents"/>
              <w:bidi w:val="0"/>
              <w:spacing w:before="0" w:after="283"/>
              <w:jc w:val="left"/>
              <w:rPr/>
            </w:pPr>
            <w:r>
              <w:rPr/>
              <w:t> </w:t>
            </w:r>
          </w:p>
        </w:tc>
      </w:tr>
      <w:tr>
        <w:trPr/>
        <w:tc>
          <w:tcPr>
            <w:tcW w:w="8527"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516" w:type="dxa"/>
            <w:gridSpan w:val="2"/>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(57,943</w:t>
            </w:r>
          </w:p>
        </w:tc>
        <w:tc>
          <w:tcPr>
            <w:tcW w:w="102" w:type="dxa"/>
            <w:tcBorders/>
            <w:shd w:fill="CCEEFF" w:val="clear"/>
            <w:vAlign w:val="center"/>
          </w:tcPr>
          <w:p>
            <w:pPr>
              <w:pStyle w:val="TableContents"/>
              <w:bidi w:val="0"/>
              <w:spacing w:before="0" w:after="283"/>
              <w:ind w:left="0" w:right="0" w:hanging="360"/>
              <w:jc w:val="left"/>
              <w:rPr/>
            </w:pPr>
            <w:r>
              <w:rPr/>
              <w:t>)</w:t>
            </w:r>
          </w:p>
        </w:tc>
      </w:tr>
      <w:tr>
        <w:trPr/>
        <w:tc>
          <w:tcPr>
            <w:tcW w:w="8527" w:type="dxa"/>
            <w:tcBorders/>
            <w:vAlign w:val="center"/>
          </w:tcPr>
          <w:p>
            <w:pPr>
              <w:pStyle w:val="TableContents"/>
              <w:bidi w:val="0"/>
              <w:spacing w:before="0" w:after="283"/>
              <w:jc w:val="left"/>
              <w:rPr/>
            </w:pPr>
            <w:r>
              <w:rPr/>
              <w:t>Adjustments to reconcile net loss to net cash used in operating activities:</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11</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pPr>
            <w:r>
              <w:rPr/>
              <w:t>Stock-based compensation expense</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9,769</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Non-cash interest expense</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1,468</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pPr>
            <w:r>
              <w:rPr/>
              <w:t>Non-cash lease expense</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65</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pPr>
            <w:r>
              <w:rPr/>
              <w:t>Prepaid expenses and other current assets</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(1,980</w:t>
            </w:r>
          </w:p>
        </w:tc>
        <w:tc>
          <w:tcPr>
            <w:tcW w:w="102" w:type="dxa"/>
            <w:tcBorders/>
            <w:vAlign w:val="center"/>
          </w:tcPr>
          <w:p>
            <w:pPr>
              <w:pStyle w:val="TableContents"/>
              <w:bidi w:val="0"/>
              <w:spacing w:before="0" w:after="283"/>
              <w:ind w:left="0" w:right="0" w:hanging="360"/>
              <w:jc w:val="left"/>
              <w:rPr/>
            </w:pPr>
            <w:r>
              <w:rPr/>
              <w:t>)</w:t>
            </w:r>
          </w:p>
        </w:tc>
      </w:tr>
      <w:tr>
        <w:trPr/>
        <w:tc>
          <w:tcPr>
            <w:tcW w:w="8527"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(43</w:t>
            </w:r>
          </w:p>
        </w:tc>
        <w:tc>
          <w:tcPr>
            <w:tcW w:w="102" w:type="dxa"/>
            <w:tcBorders/>
            <w:shd w:fill="CCEEFF" w:val="clear"/>
            <w:vAlign w:val="center"/>
          </w:tcPr>
          <w:p>
            <w:pPr>
              <w:pStyle w:val="TableContents"/>
              <w:bidi w:val="0"/>
              <w:spacing w:before="0" w:after="283"/>
              <w:ind w:left="0" w:right="0" w:hanging="360"/>
              <w:jc w:val="left"/>
              <w:rPr/>
            </w:pPr>
            <w:r>
              <w:rPr/>
              <w:t>)</w:t>
            </w:r>
          </w:p>
        </w:tc>
      </w:tr>
      <w:tr>
        <w:trPr/>
        <w:tc>
          <w:tcPr>
            <w:tcW w:w="8527" w:type="dxa"/>
            <w:tcBorders/>
            <w:vAlign w:val="center"/>
          </w:tcPr>
          <w:p>
            <w:pPr>
              <w:pStyle w:val="TableContents"/>
              <w:bidi w:val="0"/>
              <w:spacing w:before="0" w:after="283"/>
              <w:jc w:val="left"/>
              <w:rPr/>
            </w:pPr>
            <w:r>
              <w:rPr/>
              <w:t>Accounts payable</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1,621</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1,650</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pPr>
            <w:r>
              <w:rPr/>
              <w:t>Operating lease liability</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6</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Related party accounts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6,357</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pPr>
            <w:r>
              <w:rPr/>
              <w:t>Net cash used in operating activities</w:t>
            </w:r>
          </w:p>
        </w:tc>
        <w:tc>
          <w:tcPr>
            <w:tcW w:w="6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tcMar>
              <w:bottom w:w="28" w:type="dxa"/>
            </w:tcMar>
            <w:vAlign w:val="center"/>
          </w:tcPr>
          <w:p>
            <w:pPr>
              <w:pStyle w:val="TableContents"/>
              <w:bidi w:val="0"/>
              <w:spacing w:before="0" w:after="283"/>
              <w:jc w:val="right"/>
              <w:rPr/>
            </w:pPr>
            <w:r>
              <w:rPr/>
              <w:t>(39,019</w:t>
            </w:r>
          </w:p>
        </w:tc>
        <w:tc>
          <w:tcPr>
            <w:tcW w:w="102" w:type="dxa"/>
            <w:tcBorders/>
            <w:vAlign w:val="center"/>
          </w:tcPr>
          <w:p>
            <w:pPr>
              <w:pStyle w:val="TableContents"/>
              <w:bidi w:val="0"/>
              <w:spacing w:before="0" w:after="283"/>
              <w:ind w:left="0" w:right="0" w:hanging="360"/>
              <w:jc w:val="left"/>
              <w:rPr/>
            </w:pPr>
            <w:r>
              <w:rPr/>
              <w:t>)</w:t>
            </w:r>
          </w:p>
        </w:tc>
      </w:tr>
      <w:tr>
        <w:trPr/>
        <w:tc>
          <w:tcPr>
            <w:tcW w:w="8527"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8527" w:type="dxa"/>
            <w:tcBorders/>
            <w:vAlign w:val="center"/>
          </w:tcPr>
          <w:p>
            <w:pPr>
              <w:pStyle w:val="TableContents"/>
              <w:bidi w:val="0"/>
              <w:spacing w:before="0" w:after="283"/>
              <w:jc w:val="left"/>
              <w:rPr/>
            </w:pPr>
            <w:r>
              <w:rPr/>
              <w:t>Purchases of property and equipment</w:t>
            </w:r>
          </w:p>
        </w:tc>
        <w:tc>
          <w:tcPr>
            <w:tcW w:w="6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tcMar>
              <w:bottom w:w="28" w:type="dxa"/>
            </w:tcMar>
            <w:vAlign w:val="center"/>
          </w:tcPr>
          <w:p>
            <w:pPr>
              <w:pStyle w:val="TableContents"/>
              <w:bidi w:val="0"/>
              <w:spacing w:before="0" w:after="283"/>
              <w:jc w:val="right"/>
              <w:rPr/>
            </w:pPr>
            <w:r>
              <w:rPr/>
              <w:t>(171</w:t>
            </w:r>
          </w:p>
        </w:tc>
        <w:tc>
          <w:tcPr>
            <w:tcW w:w="102" w:type="dxa"/>
            <w:tcBorders/>
            <w:vAlign w:val="center"/>
          </w:tcPr>
          <w:p>
            <w:pPr>
              <w:pStyle w:val="TableContents"/>
              <w:bidi w:val="0"/>
              <w:spacing w:before="0" w:after="283"/>
              <w:ind w:left="0" w:right="0" w:hanging="360"/>
              <w:jc w:val="left"/>
              <w:rPr/>
            </w:pPr>
            <w:r>
              <w:rPr/>
              <w:t>)</w:t>
            </w:r>
          </w:p>
        </w:tc>
      </w:tr>
      <w:tr>
        <w:trPr/>
        <w:tc>
          <w:tcPr>
            <w:tcW w:w="8527"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(171</w:t>
            </w:r>
          </w:p>
        </w:tc>
        <w:tc>
          <w:tcPr>
            <w:tcW w:w="102" w:type="dxa"/>
            <w:tcBorders/>
            <w:shd w:fill="CCEEFF" w:val="clear"/>
            <w:vAlign w:val="center"/>
          </w:tcPr>
          <w:p>
            <w:pPr>
              <w:pStyle w:val="TableContents"/>
              <w:bidi w:val="0"/>
              <w:spacing w:before="0" w:after="283"/>
              <w:ind w:left="0" w:right="0" w:hanging="360"/>
              <w:jc w:val="left"/>
              <w:rPr/>
            </w:pPr>
            <w:r>
              <w:rPr/>
              <w:t>)</w:t>
            </w:r>
          </w:p>
        </w:tc>
      </w:tr>
      <w:tr>
        <w:trPr/>
        <w:tc>
          <w:tcPr>
            <w:tcW w:w="8527" w:type="dxa"/>
            <w:tcBorders/>
            <w:vAlign w:val="center"/>
          </w:tcPr>
          <w:p>
            <w:pPr>
              <w:pStyle w:val="TableContents"/>
              <w:bidi w:val="0"/>
              <w:spacing w:before="0" w:after="283"/>
              <w:jc w:val="left"/>
              <w:rPr>
                <w:b/>
              </w:rPr>
            </w:pPr>
            <w:r>
              <w:rPr>
                <w:b/>
              </w:rPr>
              <w:t>Cash flows from financing activities:</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Proceeds from issuance of Pre-Merger Oruka Series A Preferred Stock, net of issuance costs paid</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2,931</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pPr>
            <w:r>
              <w:rPr/>
              <w:t>Proceeds from issuance of notes payable to related parties, net of issuance costs paid</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24,980</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Proceeds from the Pre-Closing Financing, net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228,127</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pPr>
            <w:r>
              <w:rPr/>
              <w:t>Proceeds from the PIPE Financing, net</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189,087</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Cash acquired in connection with the reverse recapitalization</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4,940</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pPr>
            <w:r>
              <w:rPr/>
              <w:t>Net cash provided by financing activities</w:t>
            </w:r>
          </w:p>
        </w:tc>
        <w:tc>
          <w:tcPr>
            <w:tcW w:w="6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tcMar>
              <w:bottom w:w="28" w:type="dxa"/>
            </w:tcMar>
            <w:vAlign w:val="center"/>
          </w:tcPr>
          <w:p>
            <w:pPr>
              <w:pStyle w:val="TableContents"/>
              <w:bidi w:val="0"/>
              <w:spacing w:before="0" w:after="283"/>
              <w:jc w:val="right"/>
              <w:rPr/>
            </w:pPr>
            <w:r>
              <w:rPr/>
              <w:t>450,065</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410,875</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pPr>
            <w:r>
              <w:rPr/>
              <w:t>Cash at beginning of period</w:t>
            </w:r>
          </w:p>
        </w:tc>
        <w:tc>
          <w:tcPr>
            <w:tcW w:w="6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tcMar>
              <w:bottom w:w="28" w:type="dxa"/>
            </w:tcMar>
            <w:vAlign w:val="center"/>
          </w:tcPr>
          <w:p>
            <w:pPr>
              <w:pStyle w:val="TableContents"/>
              <w:bidi w:val="0"/>
              <w:spacing w:before="0" w:after="0"/>
              <w:jc w:val="right"/>
              <w:rPr/>
            </w:pPr>
            <w:r>
              <w:rPr/>
              <w:t>-</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2" w:type="dxa"/>
            <w:tcBorders>
              <w:bottom w:val="double" w:sz="10" w:space="0" w:color="000000"/>
            </w:tcBorders>
            <w:shd w:fill="CCEEFF" w:val="clear"/>
            <w:tcMar>
              <w:bottom w:w="28" w:type="dxa"/>
            </w:tcMar>
            <w:vAlign w:val="center"/>
          </w:tcPr>
          <w:p>
            <w:pPr>
              <w:pStyle w:val="TableContents"/>
              <w:bidi w:val="0"/>
              <w:spacing w:before="0" w:after="283"/>
              <w:jc w:val="right"/>
              <w:rPr/>
            </w:pPr>
            <w:r>
              <w:rPr/>
              <w:t>410,875</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b/>
              </w:rPr>
            </w:pPr>
            <w:r>
              <w:rPr>
                <w:b/>
              </w:rPr>
              <w:t>Supplemental disclosure of non-cash operating and financing activities:</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Operating lease liability arising from obtaining operating right-of-use asset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982</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pPr>
            <w:r>
              <w:rPr/>
              <w:t>Assets acquired in connection with the reverse recapitalization</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292" w:type="dxa"/>
            <w:tcBorders/>
            <w:vAlign w:val="center"/>
          </w:tcPr>
          <w:p>
            <w:pPr>
              <w:pStyle w:val="TableContents"/>
              <w:bidi w:val="0"/>
              <w:spacing w:before="0" w:after="283"/>
              <w:jc w:val="right"/>
              <w:rPr/>
            </w:pPr>
            <w:r>
              <w:rPr/>
              <w:t>114</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Other liabilities assumed in connection with the reverse recapitalization</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(54</w:t>
            </w:r>
          </w:p>
        </w:tc>
        <w:tc>
          <w:tcPr>
            <w:tcW w:w="102" w:type="dxa"/>
            <w:tcBorders/>
            <w:shd w:fill="CCEEFF" w:val="clear"/>
            <w:vAlign w:val="center"/>
          </w:tcPr>
          <w:p>
            <w:pPr>
              <w:pStyle w:val="TableContents"/>
              <w:bidi w:val="0"/>
              <w:spacing w:before="0" w:after="283"/>
              <w:ind w:left="0" w:right="0" w:hanging="360"/>
              <w:jc w:val="left"/>
              <w:rPr/>
            </w:pPr>
            <w:r>
              <w:rPr/>
              <w:t>)</w:t>
            </w:r>
          </w:p>
        </w:tc>
      </w:tr>
      <w:tr>
        <w:trPr/>
        <w:tc>
          <w:tcPr>
            <w:tcW w:w="8527" w:type="dxa"/>
            <w:tcBorders/>
            <w:vAlign w:val="center"/>
          </w:tcPr>
          <w:p>
            <w:pPr>
              <w:pStyle w:val="TableContents"/>
              <w:bidi w:val="0"/>
              <w:spacing w:before="0" w:after="283"/>
              <w:jc w:val="left"/>
              <w:rPr/>
            </w:pPr>
            <w:r>
              <w:rPr/>
              <w:t>Pre-Closing Financing and reverse recapitalization issuance costs included in accounts payable</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292" w:type="dxa"/>
            <w:tcBorders/>
            <w:vAlign w:val="center"/>
          </w:tcPr>
          <w:p>
            <w:pPr>
              <w:pStyle w:val="TableContents"/>
              <w:bidi w:val="0"/>
              <w:spacing w:before="0" w:after="283"/>
              <w:jc w:val="right"/>
              <w:rPr/>
            </w:pPr>
            <w:r>
              <w:rPr/>
              <w:t>150</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PIPE Financing issuance costs included in accounts payable</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374</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pPr>
            <w:r>
              <w:rPr/>
              <w:t>PIPE Financing issuance costs included in accrued expenses and other current liabilities</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292" w:type="dxa"/>
            <w:tcBorders/>
            <w:vAlign w:val="center"/>
          </w:tcPr>
          <w:p>
            <w:pPr>
              <w:pStyle w:val="TableContents"/>
              <w:bidi w:val="0"/>
              <w:spacing w:before="0" w:after="283"/>
              <w:jc w:val="right"/>
              <w:rPr/>
            </w:pPr>
            <w:r>
              <w:rPr/>
              <w:t>6</w:t>
            </w:r>
          </w:p>
        </w:tc>
        <w:tc>
          <w:tcPr>
            <w:tcW w:w="102" w:type="dxa"/>
            <w:tcBorders/>
            <w:vAlign w:val="center"/>
          </w:tcPr>
          <w:p>
            <w:pPr>
              <w:pStyle w:val="TableContents"/>
              <w:bidi w:val="0"/>
              <w:spacing w:before="0" w:after="283"/>
              <w:ind w:left="0" w:right="0" w:hanging="360"/>
              <w:jc w:val="left"/>
              <w:rPr/>
            </w:pPr>
            <w:r>
              <w:rPr/>
              <w:t> </w:t>
            </w:r>
          </w:p>
        </w:tc>
      </w:tr>
      <w:tr>
        <w:trPr/>
        <w:tc>
          <w:tcPr>
            <w:tcW w:w="8527" w:type="dxa"/>
            <w:tcBorders/>
            <w:shd w:fill="CCEEFF" w:val="clear"/>
            <w:vAlign w:val="center"/>
          </w:tcPr>
          <w:p>
            <w:pPr>
              <w:pStyle w:val="TableContents"/>
              <w:bidi w:val="0"/>
              <w:spacing w:before="0" w:after="283"/>
              <w:jc w:val="left"/>
              <w:rPr/>
            </w:pPr>
            <w:r>
              <w:rPr/>
              <w:t>Non-cash accrued interest on convertible note converted to common stock</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1,468</w:t>
            </w:r>
          </w:p>
        </w:tc>
        <w:tc>
          <w:tcPr>
            <w:tcW w:w="102" w:type="dxa"/>
            <w:tcBorders/>
            <w:shd w:fill="CCEEFF" w:val="clear"/>
            <w:vAlign w:val="center"/>
          </w:tcPr>
          <w:p>
            <w:pPr>
              <w:pStyle w:val="TableContents"/>
              <w:bidi w:val="0"/>
              <w:spacing w:before="0" w:after="283"/>
              <w:ind w:left="0" w:right="0" w:hanging="360"/>
              <w:jc w:val="left"/>
              <w:rPr/>
            </w:pPr>
            <w:r>
              <w:rPr/>
              <w:t> </w:t>
            </w:r>
          </w:p>
        </w:tc>
      </w:tr>
      <w:tr>
        <w:trPr/>
        <w:tc>
          <w:tcPr>
            <w:tcW w:w="8527" w:type="dxa"/>
            <w:tcBorders/>
            <w:vAlign w:val="center"/>
          </w:tcPr>
          <w:p>
            <w:pPr>
              <w:pStyle w:val="TableContents"/>
              <w:bidi w:val="0"/>
              <w:spacing w:before="0" w:after="283"/>
              <w:jc w:val="left"/>
              <w:rPr/>
            </w:pPr>
            <w:r>
              <w:rPr/>
              <w:t>Non-cash exchange of Pre-Merger Oruka Series A Preferred Stock for Company Series B Convertible Preferred Stock</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292" w:type="dxa"/>
            <w:tcBorders/>
            <w:vAlign w:val="center"/>
          </w:tcPr>
          <w:p>
            <w:pPr>
              <w:pStyle w:val="TableContents"/>
              <w:bidi w:val="0"/>
              <w:spacing w:before="0" w:after="283"/>
              <w:jc w:val="right"/>
              <w:rPr/>
            </w:pPr>
            <w:r>
              <w:rPr/>
              <w:t>2,931</w:t>
            </w:r>
          </w:p>
        </w:tc>
        <w:tc>
          <w:tcPr>
            <w:tcW w:w="10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ORUKA THERAPEUTICS, INC.</w:t>
        <w:br/>
        <w:t>NOTES TO CONDENSED CONSOLIDATED FINANCIAL STATEMENTS</w:t>
        <w:br/>
        <w:t>(UNAUDITED)</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the Business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 and Basis of Presentation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 together with its subsidiaries (collectively, the “Company”), formerly known as ARCA biopharma, Inc. (“ARCA”), is an early-stage biotechnology company that is the result of the reverse recapitalization discussed below. Prior to the reverse recapitalization, the private company Oruka Therapeutics, Inc. (“Pre-Merger Oruka”) was established and incorporated under the laws of the state of Delaware on February 6, 2024 (referred to in the Notes as the inception of the Company). The Company is headquartered in Menlo Park, California. The Company is focused on developing biologics to optimize the treatment of inflammatory skin diseases.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condensed consolidated financial statements reflect, in the opinion of management, all adjustments of a normal and recurring nature that are necessary for a fair statement of the Company’s financial position as of September 30, 2024, and its results of operations for the three months ended September 30, 2024 and from February 6, 2024 (inception) to September 30, 2024, and cash flows for the period from February 6, 2024 (inception) to September 30, 2024. The condensed balance sheet as of February 6, 2024, included in the condensed consolidated balance sheets was derived from the Company’s audited financial statements. The condensed consolidated financial statements and accompanying notes are prepared in accordance with United States (“U.S.”) generally accepted accounting principles (“GAAP”) for interim financial reporting and the rules and regulations of the U.S. Securities and Exchange Commission (the “SEC”) and therefore do not include all information and disclosures normally included in the annual consolidated financial statements.</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for the three months ended September 30, 2024 and the period from February 6, 2024 (inception) to September 30, 2024 are not necessarily indicative of results expected for the full fiscal year or any subsequent interim period. The condensed consolidated financial statements include the financial statements of its wholly-owned subsidiaries. All significant intercompany balances and transactions have been eliminated in consolidation.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Recapitalization and Pre-Closing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Company consummated the previously announced business combination (“Closing”) pursuant to that certain Agreement and Plan of Merger and Reorganization, dated April 3, 2024 (the “Merger Agreement”), by and among ARCA, Atlas Merger Sub Corp, a wholly owned subsidiary of ARCA (“First Merger Sub”), Atlas Merger Sub II, LLC, a wholly owned subsidiary of ARCA (“Second Merger Sub”) and Pre-Merger Oruka, pursuant to which, among other matters, Pre-Merger Oruka merged with and into First Merger Sub, with Pre-Merger Oruka continuing as a wholly owned subsidiary of ARCA and the surviving corporation of the merger (“First Merger”) and following that, Pre-Merger Oruka then merged with and into Second Merger Sub, with Second Merger Sub being the surviving entity of the second merger (the “Second Merger” and together with the First Merger, the “Merger”). Following consummation of the Merger, the Company effected a 1-for-12 reverse stock split (the “Reverse Stock Split”) of the common stock, par value $0.001 per share, of the Company (“Company Common Stock”), which became effective on September 3, 2024. The Company Common Stock commenced trading on a post-Reverse Stock Split, post-Merger basis at the opening of trading on September 3, 2024. Second Merger Sub changed its corporate name to “Oruka Therapeutics Operating Company, LLC” and ARCA changed its name to “Oruka Therapeutics, Inc.” The Company is led by the Pre-Merger Oruka management team and remains focused on developing biologics to optimize the treatment of inflammatory skin diseases.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execution and delivery of the Merger Agreement on April 3, 2024, certain new and existing investors of Pre-Merger Oruka entered into a subscription agreement with Pre-Merger Oruka (the “Subscription Agreement”), pursuant to which, and on the terms and subject to the conditions of which, immediately prior to the Closing, those investors purchased shares of common stock of Pre-Merger Oruka (“Pre-Merger Oruka Common Stock”) and Pre-Merger Oruka pre-funded warrants for gross proceeds of approximately $275.0 million (which includes $25.0 million of proceeds previously received from the issuance of the Convertible Note (as defined in Note 6) and accrued interest on such note which converted to shares of Pre-Merger Oruka Common Stock) (the “Pre-Closing Financing”). The Company incurred transaction costs of $20.5 million which was recorded as a reduction to additional paid-in capital in the unaudited condensed consolidated financial statements. At the Closing, the shares of Pre-Merger Oruka Common Stock and Pre-Merger Oruka pre-funded warrants issued pursuant to the Subscription Agreement were converted into shares of Company Common Stock and pre-funded warrants of Company Common Stock in accordance with the Exchange Ratio (defined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an Exchange Ratio determined by terms of the Merger Agreement and upon the effective time of the First Merger (the “First Effective Time”), (i) each then-issued and outstanding share of Pre-Merger Oruka Common Stock including outstanding and unvested Pre-Merger Oruka restricted stock and shares of Pre-Merger Oruka Common Stock issued in connection with the Subscription Agreement, were converted into the right to receive a number of shares of Company Common Stock, equal to the Exchange Ratio of 6.8569 shares of Company Common Stock, which were subject to the same vesting provisions as those immediately prior to the Merger, (ii) each share of Pre-Merger Oruka Series A convertible preferred stock, par value $0.0001 (“Pre-Merger Oruka Series A Preferred Stock”), outstanding immediately prior to the First Effective Time was converted into the right to receive a number of shares of ARCA Series B non-voting convertible preferred stock, par value $0.001 per share (“Company Series B Preferred Stock”), which are convertible into shares of Company Common Stock, at a conversion ratio of approximately 83:3332:1 (iii) each outstanding option to purchase Pre-Merger Oruka Common Stock was converted into an option to purchase shares of Company Common Stock, (iv) each outstanding warrant to purchase shares of Pre-Merger Oruka Common Stock was converted into a warrant to purchase shares of Company Common Stock, and (v) each share of Company Common Stock issued and outstanding at the First Effective Time remain issued and outstanding in accordance with its terms and such shares. Subsequent to the close of the merger, the common stock shares were then, subject to the reverse stock split of 1-for-12 effected on September 3, 2024. Net loss per share for periods prior to the close of the reverse recapitalization has been revised to reflect the exchange ratio. After applying the exchange ratio and the reverse stock split, net loss per share for the periods from February 6, 2024 (inception) to March 31, 2024 and for three months ended June 30, 2024 and from February 6, 2024 (inception) to June 30, 2024 are $(2.21), $(6.96), and $(9.17),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Pre-Closing Financing and the Closing, investors in the Pre-Closing Financing received 22,784,139 shares of Company Common Stock in exchange for 39,873,706 shares of Pre-Merger Oruka Common Stock (which includes the issuance of 2,722,207 shares of Company Common Stock in exchange for 4,764,032 shares of Pre-Merger Oruka Common Stock on the conversion of Convertible Note along with the accrued interest through the conversion date) and 5,522,207 Company pre-funded warrants in exchange for 9,664,208 Pre-Merger pre-funded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accounted for as a reverse recapitalization in accordance with U.S. GAAP. Under this method of accounting, Pre-Merger Oruka was deemed to be the accounting acquirer for financial reporting purposes. This determination was primarily based on the fact that, immediately following the Merger: (i) Pre-Merger Oruka stockholders own a substantial majority of the voting rights in the combined company; (ii) Pre-Merger Oruka’s largest stockholders retain the largest interest in the combined company; (iii) Pre-Merger Oruka designated a majority of the initial members of the board of directors of the combined company; and (iv) Pre-Merger Oruka’s executive management team became the management team of the combined company. Accordingly, for accounting purposes: (i) the Merger was treated as the equivalent of Pre-Merger Oruka issuing stock to acquire the net assets of ARCA, and (ii) the reported historical operating results of the combined company prior to the Merger are those of Pre-Merger Oruka. Additional information regarding the Merger is included in Note 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2024, the Company effected the Reverse Stock Split, a 1-for-12 reverse stock split of Company Common Stock. The par value per share and the number of authorized shares were not adjusted as a result of the Reverse Stock Split. The shares of Company Common Stock underlying outstanding stock options, common stock warrants and other equity instruments were proportionately reduced and the respective exercise prices, if applicable, were proportionately increased in accordance with the terms of the agreements governing such securities. All references to common stock, options to purchase common stock, outstanding common stock warrants, common stock share data, per share data, and related information contained in the condensed consolidated financial statements have been retrospectively adjusted to reflect the effect of the Reverse Stock Split for all periods presented, unless otherwise specifically indicated or the context otherwise requires.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the Company entered into a Securities Purchase Agreement for a private placement (the “PIPE Financing”) with certain institutional and accredited investors. The closing of the PIPE Financing occurred on September 13,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the investors purchased an aggregate of 5,600,000 shares of Company Common Stock at a purchase price of $23.00 per share, an aggregate of 2,439 shares of the Company’s Series A non-voting convertible preferred stock, par value $0.001 per share (“Company Series A Preferred Stock”), at a purchase price of $23,000.00 per share (each Company Series A Preferred Stock is convertible into 1,000 shares of Company Common Stock), and pre-funded warrants to purchase an aggregate of 680,000 shares of Company Common Stock at a purchase price of $22.999 per pre-funded warrant, for aggregate net proceeds of approximately $188.7 million (net of issuance costs of $11.8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Until such time as the Company can generate significant revenue from product sales, if ever, the Company expects to finance its operating activities through a combination of equity offerings and debt financings.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generated any revenue from product sales or other sources and has incurred significant operating losses and negative cash flows from operations since inception. The Company has incurred a net loss of $28.6 million for the three months ended September 30, 2024 and $57.9 million during the period from February 6, 2024 (inception) to September 30, 2024. For the period from February 6, 2024 (inception) to September 30, 2024, the Company used net cash of $39.0 million for its operating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the Company had cash and cash equivalents of $410.9 million. The Company’s management expects that the existing cash and cash equivalents will be sufficient to fund the Company’s operating plans for at least twelve months from the date these condensed consolidated financial statements were issued. The Company expects that its research and development and general and administrative costs will continue to increase significantly, including in connection with conducting future pre-clinical activities and clinical trials and manufacturing for its existing product candidates and any future product candidates to support commercialization and providing general and administrative support for its operations,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in conformity with U.S. GAAP requires management to make estimates, assumptions, and judgments that affect the reported amounts of assets and liabilities and the disclosure of contingent liabilities at the date of the condensed consolidated financial statements and the reported amounts of income and expenses during the reporting periods. Significant estimates and assumptions reflected within these condensed consolidated financial statements include but are not limited to research and development expenses and related prepaid or accrued costs and the valuation of stock-based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could differ materially from those estimates or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 and Other Risks and Uncertainties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and cash equivalents are maintained with financial institutions in the United States of America. Cash balances are held at financial institutions and account balances may exceed federally insured limits. To date, the Company has not experienced any losses on its cash and cash equivalents and periodically evaluates the creditworthiness of its financial institutions.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credit risk associated with its investment portfolio through its investment policy, which limits investments to high-quality issuers and limits the amount of its portfolio that can be invested in a single issuer.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dependent on third-party organizations to research, develop, manufacture, and process its product candidates for its development programs, including its two most advanced programs, ORKA-001 and ORKA-002.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 A significant amount of the Company’s research and development activities are performed under its agreements with Paragon Therapeutics, Inc. (“Paragon”) (see Note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at the time of initial purchase to be cash equivalents. The cash equivalents were comprised of investments in money market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Issuance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incurred in connection with the Convertible Note (see Note 6) are recorded as a reduction of the carrying value of the notes payable liability on the Company’s balance sheet and are amortized to interest expense over the term of the loan using the effective interest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Receivable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any notes received in exchange for common stock as a subscription receivable, provided the note underlying the receivable is paid prior to the date the financial statement is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0" w:after="0"/>
        <w:ind w:left="960" w:right="0" w:hanging="36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170"/>
        <w:gridCol w:w="6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that are identical assets or liabilities.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equivalents are carried at fair value, determined according to the fair value hierarchy described above (see Note 4). The carrying values of the Company’s prepaid expenses and other current assets, accounts payable and accrued expenses and other current liabilities approximate their fair values due to their relatively short maturity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Depreciation expense is recognized using the straight-line method over the estimated useful life of each asset as follows:</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3035"/>
        <w:gridCol w:w="60"/>
        <w:gridCol w:w="2210"/>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 Useful Life</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 years</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Computer and office equipment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 years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Classification of Convertible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reverse recapitalization, the Company had classified its Pre-Merger Oruka Series A Preferred Stock outside of stockholders’ equity (deficit) on the Company’s condensed consolidated balance sheet because the holders of such stock have certain liquidation rights in the event of a deemed liquidation event that, in certain situations, is not solely within the control of the Company and would require the redemption of the then-outstanding convertible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the Company converted its Pre-Merger Oruka Series A Preferred Stock to Company Series B Preferred Stock and has classified the Company Series B Preferred Stock within stockholders’ equity (deficit) on its condensed consolidated balance sheet because the Company Series B Preferred Stock is not redeemable or puttable to the Company by the holder under any circumstances.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PIPE Financing (see Note 1) the Company issued Company Series A Preferred Stock, and has classified the Company Series A Preferred Stock outside of stockholders’ equity (deficit) on the Company’s condensed consolidated balance sheet because the holders of such stock have certain rights (see Note 7) that, in certain situations, is not solely within the control of the Company and would require the redemption of the then-outstanding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Payable to Related Party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Convertible Note (as defined in Note 6) at amortized cost. The Company considered if optional conversion features are required to be bifurcated and separately accounted for as a derivative. Costs related to the issuance of the Convertible Note were recorded as a debt discount, amortized over the term of the Convertible Note (see Note 6) and were accounted as interest expense in other income (expenses) within the condensed consolidated statements of operations and comprehensive loss using the effective interest method. At the effective time of the Merger, shares of Pre-Merger Oruka Common Stock issued pursuant to the conversion of the Convertible Note (including accrued interest) automatically converted into shares of Company Common Stock (see Note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Contract Costs Accruals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costs associated with research studies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organizations (“CROs”) and contract manufacturing organizations (“CMOs”), and the Company’s related-party Paragon (see Note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accrues for expenses resulting from obligations under its two antibody discovery and option agreements (the “Option Agreements”) (see Note 10), by and among Paragon, Paruka Holding LLC (“Paruka”), an entity formed by Paragon as a vehicle to hold equity in the Company, and the Company as well as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If advance payments are made to Paragon, a CRO, CMO, or outside service provider, the payments will be recorded as a prepaid asset which will be expensed as the contracted services are performed. Changes in these estimates that result in material changes to the Company’s accruals could materially affect the Company’s results of operations. As of September 30, 2024, the Company has not experienced any material deviations between accrued and actual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lease commencement date, when control of the underlying asset is transferred from the lessor to the Company, the Company classifies a lease as either an operating or finance lease and recognizes a right-of-use (“ROU”) asset and a current and non-current lease liability, as applicable, in the balance sheet if the lease has a term greater than one year. Lease terms may include options to extend or terminate the lease when it is reasonably certain that the Company will exercise its option.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lease commencement date, operating lease liabilities and their corresponding ROU assets are recorded at the present value of future minimum lease payments over the expected remaining lease term. The Company determines the present value of lease payments using the implicit rate, if it is readily determinable, or the risk-free discount rate for a period comparable with that of the lease term. For operating leases, lease expense for lease payments is recognized on a straight-line basis over the lease term. For finance leases, lease expense includes amortization expense of the ROU asset recognized on a straight-line basis over the lease term and interest expense recognized on the finance lease liability. In addition, certain adjustments to the ROU asset may be required for items such as lease prepayments, incentives received or initial direct costs. As of September 30, 2024, the Company has one operating lease and no finance leases.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and non-lease components related to operating leases as a single lease component. The Company has elected that costs associated with leases having an initial term of 12 months or less are recognized in the condensed consolidated statement of operations and comprehensive loss on a straight-line basis over the lease term and are not recorded on its condensed consolidated balance sheets. Variable lease expense is recognized as incurred and consists primarily of real estate taxes, utilities, and other office space related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as a single segment for the purposes of assessing performance and making operating decisions. The Company’s chief executive officer, who is the chief operating decision maker (the “CODM”), reviews the Company’s financial information on an aggregated basis for purposes of evaluating financial performance and allocating resources.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costs include salaries and bonuses, stock-based compensation, employee benefits, and external costs of vendors and consultants engaged to conduct research and development activities, as well as allocated human resource costs, information technology costs, and facility-related costs, including rent, maintenance, utilities, and depreciation.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Nonrefundable advance payments for goods or services to be received in the future for use in research and development activities are recorded as prepaid expenses on the accompanying condensed consolidated balance sheet. The prepaid amounts are expensed as the related goods are delivered or the services are performed, or when it is no longer expected that the goods will be delivered, or the services rendered. If nonrefundable advance payments represent a one-time cost for obtaining goods or services, with anticipated benefits to be utilized within a year of period end, the payment is expensed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and bonuses, stock-based compensation, employee benefits, finance and administration costs, patent and intellectual property costs, professional fees, as well as allocated human resource costs, information technology costs, and facility-related costs, including rent, maintenance, utilities and depreciation.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and Contingencies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balance sheet. The Company does not accrue for contingent losses that, in its judgment, are considered to be reasonably possible, but not probable; however, it discloses the range of reasonably possible losses. As of September 30, 2024, no liabilities were recorded for loss contingencies (see Note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stock-based awards granted to employees, directors, and non-employees in the form of stock options to purchase shares of its common stock, based on the fair value of the awards on the date of grant using the Black-Scholes option-pricing model. The Company measures restricted common stock awards (“RSAs”) using the difference, if any, between the purchase price per share of the award and the fair value of the Company’s common stock at the date of grant.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stock options, restricted stock awards, and warrants that are subject to service or performance-based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the Company had paid cash in exchange for the goods or services, which is generally over the vesting period of the award. Forfeitures are accounted for as they occur. As of each reporting date, the Company estimates the probability that specified performance criteria will be met and does not recognize compensation expense until it is probable that the performance-based vesting condition will be achieved.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stock options, warrants, and RSAs with service-based and performance-based vesting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compensation expense for the option to purchase common stock under the Employee Stock Purchase Plan (“ESPP”), based on the fair value of the common stock estimated using the closing price of the Company’s common stock as reported on the date of offering, less the purchase discount percentage provided for in the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its condensed consolidated statement of operations and comprehensive loss in the same manner in which the award recipient’s payroll costs are classified or in which the award recipient’s service payments are 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 Attributable to Stockholders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attributable to stockholders per share is presented in conformity with the two-class method required for participating securities (Pre-Merger Oruka Series A Preferred Stock). Basic earnings per share is computed by dividing net income available to each class of shares by the weighted-average number of shares of common stock and participating securities outstanding during the period. Pre-funded warrants were included as the exercise price is negligible and these warrants are fully vested and exercisable. Company Series A Preferred Stock and Company Series B Preferred Stock share the same characteristics as Common Stock and have no substantive preference attributed to them and, accordingly, have been considered as classes of Common Stock in the computation of net loss per share regardless of their legal form.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is allocated to common stock based on its proportional ownership on an as-converted basis. Net loss is not allocated to participating securities as they do not have an obligation to fund losses. The weighted-average number of shares outstanding of common stock reflects changes in ownership over the periods presented. See Note 7— Convertible Preferred Stock and Stockholders’ Equity.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loss per share is computed by dividing the net loss attributable to stockholders adjusted for income (expenses), net of tax, related to any diluted securities, by the weighted-average number of shares of common stock and potentially dilutive securities outstanding for the period. For purposes of this calculation, stock options to purchase common stock, employee warrants to purchase common stock, and unvested RSAs are considered potential dilutive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generated a net loss for the periods presented. Accordingly, basic and diluted net loss per share is the same because the inclusion of the potentially dilutive securities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estimating the future taxable profits expected and considering prudent and feasible tax planning strategies.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recognized in the condensed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condensed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accrued no amounts for interest or penalties related to uncertain tax positions as of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Financial Accounting Standards Board (“FASB”) issued Accounting Standards Update (“ASU”) 2023-07,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Topic 280</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Improvements to Reportable Segment Disclosures</w:t>
      </w:r>
      <w:r>
        <w:rPr>
          <w:rFonts w:ascii="Times New Roman;Times;Serif" w:hAnsi="Times New Roman;Times;Serif"/>
          <w:b w:val="false"/>
          <w:i w:val="false"/>
          <w:caps w:val="false"/>
          <w:smallCaps w:val="false"/>
          <w:sz w:val="20"/>
        </w:rPr>
        <w:t xml:space="preserve"> (“ASU 2023-07”), which enhances the segment disclosure requirements for public entities on an annual and interim basis. Under this proposal, public entities will be required to disclose significant segment expenses that are regularly provided to the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Early adoption is permitted. The Company is currently evaluating the impact of the adoption of this ASU on its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This ASU expands disclosures in an entity’s income tax rate reconciliation table and disclosures regarding taxes paid both in the U.S. and foreign jurisdictions. This update is effective beginning with the Company’s 2025 fiscal year annual reporting period. The Company is currently evaluating the impact of the adoption of this ASU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evaluating the impact of the adoption of this ASU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Reverse Recapitalization and Pre-Closing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within the </w:t>
      </w:r>
      <w:r>
        <w:rPr>
          <w:rFonts w:ascii="Times New Roman;Times;Serif" w:hAnsi="Times New Roman;Times;Serif"/>
          <w:b w:val="false"/>
          <w:i/>
          <w:caps w:val="false"/>
          <w:smallCaps w:val="false"/>
          <w:sz w:val="20"/>
        </w:rPr>
        <w:t xml:space="preserve">Reverse Recapitalization and Pre-Closing Financing </w:t>
      </w:r>
      <w:r>
        <w:rPr>
          <w:rFonts w:ascii="Times New Roman;Times;Serif" w:hAnsi="Times New Roman;Times;Serif"/>
          <w:b w:val="false"/>
          <w:i w:val="false"/>
          <w:caps w:val="false"/>
          <w:smallCaps w:val="false"/>
          <w:sz w:val="20"/>
        </w:rPr>
        <w:t>section in Note 1, on August 29, 2024, the reverse recapitalization between Pre-Merger Oruka and ARCA was consummated. The Merger was accounted for as a reverse recapitalization in accordance with U.S. GAAP. At the effective time of the Merger, substantially all of the assets of ARCA consisted of cash and cash equivalents and other nominal non-operating assets and liabilities. No goodwill or intangible assets were recognized.</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recapitalization, the Company acquired the assets and liabilities listed below (in thousands):</w:t>
      </w:r>
    </w:p>
    <w:p>
      <w:pPr>
        <w:pStyle w:val="TextBody"/>
        <w:bidi w:val="0"/>
        <w:spacing w:before="0" w:after="0"/>
        <w:ind w:left="0" w:right="0" w:firstLine="360"/>
        <w:jc w:val="left"/>
        <w:rPr>
          <w:caps w:val="false"/>
          <w:smallCaps w:val="false"/>
        </w:rPr>
      </w:pPr>
      <w:r>
        <w:rPr>
          <w:caps w:val="false"/>
          <w:smallCaps w:val="false"/>
        </w:rPr>
        <w:t> </w:t>
      </w:r>
    </w:p>
    <w:tbl>
      <w:tblPr>
        <w:tblW w:w="3555" w:type="dxa"/>
        <w:jc w:val="left"/>
        <w:tblInd w:w="0" w:type="dxa"/>
        <w:tblLayout w:type="fixed"/>
        <w:tblCellMar>
          <w:top w:w="0" w:type="dxa"/>
          <w:left w:w="0" w:type="dxa"/>
          <w:bottom w:w="0" w:type="dxa"/>
          <w:right w:w="0" w:type="dxa"/>
        </w:tblCellMar>
      </w:tblPr>
      <w:tblGrid>
        <w:gridCol w:w="2525"/>
        <w:gridCol w:w="60"/>
        <w:gridCol w:w="172"/>
        <w:gridCol w:w="688"/>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4,940</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Other current assets</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114</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w:t>
            </w:r>
          </w:p>
        </w:tc>
      </w:tr>
      <w:tr>
        <w:trPr/>
        <w:tc>
          <w:tcPr>
            <w:tcW w:w="2525" w:type="dxa"/>
            <w:tcBorders/>
            <w:vAlign w:val="center"/>
          </w:tcPr>
          <w:p>
            <w:pPr>
              <w:pStyle w:val="TableContents"/>
              <w:bidi w:val="0"/>
              <w:spacing w:before="0" w:after="283"/>
              <w:jc w:val="left"/>
              <w:rPr/>
            </w:pPr>
            <w:r>
              <w:rPr/>
              <w:t>Net assets acquired</w:t>
            </w:r>
          </w:p>
        </w:tc>
        <w:tc>
          <w:tcPr>
            <w:tcW w:w="6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tcMar>
              <w:bottom w:w="28" w:type="dxa"/>
            </w:tcMar>
            <w:vAlign w:val="center"/>
          </w:tcPr>
          <w:p>
            <w:pPr>
              <w:pStyle w:val="TableContents"/>
              <w:bidi w:val="0"/>
              <w:spacing w:before="0" w:after="283"/>
              <w:jc w:val="right"/>
              <w:rPr/>
            </w:pPr>
            <w:r>
              <w:rPr/>
              <w:t>5,000</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Company’s fair value hierarchy for financial assets measured as of September 30, 2024 (in thousands):</w:t>
      </w:r>
    </w:p>
    <w:p>
      <w:pPr>
        <w:pStyle w:val="TextBody"/>
        <w:bidi w:val="0"/>
        <w:spacing w:before="0" w:after="0"/>
        <w:ind w:left="0" w:right="0" w:firstLine="720"/>
        <w:jc w:val="both"/>
        <w:rPr>
          <w:caps w:val="false"/>
          <w:smallCaps w:val="false"/>
        </w:rPr>
      </w:pPr>
      <w:r>
        <w:rPr>
          <w:caps w:val="false"/>
          <w:smallCaps w:val="false"/>
        </w:rPr>
        <w:t> </w:t>
      </w:r>
    </w:p>
    <w:tbl>
      <w:tblPr>
        <w:tblW w:w="7499" w:type="dxa"/>
        <w:jc w:val="left"/>
        <w:tblInd w:w="0" w:type="dxa"/>
        <w:tblLayout w:type="fixed"/>
        <w:tblCellMar>
          <w:top w:w="0" w:type="dxa"/>
          <w:left w:w="0" w:type="dxa"/>
          <w:bottom w:w="0" w:type="dxa"/>
          <w:right w:w="0" w:type="dxa"/>
        </w:tblCellMar>
      </w:tblPr>
      <w:tblGrid>
        <w:gridCol w:w="2000"/>
        <w:gridCol w:w="60"/>
        <w:gridCol w:w="241"/>
        <w:gridCol w:w="1378"/>
        <w:gridCol w:w="103"/>
        <w:gridCol w:w="103"/>
        <w:gridCol w:w="264"/>
        <w:gridCol w:w="490"/>
        <w:gridCol w:w="103"/>
        <w:gridCol w:w="103"/>
        <w:gridCol w:w="264"/>
        <w:gridCol w:w="490"/>
        <w:gridCol w:w="103"/>
        <w:gridCol w:w="103"/>
        <w:gridCol w:w="241"/>
        <w:gridCol w:w="1378"/>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 as of September 30, 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6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Financial assets:</w:t>
            </w:r>
          </w:p>
        </w:tc>
        <w:tc>
          <w:tcPr>
            <w:tcW w:w="60" w:type="dxa"/>
            <w:tcBorders/>
            <w:vAlign w:val="center"/>
          </w:tcPr>
          <w:p>
            <w:pPr>
              <w:pStyle w:val="TableContents"/>
              <w:bidi w:val="0"/>
              <w:spacing w:before="0" w:after="283"/>
              <w:jc w:val="left"/>
              <w:rPr/>
            </w:pPr>
            <w:r>
              <w:rPr/>
              <w:t> </w:t>
            </w:r>
          </w:p>
        </w:tc>
        <w:tc>
          <w:tcPr>
            <w:tcW w:w="1619" w:type="dxa"/>
            <w:gridSpan w:val="2"/>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6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78" w:type="dxa"/>
            <w:tcBorders>
              <w:bottom w:val="single" w:sz="12" w:space="0" w:color="000000"/>
            </w:tcBorders>
            <w:shd w:fill="CCEEFF" w:val="clear"/>
            <w:tcMar>
              <w:bottom w:w="28" w:type="dxa"/>
            </w:tcMar>
            <w:vAlign w:val="center"/>
          </w:tcPr>
          <w:p>
            <w:pPr>
              <w:pStyle w:val="TableContents"/>
              <w:bidi w:val="0"/>
              <w:spacing w:before="0" w:after="283"/>
              <w:jc w:val="right"/>
              <w:rPr/>
            </w:pPr>
            <w:r>
              <w:rPr/>
              <w:t>403,322</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78" w:type="dxa"/>
            <w:tcBorders>
              <w:bottom w:val="single" w:sz="12" w:space="0" w:color="000000"/>
            </w:tcBorders>
            <w:shd w:fill="CCEEFF" w:val="clear"/>
            <w:tcMar>
              <w:bottom w:w="28" w:type="dxa"/>
            </w:tcMar>
            <w:vAlign w:val="center"/>
          </w:tcPr>
          <w:p>
            <w:pPr>
              <w:pStyle w:val="TableContents"/>
              <w:bidi w:val="0"/>
              <w:spacing w:before="0" w:after="283"/>
              <w:jc w:val="right"/>
              <w:rPr/>
            </w:pPr>
            <w:r>
              <w:rPr/>
              <w:t>403,322</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Total financial assets</w:t>
            </w:r>
          </w:p>
        </w:tc>
        <w:tc>
          <w:tcPr>
            <w:tcW w:w="60" w:type="dxa"/>
            <w:tcBorders/>
            <w:vAlign w:val="center"/>
          </w:tcPr>
          <w:p>
            <w:pPr>
              <w:pStyle w:val="TableContents"/>
              <w:bidi w:val="0"/>
              <w:spacing w:before="0" w:after="283"/>
              <w:jc w:val="left"/>
              <w:rPr/>
            </w:pPr>
            <w:r>
              <w:rPr/>
              <w:t> </w:t>
            </w:r>
          </w:p>
        </w:tc>
        <w:tc>
          <w:tcPr>
            <w:tcW w:w="241" w:type="dxa"/>
            <w:tcBorders>
              <w:bottom w:val="double" w:sz="10" w:space="0" w:color="000000"/>
            </w:tcBorders>
            <w:tcMar>
              <w:bottom w:w="28" w:type="dxa"/>
            </w:tcMar>
            <w:vAlign w:val="center"/>
          </w:tcPr>
          <w:p>
            <w:pPr>
              <w:pStyle w:val="TableContents"/>
              <w:bidi w:val="0"/>
              <w:spacing w:before="0" w:after="283"/>
              <w:jc w:val="left"/>
              <w:rPr/>
            </w:pPr>
            <w:r>
              <w:rPr/>
              <w:t>$</w:t>
            </w:r>
          </w:p>
        </w:tc>
        <w:tc>
          <w:tcPr>
            <w:tcW w:w="1378" w:type="dxa"/>
            <w:tcBorders>
              <w:bottom w:val="double" w:sz="10" w:space="0" w:color="000000"/>
            </w:tcBorders>
            <w:tcMar>
              <w:bottom w:w="28" w:type="dxa"/>
            </w:tcMar>
            <w:vAlign w:val="center"/>
          </w:tcPr>
          <w:p>
            <w:pPr>
              <w:pStyle w:val="TableContents"/>
              <w:bidi w:val="0"/>
              <w:spacing w:before="0" w:after="283"/>
              <w:jc w:val="right"/>
              <w:rPr/>
            </w:pPr>
            <w:r>
              <w:rPr/>
              <w:t>403,322</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64" w:type="dxa"/>
            <w:tcBorders>
              <w:bottom w:val="double" w:sz="10" w:space="0" w:color="000000"/>
            </w:tcBorders>
            <w:tcMar>
              <w:bottom w:w="28" w:type="dxa"/>
            </w:tcMar>
            <w:vAlign w:val="center"/>
          </w:tcPr>
          <w:p>
            <w:pPr>
              <w:pStyle w:val="TableContents"/>
              <w:bidi w:val="0"/>
              <w:spacing w:before="0" w:after="283"/>
              <w:jc w:val="left"/>
              <w:rPr/>
            </w:pPr>
            <w:r>
              <w:rPr/>
              <w:t>$</w:t>
            </w:r>
          </w:p>
        </w:tc>
        <w:tc>
          <w:tcPr>
            <w:tcW w:w="490" w:type="dxa"/>
            <w:tcBorders>
              <w:bottom w:val="double" w:sz="10" w:space="0" w:color="000000"/>
            </w:tcBorders>
            <w:tcMar>
              <w:bottom w:w="28" w:type="dxa"/>
            </w:tcMar>
            <w:vAlign w:val="center"/>
          </w:tcPr>
          <w:p>
            <w:pPr>
              <w:pStyle w:val="TableContents"/>
              <w:bidi w:val="0"/>
              <w:spacing w:before="0" w:after="0"/>
              <w:jc w:val="right"/>
              <w:rPr/>
            </w:pPr>
            <w:r>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64" w:type="dxa"/>
            <w:tcBorders>
              <w:bottom w:val="double" w:sz="10" w:space="0" w:color="000000"/>
            </w:tcBorders>
            <w:tcMar>
              <w:bottom w:w="28" w:type="dxa"/>
            </w:tcMar>
            <w:vAlign w:val="center"/>
          </w:tcPr>
          <w:p>
            <w:pPr>
              <w:pStyle w:val="TableContents"/>
              <w:bidi w:val="0"/>
              <w:spacing w:before="0" w:after="283"/>
              <w:jc w:val="left"/>
              <w:rPr/>
            </w:pPr>
            <w:r>
              <w:rPr/>
              <w:t>$</w:t>
            </w:r>
          </w:p>
        </w:tc>
        <w:tc>
          <w:tcPr>
            <w:tcW w:w="490" w:type="dxa"/>
            <w:tcBorders>
              <w:bottom w:val="double" w:sz="10" w:space="0" w:color="000000"/>
            </w:tcBorders>
            <w:tcMar>
              <w:bottom w:w="28" w:type="dxa"/>
            </w:tcMar>
            <w:vAlign w:val="center"/>
          </w:tcPr>
          <w:p>
            <w:pPr>
              <w:pStyle w:val="TableContents"/>
              <w:bidi w:val="0"/>
              <w:spacing w:before="0" w:after="0"/>
              <w:jc w:val="right"/>
              <w:rPr/>
            </w:pPr>
            <w:r>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1" w:type="dxa"/>
            <w:tcBorders>
              <w:bottom w:val="double" w:sz="10" w:space="0" w:color="000000"/>
            </w:tcBorders>
            <w:tcMar>
              <w:bottom w:w="28" w:type="dxa"/>
            </w:tcMar>
            <w:vAlign w:val="center"/>
          </w:tcPr>
          <w:p>
            <w:pPr>
              <w:pStyle w:val="TableContents"/>
              <w:bidi w:val="0"/>
              <w:spacing w:before="0" w:after="283"/>
              <w:jc w:val="left"/>
              <w:rPr/>
            </w:pPr>
            <w:r>
              <w:rPr/>
              <w:t>$</w:t>
            </w:r>
          </w:p>
        </w:tc>
        <w:tc>
          <w:tcPr>
            <w:tcW w:w="1378" w:type="dxa"/>
            <w:tcBorders>
              <w:bottom w:val="double" w:sz="10" w:space="0" w:color="000000"/>
            </w:tcBorders>
            <w:tcMar>
              <w:bottom w:w="28" w:type="dxa"/>
            </w:tcMar>
            <w:vAlign w:val="center"/>
          </w:tcPr>
          <w:p>
            <w:pPr>
              <w:pStyle w:val="TableContents"/>
              <w:bidi w:val="0"/>
              <w:spacing w:before="0" w:after="283"/>
              <w:jc w:val="right"/>
              <w:rPr/>
            </w:pPr>
            <w:r>
              <w:rPr/>
              <w:t>403,322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between Level 1, Level 2, or Level 3 during the period from February 6, 2024 (inception) to September 30, 2024.</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Accrued Expenses and Other Current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(in thousands):</w:t>
      </w:r>
    </w:p>
    <w:p>
      <w:pPr>
        <w:pStyle w:val="TextBody"/>
        <w:bidi w:val="0"/>
        <w:spacing w:before="0" w:after="0"/>
        <w:ind w:left="0" w:right="0" w:firstLine="36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4385"/>
        <w:gridCol w:w="60"/>
        <w:gridCol w:w="295"/>
        <w:gridCol w:w="1180"/>
        <w:gridCol w:w="75"/>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2024</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Accrued employee compensation and benefits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933</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Accrued professional and consulting</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204</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Accrued research and development</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573</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bottom w:val="double" w:sz="10" w:space="0" w:color="000000"/>
            </w:tcBorders>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tcMar>
              <w:bottom w:w="28" w:type="dxa"/>
            </w:tcMar>
            <w:vAlign w:val="center"/>
          </w:tcPr>
          <w:p>
            <w:pPr>
              <w:pStyle w:val="TableContents"/>
              <w:bidi w:val="0"/>
              <w:spacing w:before="0" w:after="283"/>
              <w:jc w:val="right"/>
              <w:rPr/>
            </w:pPr>
            <w:r>
              <w:rPr/>
              <w:t>1,710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Note Payable with Related Party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a Series A Preferred Stock and Convertible Note Purchase Agreement (the “Purchase Agreement”) with Fairmount Healthcare Fund II, L.P. (“Fairmount”), whereby the Company issued a convertible note (the “Convertible Note”), with an initial principal amount of $25.0 million that, at the time of issuance, could be converted into Pre-Merger Oruka Series A Preferred Stock (or a series of preferred shares that is identical in respect to the shares of preferred shares issued in its next equity financing) or shares of Pre-Merger Oruka Common Stock in exchange for aggregate proceeds of $25.0 million. The Convertible Note accrued interest at a rate of 12.0% per annum. At issuance, the Convertible Note required all unpaid interest and principal to mature on December 31, 2025 (the “Maturity Date”) and prepayment was not permitted without prior written consent of Fairmount. At issuance, the principal payment along with the accrued interest on the Convertible Note was due in full on the Maturity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assessed all terms and features of the Convertible Note in order to identify any potential embedded features that would require bifurcation. As part of this analysis, the Company assessed the economic characteristics and risks of the embedded features. The Company determined that the share settled redemption feature was clearly and closely related to the debt host and did not require separate accounting. The Company determined that the conversion options of the Convertible Note were not clearly and closely associated with a debt host. However, these features did not meet the definition of a derivative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as a result, did not require separate accounting as a derivative liability.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debt issuance costs of less than $0.1 million in relation to the Convertible Note. The debt issuance costs were reflected as a reduction of the carrying value of Convertible Note on the condensed consolidated balance sheet and were being amortized as interest expense over the term of the Convertible Note using the effective interest method. For the three months ended September 30, 2024 and the period from February 6, 2024 (inception) to September 30, 2024, the Company recognized interest expenses related to the Convertible Note of $0.5 million and $1.5 million, respectively, which includes non-cash interest expense related to the amortization of debt issuance.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completion of the Merger (see Note 1), the Convertible Note was converted into shares of Pre-Merger Oruka Common Stock based on the aggregate principal amount of $25.0 million, plus unpaid accrued interest of $1.5 million divided by the conversion price which was determined based upon the Company’s fully-diluted capitalization immediately prior to the Merger. At the effective time of the Merger, the Pre-Merger Oruka Common Stock issued upon the conversion of the Convertible Note (including accrued interest) automatically converted into 2,722,207 shares of Company Common Stock. As of September 30, 2024, the Convertible Note is not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Convertible Preferred Stock and Stockholders’ Equity</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Pre-Funded Warrants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pursuant to the Subscription Agreement and immediately prior to the Closing, certain new and current investors purchased pre-funded warrants, which, at the effective time of the Merger, were exercisable for 5,522,207 shares of Company Common Stock at a purchase price of approximately $9.70 per warrant. After the Merger, there are 5,522,207 pre-funded warrants outstanding and are exercisable for 5,522,207 shares of the Company Common Stock at an exercise price of $0.01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in connection with the PIPE Financing, the Company issued and sold 680,000 pre-funded warrants, at a purchase price of $22.999 per warrant, exercisable for 680,000 shares of Company Common Stock at an exercise price of $0.001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were recorded as a component of stockholders’ equity within additional paid-in-capital and have no expiration date. As of September 30, 2024, none of the pre-funded warrants have been exercised and 6,202,207 pre-funded warrants remain outstanding.</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Warrants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Pre-Merger Oruka entered into a Subscription Agreement that provided for, among other things, the issuance of warrants to certain of Pre-Merger Oruka’s employees, directors, and service providers immediately prior to the closing of the Merger. During the three months ended September 30, 2024, 3,054,358 employee warrants were issued at an exercise price of $7.80 per warrant. These employee warrants vest over a period of four years. Per the terms of the Employee Warrant Agreement, the holders of the Company’s employee warrants shall not have any of the rights or privileges of a stockholder of the Company in respect of any shares purchasable upon the exercise of the warrant or any portion thereof unless and until a certificate or certificates representing such shares have been issued or a book entry representing such shares has been made and such shares have been deposited with the appropriate registered book-entry custodian. The Company recognizes compensation cost related to employee warrants on a straight-line basis over the requisite service period, which is the period in which the related services are received. As of September 30, 2024, none of the employee warrants have been exercised and 3,054,358 employee warrants remain outstanding.</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Pre-Merger Oruka issued and sold an aggregate of 20,000,000 shares of Pre-Merger Oruka Series A Preferred Stock to Fairmount (see Note 13), at a purchase price of approximately $0.15 per share, for aggregate gross proceeds of $3.0 million. Pre-Merger Oruka incurred less than $0.1 million of issuance costs in connection with this transaction. Upon the issuance of the Pre-Merger Oruka Series A Preferred Stock, the Company assessed the embedded conversion and liquidation features of the securities as described below and determined that such features did not require the Company to separately account for these features.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upon the closing of the Merger, the Company converted the Pre-Merger Oruka Series A Preferred Stock to 137,138 shares of Company Series B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in connection with the PIPE Financing, the Company issued and sold an aggregate of 2,439 shares of the Company Series A Preferred Stock at a purchase price of $23,000.00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convertible preferred stock consisted of the following (in thousands, except share data):</w:t>
      </w:r>
    </w:p>
    <w:p>
      <w:pPr>
        <w:pStyle w:val="TextBody"/>
        <w:bidi w:val="0"/>
        <w:spacing w:before="0" w:after="0"/>
        <w:ind w:left="0" w:right="0" w:firstLine="36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3590"/>
        <w:gridCol w:w="60"/>
        <w:gridCol w:w="114"/>
        <w:gridCol w:w="1526"/>
        <w:gridCol w:w="60"/>
        <w:gridCol w:w="60"/>
        <w:gridCol w:w="114"/>
        <w:gridCol w:w="1526"/>
        <w:gridCol w:w="60"/>
        <w:gridCol w:w="60"/>
        <w:gridCol w:w="164"/>
        <w:gridCol w:w="801"/>
        <w:gridCol w:w="60"/>
        <w:gridCol w:w="60"/>
        <w:gridCol w:w="82"/>
        <w:gridCol w:w="1513"/>
        <w:gridCol w:w="7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2024</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Preferred Stock</w:t>
              <w:b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Preferred Stock</w:t>
              <w:br/>
              <w:t>Issued and</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 Stock</w:t>
              <w:br/>
              <w:t>Issuable Upon</w:t>
              <w:br/>
              <w:t>Conversion</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Series A Non-Voting Preferred Stock</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2,439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2,439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52,841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2,439,000</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Series B Non-Voting Preferred Stock</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right"/>
              <w:rPr/>
            </w:pPr>
            <w:r>
              <w:rPr/>
              <w:t>251,504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right"/>
              <w:rPr/>
            </w:pPr>
            <w:r>
              <w:rPr/>
              <w:t>137,138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801" w:type="dxa"/>
            <w:tcBorders/>
            <w:vAlign w:val="center"/>
          </w:tcPr>
          <w:p>
            <w:pPr>
              <w:pStyle w:val="TableContents"/>
              <w:bidi w:val="0"/>
              <w:spacing w:before="0" w:after="283"/>
              <w:jc w:val="right"/>
              <w:rPr/>
            </w:pPr>
            <w:r>
              <w:rPr/>
              <w:t>2,931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11,428,149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 of Preferences, Rights and Limitations of the Series A Non-Voting Convertible Preferred Stock (the “Series A Certificate of Designation”) filed in connection with the PIPE Financing, holders of Company Series A Preferred Stock are entitled to receive dividends on shares of Company Series A Preferred Stock equal to, on an as-if-converted-to-Company Common Stock basis, and in the same form as, dividends actually paid on shares of Company Common Stock. Except as provided in the Series A Certificate of Designation or as otherwise required by law, the Company Series A Preferred Stock does not have voting rights. The Company Series A Preferred Stock shall rank on parity with the Company Common Stock and Company Series B Preferred Stock upon any liquidation, dissolution or winding-up of the Company. Subject to the terms and limitations contained in the Series A Certificate of Designation, the Company Series A Preferred Stock issued in the PIPE Financing will not become convertible until the Company’s stockholders approve the conversion of the Company Series A Preferred Stock into shares of Company Common Stock in accordance with the listing rules of the Nasdaq Stock Market (the “Stockholder Approval”), which resulted in the Company Series A Preferred Stock being classified outside of stockholders’ equity (deficit) on the Company’s condensed consolidated balance sheet. Following the Stockholder Approval, each share of Company Series A Preferred Stock will automatically convert into 1,000 shares of Company Common Stock, subject to certain limitations, including that shares of Company Series A Preferred Stock shall not be convertible if the conversion would result in a holder, together with its affiliates, beneficially owning more than 9.99% of the Company’s outstanding shares of Company Common Stock as of the applicable conversion date, which may be increased at the holders’ option (not to exceed 19.99%), effective in accordance with the terms of the Series A Certificate of Designation. If, at any time after the earlier of Stockholder Approval or six months after the initial issuance of the Series A non-voting preferred stock, the Company fails to deliver to a holder such certificate or certificates, the Company shall, at the request of the holder, pay an amount equal to the closing price of Company’s common stock on the trading day immediately prior to the date on which notice to conversion is received by the Company (the “Fair Value”) of such undelivered shares, with such payment to be made within two business days from the date of request by the holder, whereupon the Company’s obligations to deliver such shares underlying the notice of conversion shall be extinguished upon payment in full of the Fair Value of such undelivered shares; provided, however that such request shall be presumed to have been made by such holder if Stockholder Approval shall not have been obtained prior to the date on which the notice of conversion is delivered to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 of Preferences, Rights and Limitations of the Series B Non-Voting Convertible Preferred Stock (the “Series B Certificate of Designation”) filed in connection with the Merger, holders of Company Series B Preferred Stock are entitled to receive dividends on shares of Company Series B Preferred Stock equal to, on an as-if-converted-to-Company Common Stock basis, and in the same form as, dividends actually paid on shares of Company Common Stock. Except as provided in the Series B Certificate of Designation or as otherwise required by law, the Company Series B Preferred Stock does not have voting rights. The Company Series B Preferred Stock shall rank on parity with the Company Common Stock as to the distribution of assets upon any liquidation, dissolution, or winding-up of the Company. Each share of Company Series B Preferred Stock is convertible at the option of the holder, at any time, and without the payment of additional consideration by the holder. As of September 30, 2024, each outstanding share of Company Series B Preferred Stock was convertible into common stock at a ratio of approximately 83.3332:1.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the Certificate of Incorporation provides for 545,000,000 authorized shares of Company Common Stock. As of September 30, 2024, 34,988,550 shares of Company Common Stock were issued and outstanding, including 2,207,553 shares of RSAs issued and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the Company had common stock reserved for future issuance as follows: </w:t>
      </w:r>
    </w:p>
    <w:p>
      <w:pPr>
        <w:pStyle w:val="TextBody"/>
        <w:bidi w:val="0"/>
        <w:spacing w:before="0" w:after="0"/>
        <w:ind w:left="0" w:right="0" w:firstLine="36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6590"/>
        <w:gridCol w:w="60"/>
        <w:gridCol w:w="76"/>
        <w:gridCol w:w="1399"/>
        <w:gridCol w:w="75"/>
      </w:tblGrid>
      <w:tr>
        <w:trPr/>
        <w:tc>
          <w:tcPr>
            <w:tcW w:w="6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2024</w:t>
            </w:r>
          </w:p>
        </w:tc>
        <w:tc>
          <w:tcPr>
            <w:tcW w:w="75"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Shares issuable on conversion of Company Series A Preferred Stock</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2,439,000</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left"/>
              <w:rPr/>
            </w:pPr>
            <w:r>
              <w:rPr/>
              <w:t>Shares issuable on conversion of Company Series B Preferred Stock</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pPr>
            <w:r>
              <w:rPr/>
              <w:t>11,428,149</w:t>
            </w:r>
          </w:p>
        </w:tc>
        <w:tc>
          <w:tcPr>
            <w:tcW w:w="75"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Shares issuable upon exercise of pre-funded warrants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6,202,207</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left"/>
              <w:rPr/>
            </w:pPr>
            <w:r>
              <w:rPr/>
              <w:t>Outstanding and issued stock options</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pPr>
            <w:r>
              <w:rPr/>
              <w:t>1,287,760</w:t>
            </w:r>
          </w:p>
        </w:tc>
        <w:tc>
          <w:tcPr>
            <w:tcW w:w="75"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Outstanding and issued employee warrants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9" w:type="dxa"/>
            <w:tcBorders/>
            <w:shd w:fill="CCEEFF" w:val="clear"/>
            <w:vAlign w:val="center"/>
          </w:tcPr>
          <w:p>
            <w:pPr>
              <w:pStyle w:val="TableContents"/>
              <w:bidi w:val="0"/>
              <w:spacing w:before="0" w:after="283"/>
              <w:jc w:val="right"/>
              <w:rPr/>
            </w:pPr>
            <w:r>
              <w:rPr/>
              <w:t>3,054,358</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left"/>
              <w:rPr/>
            </w:pPr>
            <w:r>
              <w:rPr/>
              <w:t>Shares available for grant under 2024 Stock Incentive Plan</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pPr>
            <w:r>
              <w:rPr/>
              <w:t>4,526,324</w:t>
            </w:r>
          </w:p>
        </w:tc>
        <w:tc>
          <w:tcPr>
            <w:tcW w:w="75"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Shares available for grant under 2024 Employee Stock Purchase Plan</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9" w:type="dxa"/>
            <w:tcBorders>
              <w:bottom w:val="single" w:sz="12" w:space="0" w:color="000000"/>
            </w:tcBorders>
            <w:shd w:fill="CCEEFF" w:val="clear"/>
            <w:tcMar>
              <w:bottom w:w="28" w:type="dxa"/>
            </w:tcMar>
            <w:vAlign w:val="center"/>
          </w:tcPr>
          <w:p>
            <w:pPr>
              <w:pStyle w:val="TableContents"/>
              <w:bidi w:val="0"/>
              <w:spacing w:before="0" w:after="283"/>
              <w:jc w:val="right"/>
              <w:rPr/>
            </w:pPr>
            <w:r>
              <w:rPr/>
              <w:t>463,489</w:t>
            </w:r>
          </w:p>
        </w:tc>
        <w:tc>
          <w:tcPr>
            <w:tcW w:w="75" w:type="dxa"/>
            <w:tcBorders/>
            <w:shd w:fill="CCEEFF" w:val="cle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left"/>
              <w:rPr/>
            </w:pPr>
            <w:r>
              <w:rPr/>
              <w:t>Total shares of common stock reserved</w:t>
            </w:r>
          </w:p>
        </w:tc>
        <w:tc>
          <w:tcPr>
            <w:tcW w:w="60" w:type="dxa"/>
            <w:tcBorders/>
            <w:vAlign w:val="center"/>
          </w:tcPr>
          <w:p>
            <w:pPr>
              <w:pStyle w:val="TableContents"/>
              <w:bidi w:val="0"/>
              <w:spacing w:before="0" w:after="283"/>
              <w:jc w:val="left"/>
              <w:rPr/>
            </w:pPr>
            <w:r>
              <w:rPr/>
              <w:t> </w:t>
            </w:r>
          </w:p>
        </w:tc>
        <w:tc>
          <w:tcPr>
            <w:tcW w:w="76" w:type="dxa"/>
            <w:tcBorders>
              <w:bottom w:val="double" w:sz="10" w:space="0" w:color="000000"/>
            </w:tcBorders>
            <w:tcMar>
              <w:bottom w:w="28" w:type="dxa"/>
            </w:tcMar>
            <w:vAlign w:val="center"/>
          </w:tcPr>
          <w:p>
            <w:pPr>
              <w:pStyle w:val="TableContents"/>
              <w:bidi w:val="0"/>
              <w:spacing w:before="0" w:after="283"/>
              <w:jc w:val="left"/>
              <w:rPr/>
            </w:pPr>
            <w:r>
              <w:rPr/>
              <w:t> </w:t>
            </w:r>
          </w:p>
        </w:tc>
        <w:tc>
          <w:tcPr>
            <w:tcW w:w="1399" w:type="dxa"/>
            <w:tcBorders>
              <w:bottom w:val="double" w:sz="10" w:space="0" w:color="000000"/>
            </w:tcBorders>
            <w:tcMar>
              <w:bottom w:w="28" w:type="dxa"/>
            </w:tcMar>
            <w:vAlign w:val="center"/>
          </w:tcPr>
          <w:p>
            <w:pPr>
              <w:pStyle w:val="TableContents"/>
              <w:bidi w:val="0"/>
              <w:spacing w:before="0" w:after="283"/>
              <w:jc w:val="right"/>
              <w:rPr/>
            </w:pPr>
            <w:r>
              <w:rPr/>
              <w:t>29,401,287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Equity Incentive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Equity Incentive Plan (“2024 Plan”) was adopted by the board of directors of Pre-Merger Oruka on February 6, 2024. The 2024 Plan provided for Pre-Merger Oruka to grant stock options, restricted stock awards, restricted stock units, and other stock-based awards to employees, officers, directors, consultants, and advisors. Equity Incentive Stock options granted under the 2024 Plan generally vest over four years, subject to the participant’s continued service, and expire after ten years, although stock options have been granted with vesting terms less than four years. As of September 30, 2024, there are no shares of common stock available for issuance.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Stock Incentive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22, 2024, the 2024 Stock Incentive Plan (“2024 Stock Plan”) was approved by the Company’s stockholders and on August 29, 2024, the board of directors of the Company (the “Board”) ratified the 2024 Stock Plan. The 2024 Stock Plan allows for the grant of stock options, stock appreciation rights, restricted stock awards, restricted stock units, other stockholder-based awards and incentive bonuses. The 2024 Stock Plan is administered by the Compensation Committee of the Board (the “Compensation Committee”) or another committee designated by the Board to administer the Plan. The initial share pool under the 2024 Stock Plan is 4,634,891 shares of Company Common Stock and as of September 30, 2024, there are 4,526,324 shares available in the pool. The shares that may be issued under the 2024 Stock Plan will be automatically increased on January 1 of each year beginning in 2025 and ending with a final increase on January 1, 2034 in an amount equal to 5% of the diluted stock (including Company Common Stock, preferred stock and unexercised pre-funded warrants) on the preceding December 31, unless a lower, or no, increase is determined by the Compensation Committee. Current or prospective employees, officers, non-employee directors, and other independent service providers of the Company and its subsidiaries are eligible to participate in the 2024 Stock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Employee Stock Purchase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Employee Stock Purchase Plan (the “ESPP”) was approved by the board of directors of ARCA on July 20, 2024, and by ARCA’s stockholders on August 22, 2024. The ESPP became effective on August 29, 2024, at which time 463,489 shares were reserved for issuance. The shares that may be issued under the ESPP will be automatically increased on January 1 of each year beginning in 2025 and ending with a final increase on January 1, 2034 in an amount equal to 1% of the diluted stock (including Company Common Stock, preferred stock and unexercised pre-funded warrants) on the preceding December 31, unless a lower, or no, increase is determined by the Compensation Committee. As of September 30, 2024, no shares have been issued out of the ESPP.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Valuation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weighted-average assumptions used in calculating the fair value of the awards for the three months ended September 30, 2024 and for the period from February 6, 2024 (inception) to September 30, 2024:</w:t>
      </w:r>
    </w:p>
    <w:p>
      <w:pPr>
        <w:pStyle w:val="TextBody"/>
        <w:bidi w:val="0"/>
        <w:spacing w:before="0" w:after="0"/>
        <w:ind w:left="0" w:right="0" w:firstLine="360"/>
        <w:jc w:val="left"/>
        <w:rPr>
          <w:caps w:val="false"/>
          <w:smallCaps w:val="false"/>
        </w:rPr>
      </w:pPr>
      <w:r>
        <w:rPr>
          <w:caps w:val="false"/>
          <w:smallCaps w:val="false"/>
        </w:rPr>
        <w:t> </w:t>
      </w:r>
    </w:p>
    <w:tbl>
      <w:tblPr>
        <w:tblW w:w="5979" w:type="dxa"/>
        <w:jc w:val="left"/>
        <w:tblInd w:w="0" w:type="dxa"/>
        <w:tblLayout w:type="fixed"/>
        <w:tblCellMar>
          <w:top w:w="0" w:type="dxa"/>
          <w:left w:w="0" w:type="dxa"/>
          <w:bottom w:w="0" w:type="dxa"/>
          <w:right w:w="0" w:type="dxa"/>
        </w:tblCellMar>
      </w:tblPr>
      <w:tblGrid>
        <w:gridCol w:w="2345"/>
        <w:gridCol w:w="60"/>
        <w:gridCol w:w="191"/>
        <w:gridCol w:w="1403"/>
        <w:gridCol w:w="215"/>
        <w:gridCol w:w="60"/>
        <w:gridCol w:w="142"/>
        <w:gridCol w:w="1333"/>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w:t>
              <w:br/>
              <w:t xml:space="preserve">Months Ended </w:t>
              <w:br/>
              <w:t>September 30,</w:t>
              <w:b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February 6,</w:t>
              <w:br/>
              <w:t xml:space="preserve">2024 </w:t>
              <w:br/>
              <w:t>(Inception)</w:t>
              <w:br/>
              <w:t xml:space="preserve">to </w:t>
              <w:br/>
              <w:t>September 30,</w:t>
              <w:br/>
              <w:t>2024</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6.1</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Expected volatility</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97.3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101.0</w:t>
            </w:r>
          </w:p>
        </w:tc>
        <w:tc>
          <w:tcPr>
            <w:tcW w:w="230" w:type="dxa"/>
            <w:tcBorders/>
            <w:vAlign w:val="center"/>
          </w:tcPr>
          <w:p>
            <w:pPr>
              <w:pStyle w:val="TableContents"/>
              <w:bidi w:val="0"/>
              <w:spacing w:before="0" w:after="283"/>
              <w:jc w:val="left"/>
              <w:rPr/>
            </w:pPr>
            <w:r>
              <w:rPr/>
              <w:t>%</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4.3</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vAlign w:val="center"/>
          </w:tcPr>
          <w:p>
            <w:pPr>
              <w:pStyle w:val="TableContents"/>
              <w:bidi w:val="0"/>
              <w:spacing w:before="0" w:after="283"/>
              <w:jc w:val="left"/>
              <w:rPr/>
            </w:pPr>
            <w:r>
              <w:rPr/>
              <w:t>Expected dividend yield</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0"/>
              <w:jc w:val="right"/>
              <w:rPr/>
            </w:pPr>
            <w:r>
              <w:rPr/>
              <w:t>—</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0"/>
              <w:jc w:val="right"/>
              <w:rPr/>
            </w:pPr>
            <w:r>
              <w:rPr/>
              <w:t>—</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 option activities under the 2024 Plan and 2024 Stock Plan for the period of February 6, 2024 (inception) through September 30, 2024:</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2"/>
        <w:gridCol w:w="60"/>
        <w:gridCol w:w="77"/>
        <w:gridCol w:w="1263"/>
        <w:gridCol w:w="60"/>
        <w:gridCol w:w="60"/>
        <w:gridCol w:w="240"/>
        <w:gridCol w:w="755"/>
        <w:gridCol w:w="60"/>
        <w:gridCol w:w="60"/>
        <w:gridCol w:w="243"/>
        <w:gridCol w:w="1306"/>
        <w:gridCol w:w="60"/>
        <w:gridCol w:w="60"/>
        <w:gridCol w:w="344"/>
        <w:gridCol w:w="1677"/>
        <w:gridCol w:w="78"/>
      </w:tblGrid>
      <w:tr>
        <w:trPr/>
        <w:tc>
          <w:tcPr>
            <w:tcW w:w="38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 (in Thousands)</w:t>
            </w:r>
          </w:p>
        </w:tc>
        <w:tc>
          <w:tcPr>
            <w:tcW w:w="78" w:type="dxa"/>
            <w:tcBorders/>
            <w:vAlign w:val="center"/>
          </w:tcPr>
          <w:p>
            <w:pPr>
              <w:pStyle w:val="TableContents"/>
              <w:bidi w:val="0"/>
              <w:spacing w:before="0" w:after="283"/>
              <w:jc w:val="left"/>
              <w:rPr/>
            </w:pPr>
            <w:r>
              <w:rPr/>
              <w:t> </w:t>
            </w:r>
          </w:p>
        </w:tc>
      </w:tr>
      <w:tr>
        <w:trPr/>
        <w:tc>
          <w:tcPr>
            <w:tcW w:w="3802" w:type="dxa"/>
            <w:tcBorders/>
            <w:shd w:fill="CCEEFF" w:val="clear"/>
            <w:vAlign w:val="center"/>
          </w:tcPr>
          <w:p>
            <w:pPr>
              <w:pStyle w:val="TableContents"/>
              <w:bidi w:val="0"/>
              <w:spacing w:before="0" w:after="283"/>
              <w:jc w:val="left"/>
              <w:rPr/>
            </w:pPr>
            <w:r>
              <w:rPr/>
              <w:t>Balance as of February 6, 2024 (inception)</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p>
        </w:tc>
        <w:tc>
          <w:tcPr>
            <w:tcW w:w="1677" w:type="dxa"/>
            <w:tcBorders/>
            <w:shd w:fill="CCEEFF" w:val="clear"/>
            <w:vAlign w:val="center"/>
          </w:tcPr>
          <w:p>
            <w:pPr>
              <w:pStyle w:val="TableContents"/>
              <w:bidi w:val="0"/>
              <w:spacing w:before="0" w:after="0"/>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3802"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1,287,760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7.97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3802"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802"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3802" w:type="dxa"/>
            <w:tcBorders/>
            <w:shd w:fill="CCEEFF" w:val="clear"/>
            <w:vAlign w:val="center"/>
          </w:tcPr>
          <w:p>
            <w:pPr>
              <w:pStyle w:val="TableContents"/>
              <w:bidi w:val="0"/>
              <w:spacing w:before="0" w:after="283"/>
              <w:jc w:val="left"/>
              <w:rPr/>
            </w:pPr>
            <w:r>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double" w:sz="10" w:space="0" w:color="000000"/>
            </w:tcBorders>
            <w:shd w:fill="CCEEFF" w:val="clear"/>
            <w:tcMar>
              <w:bottom w:w="28" w:type="dxa"/>
            </w:tcMar>
            <w:vAlign w:val="center"/>
          </w:tcPr>
          <w:p>
            <w:pPr>
              <w:pStyle w:val="TableContents"/>
              <w:bidi w:val="0"/>
              <w:spacing w:before="0" w:after="283"/>
              <w:jc w:val="right"/>
              <w:rPr/>
            </w:pPr>
            <w:r>
              <w:rPr/>
              <w:t>1,287,760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p>
        </w:tc>
        <w:tc>
          <w:tcPr>
            <w:tcW w:w="1677" w:type="dxa"/>
            <w:tcBorders/>
            <w:shd w:fill="CCEEFF" w:val="clear"/>
            <w:vAlign w:val="center"/>
          </w:tcPr>
          <w:p>
            <w:pPr>
              <w:pStyle w:val="TableContents"/>
              <w:bidi w:val="0"/>
              <w:spacing w:before="0" w:after="283"/>
              <w:jc w:val="right"/>
              <w:rPr/>
            </w:pPr>
            <w:r>
              <w:rPr/>
              <w:t>21,507</w:t>
            </w:r>
          </w:p>
        </w:tc>
        <w:tc>
          <w:tcPr>
            <w:tcW w:w="78" w:type="dxa"/>
            <w:tcBorders/>
            <w:shd w:fill="CCEEFF" w:val="clear"/>
            <w:vAlign w:val="center"/>
          </w:tcPr>
          <w:p>
            <w:pPr>
              <w:pStyle w:val="TableContents"/>
              <w:bidi w:val="0"/>
              <w:spacing w:before="0" w:after="283"/>
              <w:jc w:val="left"/>
              <w:rPr/>
            </w:pPr>
            <w:r>
              <w:rPr/>
              <w:t> </w:t>
            </w:r>
          </w:p>
        </w:tc>
      </w:tr>
      <w:tr>
        <w:trPr/>
        <w:tc>
          <w:tcPr>
            <w:tcW w:w="3802" w:type="dxa"/>
            <w:tcBorders/>
            <w:vAlign w:val="center"/>
          </w:tcPr>
          <w:p>
            <w:pPr>
              <w:pStyle w:val="TableContents"/>
              <w:bidi w:val="0"/>
              <w:spacing w:before="0" w:after="283"/>
              <w:jc w:val="left"/>
              <w:rPr/>
            </w:pPr>
            <w:r>
              <w:rPr/>
              <w:t>Vested and expected to vest, September 30, 2024</w:t>
            </w:r>
          </w:p>
        </w:tc>
        <w:tc>
          <w:tcPr>
            <w:tcW w:w="60" w:type="dxa"/>
            <w:tcBorders/>
            <w:vAlign w:val="center"/>
          </w:tcPr>
          <w:p>
            <w:pPr>
              <w:pStyle w:val="TableContents"/>
              <w:bidi w:val="0"/>
              <w:spacing w:before="0" w:after="283"/>
              <w:jc w:val="left"/>
              <w:rPr/>
            </w:pPr>
            <w:r>
              <w:rPr/>
              <w:t> </w:t>
            </w:r>
          </w:p>
        </w:tc>
        <w:tc>
          <w:tcPr>
            <w:tcW w:w="7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63" w:type="dxa"/>
            <w:tcBorders>
              <w:bottom w:val="double" w:sz="10" w:space="0" w:color="000000"/>
            </w:tcBorders>
            <w:tcMar>
              <w:bottom w:w="28" w:type="dxa"/>
            </w:tcMar>
            <w:vAlign w:val="center"/>
          </w:tcPr>
          <w:p>
            <w:pPr>
              <w:pStyle w:val="TableContents"/>
              <w:bidi w:val="0"/>
              <w:spacing w:before="0" w:after="283"/>
              <w:jc w:val="right"/>
              <w:rPr/>
            </w:pPr>
            <w:r>
              <w:rPr/>
              <w:t>1,287,760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7.97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21,507</w:t>
            </w:r>
          </w:p>
        </w:tc>
        <w:tc>
          <w:tcPr>
            <w:tcW w:w="78" w:type="dxa"/>
            <w:tcBorders/>
            <w:vAlign w:val="center"/>
          </w:tcPr>
          <w:p>
            <w:pPr>
              <w:pStyle w:val="TableContents"/>
              <w:bidi w:val="0"/>
              <w:spacing w:before="0" w:after="283"/>
              <w:jc w:val="left"/>
              <w:rPr/>
            </w:pPr>
            <w:r>
              <w:rPr/>
              <w:t> </w:t>
            </w:r>
          </w:p>
        </w:tc>
      </w:tr>
      <w:tr>
        <w:trPr/>
        <w:tc>
          <w:tcPr>
            <w:tcW w:w="3802" w:type="dxa"/>
            <w:tcBorders/>
            <w:shd w:fill="CCEEFF" w:val="clear"/>
            <w:vAlign w:val="center"/>
          </w:tcPr>
          <w:p>
            <w:pPr>
              <w:pStyle w:val="TableContents"/>
              <w:bidi w:val="0"/>
              <w:spacing w:before="0" w:after="283"/>
              <w:jc w:val="left"/>
              <w:rPr/>
            </w:pPr>
            <w:r>
              <w:rPr/>
              <w:t>Exercisable, September 30, 2024</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p>
        </w:tc>
        <w:tc>
          <w:tcPr>
            <w:tcW w:w="1677" w:type="dxa"/>
            <w:tcBorders/>
            <w:shd w:fill="CCEEFF" w:val="clear"/>
            <w:vAlign w:val="center"/>
          </w:tcPr>
          <w:p>
            <w:pPr>
              <w:pStyle w:val="TableContents"/>
              <w:bidi w:val="0"/>
              <w:spacing w:before="0" w:after="0"/>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grant-date fair value per share of stock options granted during the period from February 6, 2024 (inception) to September 30, 2024 was $6.44 per share. Aggregate intrinsic value represents the difference between the estimated fair value of the underlying Company Common Stock and the exercise price of outstanding, in-the-money employee stock options.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and March 2024, the Company issued 2,207,553 shares of RSAs to certain employees, directors, and consultants at a price of $0.0001 per share, the then par value of Pre-Merger Oruka Common Stock. Such RSAs have service-based vesting conditions only and vest over a four-year period, during which time all unvested shares are subject to forfeiture in the event the holder’s service with the Company voluntarily or involuntarily terminates.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RSAs activity for the period from February 6, 2024 (inception) through September 30, 2024:</w:t>
      </w:r>
    </w:p>
    <w:p>
      <w:pPr>
        <w:pStyle w:val="TextBody"/>
        <w:bidi w:val="0"/>
        <w:spacing w:before="0" w:after="0"/>
        <w:ind w:left="0" w:right="0" w:firstLine="360"/>
        <w:jc w:val="left"/>
        <w:rPr>
          <w:caps w:val="false"/>
          <w:smallCaps w:val="false"/>
        </w:rPr>
      </w:pPr>
      <w:r>
        <w:rPr>
          <w:caps w:val="false"/>
          <w:smallCaps w:val="false"/>
        </w:rPr>
        <w:t> </w:t>
      </w:r>
    </w:p>
    <w:tbl>
      <w:tblPr>
        <w:tblW w:w="7558" w:type="dxa"/>
        <w:jc w:val="left"/>
        <w:tblInd w:w="0" w:type="dxa"/>
        <w:tblLayout w:type="fixed"/>
        <w:tblCellMar>
          <w:top w:w="0" w:type="dxa"/>
          <w:left w:w="0" w:type="dxa"/>
          <w:bottom w:w="0" w:type="dxa"/>
          <w:right w:w="0" w:type="dxa"/>
        </w:tblCellMar>
      </w:tblPr>
      <w:tblGrid>
        <w:gridCol w:w="5000"/>
        <w:gridCol w:w="60"/>
        <w:gridCol w:w="65"/>
        <w:gridCol w:w="1064"/>
        <w:gridCol w:w="60"/>
        <w:gridCol w:w="60"/>
        <w:gridCol w:w="216"/>
        <w:gridCol w:w="958"/>
        <w:gridCol w:w="75"/>
      </w:tblGrid>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RSAs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br/>
              <w:t>Average</w:t>
              <w:br/>
              <w:t>Grant Date</w:t>
              <w:br/>
              <w:t>Fair Value</w:t>
            </w:r>
          </w:p>
        </w:tc>
        <w:tc>
          <w:tcPr>
            <w:tcW w:w="7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balance as of February 6, 2024 (inception)</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2,207,553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958" w:type="dxa"/>
            <w:tcBorders>
              <w:bottom w:val="single" w:sz="12"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balance as of September 30, 2024</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2,207,553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Agreements and Paruka Warrant Obligation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antibody discovery and option agreements with Paragon and Paruka (the “Option Agreements”). Under the terms of Option Agreements, Paragon identifies, evaluates, and develops antibodies directed against certain mutually agreed therapeutic targets of interest to the Company, and the Company has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Paruka will be entitled to grants of warrants to purchase a number of shares equal to 1.00% of then outstanding shares of the Company’s stock, on a fully diluted basis, on December 31, 2024 and December 31, 2025, at the fair market value determined by the Board (the “Paruka Warrant Obligation”). The grant dates for the issuance of warrants are expected to be December 31, 2024 and December 31, 2025 as all terms of the award, including number of shares and exercise price, will be known by all parties. The service inception period for the grant precedes the grant date, with the full award being vested as of the grant date with no post-grant date service requirement. Accordingly, the warrants expected to be granted to Paruka were accounted for as a liability on the condensed balance sheet and, after the initial recognition, the liability is adjusted to fair value at the end of each reporting period, with changes in fair value recorded in the statement of operations and comprehensive loss as stock-based compensation expenses under research and development expenses. As of September 30, 2024, the estimated fair value of warrants to be granted on December 31, 2024 was $11.0 million. For the three months ended September 30, 2024 and the period from February 6, 2024 (inception) to September 30, 2024, $7.3 million and $7.7 million were recognized as stock-based compensation expenses related to the Paruka Warrant Obligation,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above, on July 3, 2024, the Subscription Agreement was amended and restated, among other things, for employee warrants to be issued to certain Pre-Merger Oruka’s employees, directors, and service providers, immediately prior to the closing of the Merger. Pursuant to this amendment, during the three months ended September 30, 2024, the Company issued 3,054,358 employee warrants at an exercise price of $7.80 per warrant, which are accounted as equity in the condensed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employee warrant activity for the period from February 6, 2024 (inception) through September 30, 2024: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4"/>
        <w:gridCol w:w="60"/>
        <w:gridCol w:w="63"/>
        <w:gridCol w:w="1039"/>
        <w:gridCol w:w="60"/>
        <w:gridCol w:w="60"/>
        <w:gridCol w:w="346"/>
        <w:gridCol w:w="1091"/>
        <w:gridCol w:w="60"/>
        <w:gridCol w:w="60"/>
        <w:gridCol w:w="241"/>
        <w:gridCol w:w="1292"/>
        <w:gridCol w:w="60"/>
        <w:gridCol w:w="60"/>
        <w:gridCol w:w="338"/>
        <w:gridCol w:w="1652"/>
        <w:gridCol w:w="79"/>
      </w:tblGrid>
      <w:tr>
        <w:trPr/>
        <w:tc>
          <w:tcPr>
            <w:tcW w:w="36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 (in Thousands)</w:t>
            </w:r>
          </w:p>
        </w:tc>
        <w:tc>
          <w:tcPr>
            <w:tcW w:w="79" w:type="dxa"/>
            <w:tcBorders/>
            <w:vAlign w:val="center"/>
          </w:tcPr>
          <w:p>
            <w:pPr>
              <w:pStyle w:val="TableContents"/>
              <w:bidi w:val="0"/>
              <w:spacing w:before="0" w:after="283"/>
              <w:jc w:val="left"/>
              <w:rPr/>
            </w:pPr>
            <w:r>
              <w:rPr/>
              <w:t> </w:t>
            </w:r>
          </w:p>
        </w:tc>
      </w:tr>
      <w:tr>
        <w:trPr/>
        <w:tc>
          <w:tcPr>
            <w:tcW w:w="3644" w:type="dxa"/>
            <w:tcBorders/>
            <w:shd w:fill="CCEEFF" w:val="clear"/>
            <w:vAlign w:val="center"/>
          </w:tcPr>
          <w:p>
            <w:pPr>
              <w:pStyle w:val="TableContents"/>
              <w:bidi w:val="0"/>
              <w:spacing w:before="0" w:after="283"/>
              <w:jc w:val="left"/>
              <w:rPr/>
            </w:pPr>
            <w:r>
              <w:rPr/>
              <w:t>Balance as of February 6, 2024 (inception)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652" w:type="dxa"/>
            <w:tcBorders/>
            <w:shd w:fill="CCEEFF" w:val="clear"/>
            <w:vAlign w:val="center"/>
          </w:tcPr>
          <w:p>
            <w:pPr>
              <w:pStyle w:val="TableContents"/>
              <w:bidi w:val="0"/>
              <w:spacing w:before="0" w:after="0"/>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3644"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3,054,358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w:t>
            </w:r>
          </w:p>
        </w:tc>
        <w:tc>
          <w:tcPr>
            <w:tcW w:w="1091" w:type="dxa"/>
            <w:tcBorders/>
            <w:vAlign w:val="center"/>
          </w:tcPr>
          <w:p>
            <w:pPr>
              <w:pStyle w:val="TableContents"/>
              <w:bidi w:val="0"/>
              <w:spacing w:before="0" w:after="283"/>
              <w:jc w:val="right"/>
              <w:rPr/>
            </w:pPr>
            <w:r>
              <w:rPr/>
              <w:t>7.80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r>
      <w:tr>
        <w:trPr/>
        <w:tc>
          <w:tcPr>
            <w:tcW w:w="3644"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3644"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w:t>
            </w:r>
          </w:p>
        </w:tc>
        <w:tc>
          <w:tcPr>
            <w:tcW w:w="109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r>
      <w:tr>
        <w:trPr/>
        <w:tc>
          <w:tcPr>
            <w:tcW w:w="3644" w:type="dxa"/>
            <w:tcBorders/>
            <w:shd w:fill="CCEEFF" w:val="clear"/>
            <w:vAlign w:val="center"/>
          </w:tcPr>
          <w:p>
            <w:pPr>
              <w:pStyle w:val="TableContents"/>
              <w:bidi w:val="0"/>
              <w:spacing w:before="0" w:after="283"/>
              <w:jc w:val="left"/>
              <w:rPr/>
            </w:pPr>
            <w:r>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3,054,358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652" w:type="dxa"/>
            <w:tcBorders/>
            <w:shd w:fill="CCEEFF" w:val="clear"/>
            <w:vAlign w:val="center"/>
          </w:tcPr>
          <w:p>
            <w:pPr>
              <w:pStyle w:val="TableContents"/>
              <w:bidi w:val="0"/>
              <w:spacing w:before="0" w:after="283"/>
              <w:jc w:val="right"/>
              <w:rPr/>
            </w:pPr>
            <w:r>
              <w:rPr/>
              <w:t>51,038</w:t>
            </w:r>
          </w:p>
        </w:tc>
        <w:tc>
          <w:tcPr>
            <w:tcW w:w="79" w:type="dxa"/>
            <w:tcBorders/>
            <w:shd w:fill="CCEEFF" w:val="clear"/>
            <w:vAlign w:val="center"/>
          </w:tcPr>
          <w:p>
            <w:pPr>
              <w:pStyle w:val="TableContents"/>
              <w:bidi w:val="0"/>
              <w:spacing w:before="0" w:after="283"/>
              <w:jc w:val="left"/>
              <w:rPr/>
            </w:pPr>
            <w:r>
              <w:rPr/>
              <w:t> </w:t>
            </w:r>
          </w:p>
        </w:tc>
      </w:tr>
      <w:tr>
        <w:trPr/>
        <w:tc>
          <w:tcPr>
            <w:tcW w:w="3644" w:type="dxa"/>
            <w:tcBorders/>
            <w:vAlign w:val="center"/>
          </w:tcPr>
          <w:p>
            <w:pPr>
              <w:pStyle w:val="TableContents"/>
              <w:bidi w:val="0"/>
              <w:spacing w:before="0" w:after="283"/>
              <w:jc w:val="left"/>
              <w:rPr/>
            </w:pPr>
            <w:r>
              <w:rPr/>
              <w:t>Vested and expected to vest, September 30, 2024</w:t>
            </w:r>
          </w:p>
        </w:tc>
        <w:tc>
          <w:tcPr>
            <w:tcW w:w="60" w:type="dxa"/>
            <w:tcBorders/>
            <w:vAlign w:val="center"/>
          </w:tcPr>
          <w:p>
            <w:pPr>
              <w:pStyle w:val="TableContents"/>
              <w:bidi w:val="0"/>
              <w:spacing w:before="0" w:after="283"/>
              <w:jc w:val="left"/>
              <w:rPr/>
            </w:pPr>
            <w:r>
              <w:rPr/>
              <w:t> </w:t>
            </w:r>
          </w:p>
        </w:tc>
        <w:tc>
          <w:tcPr>
            <w:tcW w:w="63" w:type="dxa"/>
            <w:tcBorders>
              <w:bottom w:val="double" w:sz="10" w:space="0" w:color="000000"/>
            </w:tcBorders>
            <w:tcMar>
              <w:bottom w:w="28" w:type="dxa"/>
            </w:tcMar>
            <w:vAlign w:val="center"/>
          </w:tcPr>
          <w:p>
            <w:pPr>
              <w:pStyle w:val="TableContents"/>
              <w:bidi w:val="0"/>
              <w:spacing w:before="0" w:after="283"/>
              <w:jc w:val="left"/>
              <w:rPr/>
            </w:pPr>
            <w:r>
              <w:rPr/>
              <w:t> </w:t>
            </w:r>
          </w:p>
        </w:tc>
        <w:tc>
          <w:tcPr>
            <w:tcW w:w="1039" w:type="dxa"/>
            <w:tcBorders>
              <w:bottom w:val="double" w:sz="10" w:space="0" w:color="000000"/>
            </w:tcBorders>
            <w:tcMar>
              <w:bottom w:w="28" w:type="dxa"/>
            </w:tcMar>
            <w:vAlign w:val="center"/>
          </w:tcPr>
          <w:p>
            <w:pPr>
              <w:pStyle w:val="TableContents"/>
              <w:bidi w:val="0"/>
              <w:spacing w:before="0" w:after="283"/>
              <w:jc w:val="right"/>
              <w:rPr/>
            </w:pPr>
            <w:r>
              <w:rPr/>
              <w:t>3,054,358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w:t>
            </w:r>
          </w:p>
        </w:tc>
        <w:tc>
          <w:tcPr>
            <w:tcW w:w="1091" w:type="dxa"/>
            <w:tcBorders/>
            <w:vAlign w:val="center"/>
          </w:tcPr>
          <w:p>
            <w:pPr>
              <w:pStyle w:val="TableContents"/>
              <w:bidi w:val="0"/>
              <w:spacing w:before="0" w:after="283"/>
              <w:jc w:val="right"/>
              <w:rPr/>
            </w:pPr>
            <w:r>
              <w:rPr/>
              <w:t>7.80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w:t>
            </w:r>
          </w:p>
        </w:tc>
        <w:tc>
          <w:tcPr>
            <w:tcW w:w="1652" w:type="dxa"/>
            <w:tcBorders/>
            <w:vAlign w:val="center"/>
          </w:tcPr>
          <w:p>
            <w:pPr>
              <w:pStyle w:val="TableContents"/>
              <w:bidi w:val="0"/>
              <w:spacing w:before="0" w:after="283"/>
              <w:jc w:val="right"/>
              <w:rPr/>
            </w:pPr>
            <w:r>
              <w:rPr/>
              <w:t>51,038</w:t>
            </w:r>
          </w:p>
        </w:tc>
        <w:tc>
          <w:tcPr>
            <w:tcW w:w="79" w:type="dxa"/>
            <w:tcBorders/>
            <w:vAlign w:val="center"/>
          </w:tcPr>
          <w:p>
            <w:pPr>
              <w:pStyle w:val="TableContents"/>
              <w:bidi w:val="0"/>
              <w:spacing w:before="0" w:after="283"/>
              <w:jc w:val="left"/>
              <w:rPr/>
            </w:pPr>
            <w:r>
              <w:rPr/>
              <w:t> </w:t>
            </w:r>
          </w:p>
        </w:tc>
      </w:tr>
      <w:tr>
        <w:trPr/>
        <w:tc>
          <w:tcPr>
            <w:tcW w:w="3644" w:type="dxa"/>
            <w:tcBorders/>
            <w:shd w:fill="CCEEFF" w:val="clear"/>
            <w:vAlign w:val="center"/>
          </w:tcPr>
          <w:p>
            <w:pPr>
              <w:pStyle w:val="TableContents"/>
              <w:bidi w:val="0"/>
              <w:spacing w:before="0" w:after="283"/>
              <w:jc w:val="left"/>
              <w:rPr/>
            </w:pPr>
            <w:r>
              <w:rPr/>
              <w:t>Vested and exercisable, September 30, 2024</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652" w:type="dxa"/>
            <w:tcBorders/>
            <w:shd w:fill="CCEEFF" w:val="clear"/>
            <w:vAlign w:val="center"/>
          </w:tcPr>
          <w:p>
            <w:pPr>
              <w:pStyle w:val="TableContents"/>
              <w:bidi w:val="0"/>
              <w:spacing w:before="0" w:after="0"/>
              <w:jc w:val="right"/>
              <w:rPr/>
            </w:pPr>
            <w:r>
              <w:rPr/>
              <w:t>—</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grant-date fair value per share of employee warrants granted during the period from February 6, 2024 (inception) to September 30, 2024 was $6.27 per share. Aggregate intrinsic value represents the difference between the estimated fair value of the underlying Company Common Stock and the exercise price of outstanding, in-the-money employee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weighted-average assumptions used in calculating the fair value of the employee warrants for the three months ended September 30, 2024 and for the period from February 6, 2024 (inception) to September 30, 2024:</w:t>
      </w:r>
    </w:p>
    <w:p>
      <w:pPr>
        <w:pStyle w:val="TextBody"/>
        <w:bidi w:val="0"/>
        <w:spacing w:before="0" w:after="0"/>
        <w:ind w:left="0" w:right="0" w:firstLine="360"/>
        <w:jc w:val="left"/>
        <w:rPr>
          <w:caps w:val="false"/>
          <w:smallCaps w:val="false"/>
        </w:rPr>
      </w:pPr>
      <w:r>
        <w:rPr>
          <w:caps w:val="false"/>
          <w:smallCaps w:val="false"/>
        </w:rPr>
        <w:t> </w:t>
      </w:r>
    </w:p>
    <w:tbl>
      <w:tblPr>
        <w:tblW w:w="6594" w:type="dxa"/>
        <w:jc w:val="left"/>
        <w:tblInd w:w="0" w:type="dxa"/>
        <w:tblLayout w:type="fixed"/>
        <w:tblCellMar>
          <w:top w:w="0" w:type="dxa"/>
          <w:left w:w="0" w:type="dxa"/>
          <w:bottom w:w="0" w:type="dxa"/>
          <w:right w:w="0" w:type="dxa"/>
        </w:tblCellMar>
      </w:tblPr>
      <w:tblGrid>
        <w:gridCol w:w="2345"/>
        <w:gridCol w:w="60"/>
        <w:gridCol w:w="265"/>
        <w:gridCol w:w="1944"/>
        <w:gridCol w:w="215"/>
        <w:gridCol w:w="60"/>
        <w:gridCol w:w="177"/>
        <w:gridCol w:w="1298"/>
        <w:gridCol w:w="230"/>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b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February 6,</w:t>
              <w:br/>
              <w:t>2024</w:t>
              <w:br/>
              <w:t xml:space="preserve">(Inception) </w:t>
              <w:br/>
              <w:t>to</w:t>
              <w:br/>
              <w:t>September 30,</w:t>
              <w:br/>
              <w:t>2024</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4" w:type="dxa"/>
            <w:tcBorders/>
            <w:shd w:fill="CCEEFF" w:val="clear"/>
            <w:vAlign w:val="center"/>
          </w:tcPr>
          <w:p>
            <w:pPr>
              <w:pStyle w:val="TableContents"/>
              <w:bidi w:val="0"/>
              <w:spacing w:before="0" w:after="283"/>
              <w:jc w:val="right"/>
              <w:rPr/>
            </w:pPr>
            <w:r>
              <w:rPr/>
              <w:t>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6.1</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Expected volatility</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944" w:type="dxa"/>
            <w:tcBorders/>
            <w:vAlign w:val="center"/>
          </w:tcPr>
          <w:p>
            <w:pPr>
              <w:pStyle w:val="TableContents"/>
              <w:bidi w:val="0"/>
              <w:spacing w:before="0" w:after="283"/>
              <w:jc w:val="right"/>
              <w:rPr/>
            </w:pPr>
            <w:r>
              <w:rPr/>
              <w:t>99.0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99.0</w:t>
            </w:r>
          </w:p>
        </w:tc>
        <w:tc>
          <w:tcPr>
            <w:tcW w:w="230" w:type="dxa"/>
            <w:tcBorders/>
            <w:vAlign w:val="center"/>
          </w:tcPr>
          <w:p>
            <w:pPr>
              <w:pStyle w:val="TableContents"/>
              <w:bidi w:val="0"/>
              <w:spacing w:before="0" w:after="283"/>
              <w:jc w:val="left"/>
              <w:rPr/>
            </w:pPr>
            <w:r>
              <w:rPr/>
              <w:t>%</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4" w:type="dxa"/>
            <w:tcBorders/>
            <w:shd w:fill="CCEEFF" w:val="clear"/>
            <w:vAlign w:val="center"/>
          </w:tcPr>
          <w:p>
            <w:pPr>
              <w:pStyle w:val="TableContents"/>
              <w:bidi w:val="0"/>
              <w:spacing w:before="0" w:after="283"/>
              <w:jc w:val="right"/>
              <w:rPr/>
            </w:pPr>
            <w:r>
              <w:rPr/>
              <w:t>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4.2</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vAlign w:val="center"/>
          </w:tcPr>
          <w:p>
            <w:pPr>
              <w:pStyle w:val="TableContents"/>
              <w:bidi w:val="0"/>
              <w:spacing w:before="0" w:after="283"/>
              <w:jc w:val="left"/>
              <w:rPr/>
            </w:pPr>
            <w:r>
              <w:rPr/>
              <w:t>Expected dividend yield</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944" w:type="dxa"/>
            <w:tcBorders/>
            <w:vAlign w:val="center"/>
          </w:tcPr>
          <w:p>
            <w:pPr>
              <w:pStyle w:val="TableContents"/>
              <w:bidi w:val="0"/>
              <w:spacing w:before="0" w:after="0"/>
              <w:jc w:val="right"/>
              <w:rPr/>
            </w:pPr>
            <w:r>
              <w:rPr/>
              <w:t>—</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right"/>
              <w:rPr/>
            </w:pPr>
            <w:r>
              <w:rPr/>
              <w:t>—</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classification of the Company’s stock-based compensation expense in the condensed consolidated statement of operations and comprehensive loss (in thousands):</w:t>
      </w:r>
    </w:p>
    <w:p>
      <w:pPr>
        <w:pStyle w:val="TextBody"/>
        <w:bidi w:val="0"/>
        <w:spacing w:before="0" w:after="0"/>
        <w:ind w:left="0" w:right="0" w:firstLine="360"/>
        <w:jc w:val="left"/>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2585"/>
        <w:gridCol w:w="60"/>
        <w:gridCol w:w="439"/>
        <w:gridCol w:w="1756"/>
        <w:gridCol w:w="60"/>
        <w:gridCol w:w="60"/>
        <w:gridCol w:w="295"/>
        <w:gridCol w:w="1180"/>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February 6,</w:t>
              <w:br/>
              <w:t>2024</w:t>
              <w:br/>
              <w:t>(Inception)</w:t>
              <w:br/>
              <w:t>to</w:t>
              <w:br/>
              <w:t>September 30,</w:t>
              <w:br/>
              <w:t>2024</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w:t>
            </w:r>
          </w:p>
        </w:tc>
        <w:tc>
          <w:tcPr>
            <w:tcW w:w="1756" w:type="dxa"/>
            <w:tcBorders/>
            <w:shd w:fill="CCEEFF" w:val="clear"/>
            <w:vAlign w:val="center"/>
          </w:tcPr>
          <w:p>
            <w:pPr>
              <w:pStyle w:val="TableContents"/>
              <w:bidi w:val="0"/>
              <w:spacing w:before="0" w:after="283"/>
              <w:jc w:val="right"/>
              <w:rPr/>
            </w:pPr>
            <w:r>
              <w:rPr/>
              <w:t>7,772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8,310</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General and administrative</w:t>
            </w:r>
          </w:p>
        </w:tc>
        <w:tc>
          <w:tcPr>
            <w:tcW w:w="60" w:type="dxa"/>
            <w:tcBorders/>
            <w:vAlign w:val="center"/>
          </w:tcPr>
          <w:p>
            <w:pPr>
              <w:pStyle w:val="TableContents"/>
              <w:bidi w:val="0"/>
              <w:spacing w:before="0" w:after="283"/>
              <w:jc w:val="left"/>
              <w:rPr/>
            </w:pPr>
            <w:r>
              <w:rPr/>
              <w:t> </w:t>
            </w:r>
          </w:p>
        </w:tc>
        <w:tc>
          <w:tcPr>
            <w:tcW w:w="4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756" w:type="dxa"/>
            <w:tcBorders>
              <w:bottom w:val="single" w:sz="12" w:space="0" w:color="000000"/>
            </w:tcBorders>
            <w:tcMar>
              <w:bottom w:w="28" w:type="dxa"/>
            </w:tcMar>
            <w:vAlign w:val="center"/>
          </w:tcPr>
          <w:p>
            <w:pPr>
              <w:pStyle w:val="TableContents"/>
              <w:bidi w:val="0"/>
              <w:spacing w:before="0" w:after="283"/>
              <w:jc w:val="right"/>
              <w:rPr/>
            </w:pPr>
            <w:r>
              <w:rPr/>
              <w:t>1,229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1,459</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56" w:type="dxa"/>
            <w:tcBorders>
              <w:bottom w:val="double" w:sz="10" w:space="0" w:color="000000"/>
            </w:tcBorders>
            <w:shd w:fill="CCEEFF" w:val="clear"/>
            <w:tcMar>
              <w:bottom w:w="28" w:type="dxa"/>
            </w:tcMar>
            <w:vAlign w:val="center"/>
          </w:tcPr>
          <w:p>
            <w:pPr>
              <w:pStyle w:val="TableContents"/>
              <w:bidi w:val="0"/>
              <w:spacing w:before="0" w:after="283"/>
              <w:jc w:val="right"/>
              <w:rPr/>
            </w:pPr>
            <w:r>
              <w:rPr/>
              <w:t>9,001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9,769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total unrecognized compensation cost related to the unvested stock options was $7.5 million, which is expected to be recognized over a weighted average period of approximately 3.4 years. As of September 30, 2024, total unrecognized compensation cost related to the unvested RSAs was less than $0.1 million, which is expected to be recognized over a weighted average period of 3.4 years. As of September 30, 2024, the unrecognized compensation cost related to the employee warrants was $17.8 million, which is expected to be recognized over a weighted average period of 3.6 years.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award types of the Company’s stock-based compensation expense in the condensed consolidated statement of operations and comprehensive loss (in thousands): </w:t>
      </w:r>
    </w:p>
    <w:p>
      <w:pPr>
        <w:pStyle w:val="TextBody"/>
        <w:bidi w:val="0"/>
        <w:spacing w:before="0" w:after="0"/>
        <w:ind w:left="0" w:right="0" w:firstLine="360"/>
        <w:jc w:val="left"/>
        <w:rPr>
          <w:caps w:val="false"/>
          <w:smallCaps w:val="false"/>
        </w:rPr>
      </w:pPr>
      <w:r>
        <w:rPr>
          <w:caps w:val="false"/>
          <w:smallCaps w:val="false"/>
        </w:rPr>
        <w:t> </w:t>
      </w:r>
    </w:p>
    <w:tbl>
      <w:tblPr>
        <w:tblW w:w="6915" w:type="dxa"/>
        <w:jc w:val="left"/>
        <w:tblInd w:w="0" w:type="dxa"/>
        <w:tblLayout w:type="fixed"/>
        <w:tblCellMar>
          <w:top w:w="0" w:type="dxa"/>
          <w:left w:w="0" w:type="dxa"/>
          <w:bottom w:w="0" w:type="dxa"/>
          <w:right w:w="0" w:type="dxa"/>
        </w:tblCellMar>
      </w:tblPr>
      <w:tblGrid>
        <w:gridCol w:w="2915"/>
        <w:gridCol w:w="60"/>
        <w:gridCol w:w="454"/>
        <w:gridCol w:w="1816"/>
        <w:gridCol w:w="60"/>
        <w:gridCol w:w="60"/>
        <w:gridCol w:w="295"/>
        <w:gridCol w:w="1180"/>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February 6,</w:t>
              <w:br/>
              <w:t>2024</w:t>
              <w:br/>
              <w:t>(Inception)</w:t>
              <w:br/>
              <w:t>to</w:t>
              <w:br/>
              <w:t>September 30,</w:t>
              <w:br/>
              <w:t>2024</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Paruka warrant obligation</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w:t>
            </w:r>
          </w:p>
        </w:tc>
        <w:tc>
          <w:tcPr>
            <w:tcW w:w="1816" w:type="dxa"/>
            <w:tcBorders/>
            <w:shd w:fill="CCEEFF" w:val="clear"/>
            <w:vAlign w:val="center"/>
          </w:tcPr>
          <w:p>
            <w:pPr>
              <w:pStyle w:val="TableContents"/>
              <w:bidi w:val="0"/>
              <w:spacing w:before="0" w:after="283"/>
              <w:jc w:val="right"/>
              <w:rPr/>
            </w:pPr>
            <w:r>
              <w:rPr/>
              <w:t>7,251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7,681</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Employee warrants</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right"/>
              <w:rPr/>
            </w:pPr>
            <w:r>
              <w:rPr/>
              <w:t>1,314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1,314</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1816" w:type="dxa"/>
            <w:tcBorders/>
            <w:shd w:fill="CCEEFF" w:val="clear"/>
            <w:vAlign w:val="center"/>
          </w:tcPr>
          <w:p>
            <w:pPr>
              <w:pStyle w:val="TableContents"/>
              <w:bidi w:val="0"/>
              <w:spacing w:before="0" w:after="283"/>
              <w:jc w:val="right"/>
              <w:rPr/>
            </w:pPr>
            <w:r>
              <w:rPr/>
              <w:t>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765</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Employee stock purchase plan</w:t>
            </w:r>
          </w:p>
        </w:tc>
        <w:tc>
          <w:tcPr>
            <w:tcW w:w="60" w:type="dxa"/>
            <w:tcBorders/>
            <w:vAlign w:val="center"/>
          </w:tcPr>
          <w:p>
            <w:pPr>
              <w:pStyle w:val="TableContents"/>
              <w:bidi w:val="0"/>
              <w:spacing w:before="0" w:after="283"/>
              <w:jc w:val="left"/>
              <w:rPr/>
            </w:pPr>
            <w:r>
              <w:rPr/>
              <w:t> </w:t>
            </w:r>
          </w:p>
        </w:tc>
        <w:tc>
          <w:tcPr>
            <w:tcW w:w="454" w:type="dxa"/>
            <w:tcBorders>
              <w:bottom w:val="single" w:sz="12" w:space="0" w:color="000000"/>
            </w:tcBorders>
            <w:tcMar>
              <w:bottom w:w="28" w:type="dxa"/>
            </w:tcMar>
            <w:vAlign w:val="center"/>
          </w:tcPr>
          <w:p>
            <w:pPr>
              <w:pStyle w:val="TableContents"/>
              <w:bidi w:val="0"/>
              <w:spacing w:before="0" w:after="283"/>
              <w:jc w:val="left"/>
              <w:rPr/>
            </w:pPr>
            <w:r>
              <w:rPr/>
              <w:t> </w:t>
            </w:r>
          </w:p>
        </w:tc>
        <w:tc>
          <w:tcPr>
            <w:tcW w:w="1816" w:type="dxa"/>
            <w:tcBorders>
              <w:bottom w:val="single" w:sz="12" w:space="0" w:color="000000"/>
            </w:tcBorders>
            <w:tcMar>
              <w:bottom w:w="28" w:type="dxa"/>
            </w:tcMar>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4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816" w:type="dxa"/>
            <w:tcBorders>
              <w:bottom w:val="double" w:sz="10" w:space="0" w:color="000000"/>
            </w:tcBorders>
            <w:shd w:fill="CCEEFF" w:val="clear"/>
            <w:tcMar>
              <w:bottom w:w="28" w:type="dxa"/>
            </w:tcMar>
            <w:vAlign w:val="center"/>
          </w:tcPr>
          <w:p>
            <w:pPr>
              <w:pStyle w:val="TableContents"/>
              <w:bidi w:val="0"/>
              <w:spacing w:before="0" w:after="283"/>
              <w:jc w:val="right"/>
              <w:rPr/>
            </w:pPr>
            <w:r>
              <w:rPr/>
              <w:t>9,001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9,769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Income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for income taxes was recorded for the three months ended September 30, 2024 and for the period of February 6, 2024 (inception) through September 30, 2024. Deferred tax assets generated from the Company’s net operating losses have been fully reserved, as the Company believes it is not more likely than not that the benefit will be realized due to the Company’s cumulative losses generated to date.</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Option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Option Agreements with Paragon and Paruka. Under the terms of the Option Agreements, Paragon identifies, evaluates and develops antibodies directed against certain mutually agreed therapeutic targets of interest to the Company. The Option Agreements include two selected targets, IL-23 (“ORKA-001”) and IL-17 A/F (“ORKA-002”). Under the Option Agreements, the Company has the exclusive options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(each, an “Option”), with the exception of pursuing ORKA-001 for the treatment of inflammatory bowel disease. If the Company exercises its options, it will be required to make non-refundable milestone payments to Paragon of up to $12.0 million under each respective agreement upon the achievement of certain clinical development milestones, up to $10.0 million under each respective agreement upon the achievement of certain regulatory milestones as well as tiered royalty payments in the low-to-mid single-digits beginning on the first commercial sale. From time to time, the Company can choose to add additional targets to the collaboration by mutual agreement with Paragon.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exclusive Option with respect to each research program for a particular target initiated by the parties (“Research Program”) is exercisable at its sole discretion at any time during the period beginning on the initiation of activities under the associated Research Program and ending a specified number of days following (i) with respect to any Research Program other than ORKA-001, the delivery of the data package from Paragon related to the results of the Research Plan activities, or (ii) with respect to ORKA-001, the completion of the IL-23 antibody selection process described in the agreement (the “Option Period”). There is no payment due upon exercise of an Option pursuant to the Option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terminated earlier, the Option Agreements shall continue in force on a Research Program-by-Research Program basis until the earlier of: (i) the end of the Option Period for such Research Program, as applicable, if such Option is not exercised by the Company; (ii) the expiration of the 30-day period after the Company exercises its Option with respect to such Research Program, subject to mutually agreed extension, during the Option Period and the parties are unable to finalize and execute a license agreement, and (iii) the expiration of the applicable research term (the “Term”). Upon the expiration of the Term for all then-existing Research Programs, under the Option Agreements, the Option Agreements will automatically expire in its entirety. The Company may terminate the Option Agreements or any Research Program at any time for any or no reason upon 30 days’ prior written notice to Paragon, provided that the Company must pay certain unpaid fees due to Paragon upon such termination, as well as any non-cancellable obligations reasonably incurred by Paragon in connection with its activities under any terminated Research Program. Paragon may terminate the Option Agreements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Option Agreements or any Research Program upon (i) 30 days’ prior written notice of the other party’s material breach that remains uncured for the 30-day period and (ii) the other party’s bankruptcy.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Agreements, on a research program-by-research program basis following the finalization of the research plan for each respective research program, the Company was required to pay Paragon a one-time, nonrefundable research initiation fee of $0.8 million related to the ORKA-001 program. This amount was recognized as a research and development expense during the period from February 6, 2024 (inception) to September 30, 2024. In June 2024, pursuant to the Option Agreements with Paragon, the Company completed the selection process of its development candidate for IL-23 antibody for ORKA-001 program. The Company was responsible for 50% of the development costs incurred through the completion of the IL-23 selection process. The Company received the rights to at least one selected IL-23 antibody in June 2024. During the three months ended September 30, 2024, the Company exercised its option for ORKA-001 and recorded a $1.5 million milestone payment related to the achievement of development candidate as research and development expense in the Company’s condensed consolidated statements of operations and comprehensive loss for each of the three months ended September 30, 2024 and for the period from February 6, 2024 (inception) to September 30, 2024. The Company’s share of development costs incurred during the three months ended September 30, 3024 and for the period from February 6, 2024 (inception) to September 30, 2024 was $0.8 million and $13.2 million, respectively, which were recorded as research and development expenses during the respective periods. An amount of $2.3 million is included in related party accounts payable and other current liabilities as of September 30,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also required to reimburse Paragon $3.3 million for development costs related to ORKA-002 incurred by Paragon through December 31, 2023 and certain other development costs incurred by Paragon between January 1, 2024 and March 6, 2024 as stipulated by the Option Agreements. This amount was recognized as a research and development expense during the period from February 6, 2024 (inception) to September 30, 2024. The Company is also responsible for the development costs incurred by Paragon from January 1, 2024 through the completion of the IL-17 selection process. The Company recognized an amount of $0.8 million payable to Paragon for the research initiation fee related to ORKA-002 following the finalization of the ORKA-002 research plan. This was recognized as research and development expenses in the period from February 6, 2024 (inception) to September 30, 2024. The Company accounted for development costs of $3.8 million and $6.6 million during the three months ended September 30, 3024 and for the period from February 6, 2024 (inception) to September 30, 2024, respectively, as research and development expenses during the respective periods. An amount of $3.8 million is included in related party accounts payable and other current liabilities as of September 30,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Option Agreements, on each of December 31, 2024 and December 31, 2025, the Company will grant warrants to purchase a number of shares equal to 1.00% of outstanding shares as of the date of the grant on a fully diluted basis with an exercise price equal to the fair market value of the underlying shares on the grant date. The warrants are liability-classified and after the initial recognition, the liability is adjusted to fair value at the end of each reporting period, with changes in fair value recorded in the consolidated statement of operations and comprehensive loss (see Note 8) as stock-based compensation expenses under research and development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service fees as the associated costs are incurred when the underlying services are rendered. Such amounts are classified within research and development expenses in the accompanying condensed consolidated statement of operations and comprehensive loss.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rights obtained under the Option Agreements represent an asset acquisition whereby the underlying assets comprise in-process research and development assets with no alternative future use. The Option Agreements did not qualify as a business combination because substantially all of the fair value of the assets acquired was concentrated in the exclusive license options, which represent a group of similar identifiable assets. The research initiation fee represents a one-time cost on a research program-by-research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Option Agreements that is associated with services being rendered under the related Research Programs are recognized as research and development expense when incurred.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2024 and the period from February 6, 2024 (inception) to September 30, 2024, the Company recognized $13.4 million and $33.8 million of expenses, respectively, in connection with services provided by Paragon and Paruka under the Option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Commitment and Contingencies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entered into an operating lease agreement for the Company’s headquarters in Menlo Park, California, which commenced on June 15, 2024 with an initial term of 39.5 months. The Company leases office space under this noncancelable operating lease agreement. Lease liabilities are based on the net present value of the remaining lease payments over the remaining lease term. In determining the present value of lease payments, the Company used its incremental borrowing rate when measuring operating lease liabilities as discount rates were not implicit or readily determinable.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the Company had $0.9 million of operating lease right-of-use assets, operating lease liability, current of $0.1 million, and operating lease liability, noncurrent of $0.8 million on its condensed consolidated balance sheets. As of September 30, 2024, the operating lease arrangement had a remaining lease term of 36.0 months and a discount rate of 17.95%. For the three months ended September 30, 2024 and the period from February 6, 2024 (inception) to September 30, 2024, the Company recorded operating and variable lease expense of $0.1 and $0.2 million, respectively, in general and administrative expenses in its condensed consolidated statements of operations and comprehensive loss.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supplemental cash flow information related to leases (in thousands):</w:t>
      </w:r>
    </w:p>
    <w:p>
      <w:pPr>
        <w:pStyle w:val="TextBody"/>
        <w:bidi w:val="0"/>
        <w:spacing w:before="0" w:after="0"/>
        <w:ind w:left="0" w:right="0" w:firstLine="360"/>
        <w:jc w:val="left"/>
        <w:rPr>
          <w:caps w:val="false"/>
          <w:smallCaps w:val="false"/>
        </w:rPr>
      </w:pPr>
      <w:r>
        <w:rPr>
          <w:caps w:val="false"/>
          <w:smallCaps w:val="false"/>
        </w:rPr>
        <w:t> </w:t>
      </w:r>
    </w:p>
    <w:tbl>
      <w:tblPr>
        <w:tblW w:w="8274" w:type="dxa"/>
        <w:jc w:val="left"/>
        <w:tblInd w:w="0" w:type="dxa"/>
        <w:tblLayout w:type="fixed"/>
        <w:tblCellMar>
          <w:top w:w="0" w:type="dxa"/>
          <w:left w:w="0" w:type="dxa"/>
          <w:bottom w:w="0" w:type="dxa"/>
          <w:right w:w="0" w:type="dxa"/>
        </w:tblCellMar>
      </w:tblPr>
      <w:tblGrid>
        <w:gridCol w:w="6605"/>
        <w:gridCol w:w="60"/>
        <w:gridCol w:w="206"/>
        <w:gridCol w:w="1328"/>
        <w:gridCol w:w="75"/>
      </w:tblGrid>
      <w:tr>
        <w:trPr/>
        <w:tc>
          <w:tcPr>
            <w:tcW w:w="6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September 30, </w:t>
              <w:br/>
              <w:t>2024</w:t>
            </w:r>
          </w:p>
        </w:tc>
        <w:tc>
          <w:tcPr>
            <w:tcW w:w="75" w:type="dxa"/>
            <w:tcBorders/>
            <w:vAlign w:val="center"/>
          </w:tcPr>
          <w:p>
            <w:pPr>
              <w:pStyle w:val="TableContents"/>
              <w:bidi w:val="0"/>
              <w:spacing w:before="0" w:after="283"/>
              <w:jc w:val="center"/>
              <w:rPr/>
            </w:pPr>
            <w:r>
              <w:rPr/>
              <w:t> </w:t>
            </w:r>
          </w:p>
        </w:tc>
      </w:tr>
      <w:tr>
        <w:trPr/>
        <w:tc>
          <w:tcPr>
            <w:tcW w:w="66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amounts included in the measurement of lease liabilities</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cash flow from operating leases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 maturity analysis of the Company’s operating lease liabilities showing the aggregate lease payments as of September 30, 2024 (in thousands): </w:t>
      </w:r>
    </w:p>
    <w:p>
      <w:pPr>
        <w:pStyle w:val="TextBody"/>
        <w:bidi w:val="0"/>
        <w:spacing w:before="0" w:after="0"/>
        <w:ind w:left="0" w:right="0" w:firstLine="360"/>
        <w:jc w:val="left"/>
        <w:rPr>
          <w:caps w:val="false"/>
          <w:smallCaps w:val="false"/>
        </w:rPr>
      </w:pPr>
      <w:r>
        <w:rPr>
          <w:caps w:val="false"/>
          <w:smallCaps w:val="false"/>
        </w:rPr>
        <w:t> </w:t>
      </w:r>
    </w:p>
    <w:tbl>
      <w:tblPr>
        <w:tblW w:w="3930" w:type="dxa"/>
        <w:jc w:val="left"/>
        <w:tblInd w:w="0" w:type="dxa"/>
        <w:tblLayout w:type="fixed"/>
        <w:tblCellMar>
          <w:top w:w="0" w:type="dxa"/>
          <w:left w:w="0" w:type="dxa"/>
          <w:bottom w:w="0" w:type="dxa"/>
          <w:right w:w="0" w:type="dxa"/>
        </w:tblCellMar>
      </w:tblPr>
      <w:tblGrid>
        <w:gridCol w:w="3080"/>
        <w:gridCol w:w="60"/>
        <w:gridCol w:w="142"/>
        <w:gridCol w:w="553"/>
        <w:gridCol w:w="9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ending December 31,</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 (remainder)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55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undiscounted lease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imputed interest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discounted lease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current portion of lease liability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portion of 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Net Loss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attributable to stockholders were calculated as follows (in thousands, except share and per share data):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65"/>
        <w:gridCol w:w="60"/>
        <w:gridCol w:w="174"/>
        <w:gridCol w:w="941"/>
        <w:gridCol w:w="95"/>
        <w:gridCol w:w="60"/>
        <w:gridCol w:w="82"/>
        <w:gridCol w:w="1513"/>
        <w:gridCol w:w="60"/>
        <w:gridCol w:w="60"/>
        <w:gridCol w:w="178"/>
        <w:gridCol w:w="1192"/>
        <w:gridCol w:w="95"/>
        <w:gridCol w:w="60"/>
        <w:gridCol w:w="174"/>
        <w:gridCol w:w="941"/>
        <w:gridCol w:w="95"/>
        <w:gridCol w:w="60"/>
        <w:gridCol w:w="90"/>
        <w:gridCol w:w="1504"/>
        <w:gridCol w:w="60"/>
        <w:gridCol w:w="60"/>
        <w:gridCol w:w="178"/>
        <w:gridCol w:w="1192"/>
        <w:gridCol w:w="116"/>
      </w:tblGrid>
      <w:tr>
        <w:trPr/>
        <w:tc>
          <w:tcPr>
            <w:tcW w:w="1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Period from</w:t>
              <w:br/>
              <w:t>February 6,</w:t>
              <w:br/>
              <w:t>2024</w:t>
              <w:br/>
              <w:t>(Inception)</w:t>
              <w:br/>
              <w:t>to</w:t>
              <w:br/>
              <w:t>September 30,</w:t>
              <w:br/>
              <w:t>2024</w:t>
            </w:r>
          </w:p>
        </w:tc>
        <w:tc>
          <w:tcPr>
            <w:tcW w:w="116"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Allocation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Shares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Per Share – Basic and Diluted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Allocation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Shares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Per Share – Basic and Diluted</w:t>
            </w:r>
          </w:p>
        </w:tc>
        <w:tc>
          <w:tcPr>
            <w:tcW w:w="116" w:type="dxa"/>
            <w:tcBorders/>
            <w:vAlign w:val="center"/>
          </w:tcPr>
          <w:p>
            <w:pPr>
              <w:pStyle w:val="TableContents"/>
              <w:bidi w:val="0"/>
              <w:spacing w:before="0" w:after="283"/>
              <w:jc w:val="left"/>
              <w:rPr/>
            </w:pPr>
            <w:r>
              <w:rPr/>
              <w:t> </w:t>
            </w:r>
          </w:p>
        </w:tc>
      </w:tr>
      <w:tr>
        <w:trPr/>
        <w:tc>
          <w:tcPr>
            <w:tcW w:w="116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(21,936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15,013,655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(47,192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pPr>
            <w:r>
              <w:rPr/>
              <w:t>7,765,381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(6.08</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1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Series A Preferred Stock</w:t>
            </w:r>
            <w:r>
              <w:rPr>
                <w:rFonts w:ascii="Times New Roman;Times;Serif" w:hAnsi="Times New Roman;Times;Serif"/>
                <w:position w:val="7"/>
                <w:sz w:val="16"/>
                <w:sz w:val="20"/>
              </w:rPr>
              <w:t>(1)</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(697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477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(1,460.62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(1,121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184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(6,077.13</w:t>
            </w:r>
          </w:p>
        </w:tc>
        <w:tc>
          <w:tcPr>
            <w:tcW w:w="116" w:type="dxa"/>
            <w:tcBorders/>
            <w:vAlign w:val="center"/>
          </w:tcPr>
          <w:p>
            <w:pPr>
              <w:pStyle w:val="TableContents"/>
              <w:bidi w:val="0"/>
              <w:spacing w:before="0" w:after="283"/>
              <w:ind w:left="0" w:right="0" w:hanging="180"/>
              <w:jc w:val="left"/>
              <w:rPr/>
            </w:pPr>
            <w:r>
              <w:rPr/>
              <w:t>)</w:t>
            </w:r>
          </w:p>
        </w:tc>
      </w:tr>
      <w:tr>
        <w:trPr/>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Series B Preferred Stock</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CCEEFF" w:val="clear"/>
            <w:tcMar>
              <w:bottom w:w="28" w:type="dxa"/>
            </w:tcMar>
            <w:vAlign w:val="center"/>
          </w:tcPr>
          <w:p>
            <w:pPr>
              <w:pStyle w:val="TableContents"/>
              <w:bidi w:val="0"/>
              <w:spacing w:before="0" w:after="283"/>
              <w:jc w:val="right"/>
              <w:rPr/>
            </w:pPr>
            <w:r>
              <w:rPr/>
              <w:t>(5,990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49,191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(121.77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CCEEFF" w:val="clear"/>
            <w:tcMar>
              <w:bottom w:w="28" w:type="dxa"/>
            </w:tcMar>
            <w:vAlign w:val="center"/>
          </w:tcPr>
          <w:p>
            <w:pPr>
              <w:pStyle w:val="TableContents"/>
              <w:bidi w:val="0"/>
              <w:spacing w:before="0" w:after="283"/>
              <w:jc w:val="right"/>
              <w:rPr/>
            </w:pPr>
            <w:r>
              <w:rPr/>
              <w:t>(9,630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pPr>
            <w:r>
              <w:rPr/>
              <w:t>19,015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(506.44</w:t>
            </w:r>
          </w:p>
        </w:tc>
        <w:tc>
          <w:tcPr>
            <w:tcW w:w="116" w:type="dxa"/>
            <w:tcBorders/>
            <w:shd w:fill="CCEEFF" w:val="clear"/>
            <w:vAlign w:val="center"/>
          </w:tcPr>
          <w:p>
            <w:pPr>
              <w:pStyle w:val="TableContents"/>
              <w:bidi w:val="0"/>
              <w:spacing w:before="0" w:after="283"/>
              <w:jc w:val="left"/>
              <w:rPr/>
            </w:pPr>
            <w:r>
              <w:rPr/>
              <w:t>)</w:t>
            </w:r>
          </w:p>
        </w:tc>
      </w:tr>
      <w:tr>
        <w:trPr/>
        <w:tc>
          <w:tcPr>
            <w:tcW w:w="1165"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pPr>
            <w:r>
              <w:rPr/>
              <w:t>$</w:t>
            </w:r>
          </w:p>
        </w:tc>
        <w:tc>
          <w:tcPr>
            <w:tcW w:w="941" w:type="dxa"/>
            <w:tcBorders>
              <w:bottom w:val="double" w:sz="10" w:space="0" w:color="000000"/>
            </w:tcBorders>
            <w:tcMar>
              <w:bottom w:w="28" w:type="dxa"/>
            </w:tcMar>
            <w:vAlign w:val="center"/>
          </w:tcPr>
          <w:p>
            <w:pPr>
              <w:pStyle w:val="TableContents"/>
              <w:bidi w:val="0"/>
              <w:spacing w:before="0" w:after="283"/>
              <w:jc w:val="right"/>
              <w:rPr/>
            </w:pPr>
            <w:r>
              <w:rPr/>
              <w:t>(28,623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pPr>
            <w:r>
              <w:rPr/>
              <w:t>$</w:t>
            </w:r>
          </w:p>
        </w:tc>
        <w:tc>
          <w:tcPr>
            <w:tcW w:w="941" w:type="dxa"/>
            <w:tcBorders>
              <w:bottom w:val="double" w:sz="10" w:space="0" w:color="000000"/>
            </w:tcBorders>
            <w:tcMar>
              <w:bottom w:w="28" w:type="dxa"/>
            </w:tcMar>
            <w:vAlign w:val="center"/>
          </w:tcPr>
          <w:p>
            <w:pPr>
              <w:pStyle w:val="TableContents"/>
              <w:bidi w:val="0"/>
              <w:spacing w:before="0" w:after="283"/>
              <w:jc w:val="right"/>
              <w:rPr/>
            </w:pPr>
            <w:r>
              <w:rPr/>
              <w:t>(57,943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weighted-average number of shares of as-converted Company Series A Preferred Stock used in the loss allocation was 477,196 and 184,462 for the three months ended September 30, 2024 and for the period from February 6, 2024 (inception) to September 30, 2024,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weighted-average number of shares of as-converted Company Series B Preferred Stock used in the loss allocation was 4,099,227 and 1,584,575 for the three months ended September 30, 2024 and for the period from February 6, 2024 (inception) to September 30, 2024, respectively.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computation of basic net loss per share attributable to stockholders, the amount of weighted-average shares outstanding excludes all shares of unvested restricted common stock as such shares are not considered outstanding for accounting purposes until vested. The amount of weighted-average shares outstanding includes the pre-funded warrants as the exercise price is negligible and these warrants are fully vested and exercisable.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shares of common stock that were excluded from the computation of diluted net loss per share attributable to stockholders for the periods presented because including them would have had an anti-dilutive effect were as follows: </w:t>
      </w:r>
    </w:p>
    <w:p>
      <w:pPr>
        <w:pStyle w:val="TextBody"/>
        <w:bidi w:val="0"/>
        <w:spacing w:before="0" w:after="0"/>
        <w:ind w:left="0" w:right="0" w:firstLine="360"/>
        <w:jc w:val="left"/>
        <w:rPr>
          <w:caps w:val="false"/>
          <w:smallCaps w:val="false"/>
        </w:rPr>
      </w:pPr>
      <w:r>
        <w:rPr>
          <w:caps w:val="false"/>
          <w:smallCaps w:val="false"/>
        </w:rPr>
        <w:t> </w:t>
      </w:r>
    </w:p>
    <w:tbl>
      <w:tblPr>
        <w:tblW w:w="9554" w:type="dxa"/>
        <w:jc w:val="left"/>
        <w:tblInd w:w="0" w:type="dxa"/>
        <w:tblLayout w:type="fixed"/>
        <w:tblCellMar>
          <w:top w:w="0" w:type="dxa"/>
          <w:left w:w="0" w:type="dxa"/>
          <w:bottom w:w="0" w:type="dxa"/>
          <w:right w:w="0" w:type="dxa"/>
        </w:tblCellMar>
      </w:tblPr>
      <w:tblGrid>
        <w:gridCol w:w="5615"/>
        <w:gridCol w:w="60"/>
        <w:gridCol w:w="127"/>
        <w:gridCol w:w="2082"/>
        <w:gridCol w:w="60"/>
        <w:gridCol w:w="60"/>
        <w:gridCol w:w="85"/>
        <w:gridCol w:w="1390"/>
        <w:gridCol w:w="75"/>
      </w:tblGrid>
      <w:tr>
        <w:trPr/>
        <w:tc>
          <w:tcPr>
            <w:tcW w:w="5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February 6,</w:t>
              <w:br/>
              <w:t>2024</w:t>
              <w:br/>
              <w:t>(Inception)</w:t>
              <w:br/>
              <w:t>to</w:t>
              <w:br/>
              <w:t>September 30,</w:t>
              <w:br/>
              <w:t>2024</w:t>
            </w:r>
          </w:p>
        </w:tc>
        <w:tc>
          <w:tcPr>
            <w:tcW w:w="7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Outstanding employee warrants to purchase common stock</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082" w:type="dxa"/>
            <w:tcBorders/>
            <w:shd w:fill="CCEEFF" w:val="clear"/>
            <w:vAlign w:val="center"/>
          </w:tcPr>
          <w:p>
            <w:pPr>
              <w:pStyle w:val="TableContents"/>
              <w:bidi w:val="0"/>
              <w:spacing w:before="0" w:after="283"/>
              <w:jc w:val="right"/>
              <w:rPr/>
            </w:pPr>
            <w:r>
              <w:rPr/>
              <w:t>3,054,358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3,054,358</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283"/>
              <w:jc w:val="left"/>
              <w:rPr/>
            </w:pPr>
            <w:r>
              <w:rPr/>
              <w:t>Outstanding unvested restricted stock awards</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right"/>
              <w:rPr/>
            </w:pPr>
            <w:r>
              <w:rPr/>
              <w:t>2,207,553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2,207,553</w:t>
            </w:r>
          </w:p>
        </w:tc>
        <w:tc>
          <w:tcPr>
            <w:tcW w:w="75" w:type="dxa"/>
            <w:tcBorders/>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Outstanding and issued common stock options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82" w:type="dxa"/>
            <w:tcBorders>
              <w:bottom w:val="single" w:sz="12" w:space="0" w:color="000000"/>
            </w:tcBorders>
            <w:shd w:fill="CCEEFF" w:val="clear"/>
            <w:tcMar>
              <w:bottom w:w="28" w:type="dxa"/>
            </w:tcMar>
            <w:vAlign w:val="center"/>
          </w:tcPr>
          <w:p>
            <w:pPr>
              <w:pStyle w:val="TableContents"/>
              <w:bidi w:val="0"/>
              <w:spacing w:before="0" w:after="283"/>
              <w:jc w:val="right"/>
              <w:rPr/>
            </w:pPr>
            <w:r>
              <w:rPr/>
              <w:t>1,287,760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CCEEFF" w:val="clear"/>
            <w:tcMar>
              <w:bottom w:w="28" w:type="dxa"/>
            </w:tcMar>
            <w:vAlign w:val="center"/>
          </w:tcPr>
          <w:p>
            <w:pPr>
              <w:pStyle w:val="TableContents"/>
              <w:bidi w:val="0"/>
              <w:spacing w:before="0" w:after="283"/>
              <w:jc w:val="right"/>
              <w:rPr/>
            </w:pPr>
            <w:r>
              <w:rPr/>
              <w:t>1,287,760</w:t>
            </w:r>
          </w:p>
        </w:tc>
        <w:tc>
          <w:tcPr>
            <w:tcW w:w="75" w:type="dxa"/>
            <w:tcBorders/>
            <w:shd w:fill="CCEEFF" w:val="clear"/>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283"/>
              <w:jc w:val="left"/>
              <w:rPr/>
            </w:pPr>
            <w:r>
              <w:rPr/>
              <w:t>Total</w:t>
            </w:r>
          </w:p>
        </w:tc>
        <w:tc>
          <w:tcPr>
            <w:tcW w:w="60" w:type="dxa"/>
            <w:tcBorders/>
            <w:vAlign w:val="center"/>
          </w:tcPr>
          <w:p>
            <w:pPr>
              <w:pStyle w:val="TableContents"/>
              <w:bidi w:val="0"/>
              <w:spacing w:before="0" w:after="283"/>
              <w:jc w:val="left"/>
              <w:rPr/>
            </w:pPr>
            <w:r>
              <w:rPr/>
              <w:t> </w:t>
            </w:r>
          </w:p>
        </w:tc>
        <w:tc>
          <w:tcPr>
            <w:tcW w:w="127" w:type="dxa"/>
            <w:tcBorders>
              <w:bottom w:val="double" w:sz="10" w:space="0" w:color="000000"/>
            </w:tcBorders>
            <w:tcMar>
              <w:bottom w:w="28" w:type="dxa"/>
            </w:tcMar>
            <w:vAlign w:val="center"/>
          </w:tcPr>
          <w:p>
            <w:pPr>
              <w:pStyle w:val="TableContents"/>
              <w:bidi w:val="0"/>
              <w:spacing w:before="0" w:after="283"/>
              <w:jc w:val="left"/>
              <w:rPr/>
            </w:pPr>
            <w:r>
              <w:rPr/>
              <w:t> </w:t>
            </w:r>
          </w:p>
        </w:tc>
        <w:tc>
          <w:tcPr>
            <w:tcW w:w="2082" w:type="dxa"/>
            <w:tcBorders>
              <w:bottom w:val="double" w:sz="10" w:space="0" w:color="000000"/>
            </w:tcBorders>
            <w:tcMar>
              <w:bottom w:w="28" w:type="dxa"/>
            </w:tcMar>
            <w:vAlign w:val="center"/>
          </w:tcPr>
          <w:p>
            <w:pPr>
              <w:pStyle w:val="TableContents"/>
              <w:bidi w:val="0"/>
              <w:spacing w:before="0" w:after="283"/>
              <w:jc w:val="right"/>
              <w:rPr/>
            </w:pPr>
            <w:r>
              <w:rPr/>
              <w:t>6,549,671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bottom w:val="double" w:sz="10" w:space="0" w:color="000000"/>
            </w:tcBorders>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tcMar>
              <w:bottom w:w="28" w:type="dxa"/>
            </w:tcMar>
            <w:vAlign w:val="center"/>
          </w:tcPr>
          <w:p>
            <w:pPr>
              <w:pStyle w:val="TableContents"/>
              <w:bidi w:val="0"/>
              <w:spacing w:before="0" w:after="283"/>
              <w:jc w:val="right"/>
              <w:rPr/>
            </w:pPr>
            <w:r>
              <w:rPr/>
              <w:t>6,549,671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Related Party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Paragon and Paruka each beneficially own less than 5% of the Company’s capital stock through their respective holdings of Company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Fairmount beneficially owns more than 5% of the Company’s capital, currently has one representative appointed to the Board, and beneficially owns more than 5% of Paragon. Fairmount appointed Paragon’s board of directors and has the contractual right to approve the appointment of any executive officers of Paragon.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related party accounts payable and other current liabilities (in thousands): </w:t>
      </w:r>
    </w:p>
    <w:p>
      <w:pPr>
        <w:pStyle w:val="TextBody"/>
        <w:bidi w:val="0"/>
        <w:spacing w:before="0" w:after="0"/>
        <w:ind w:left="0" w:right="0" w:firstLine="36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4520"/>
        <w:gridCol w:w="60"/>
        <w:gridCol w:w="295"/>
        <w:gridCol w:w="1180"/>
        <w:gridCol w:w="75"/>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2024</w:t>
            </w:r>
          </w:p>
        </w:tc>
        <w:tc>
          <w:tcPr>
            <w:tcW w:w="75" w:type="dxa"/>
            <w:tcBorders/>
            <w:vAlign w:val="center"/>
          </w:tcPr>
          <w:p>
            <w:pPr>
              <w:pStyle w:val="TableContents"/>
              <w:bidi w:val="0"/>
              <w:spacing w:before="0" w:after="283"/>
              <w:ind w:left="0" w:right="0" w:hanging="200"/>
              <w:jc w:val="left"/>
              <w:rPr/>
            </w:pPr>
            <w:r>
              <w:rPr/>
              <w:t> </w:t>
            </w:r>
          </w:p>
        </w:tc>
      </w:tr>
      <w:tr>
        <w:trPr/>
        <w:tc>
          <w:tcPr>
            <w:tcW w:w="4520" w:type="dxa"/>
            <w:tcBorders/>
            <w:shd w:fill="CCEEFF" w:val="clear"/>
            <w:vAlign w:val="center"/>
          </w:tcPr>
          <w:p>
            <w:pPr>
              <w:pStyle w:val="TableContents"/>
              <w:bidi w:val="0"/>
              <w:spacing w:before="0" w:after="283"/>
              <w:jc w:val="left"/>
              <w:rPr/>
            </w:pPr>
            <w:r>
              <w:rPr/>
              <w:t>Paragon reimbursable Option Agreements’ fees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6,140</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Paragon reimbursable other research expenses</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146</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Paragon reimbursable patent expenses</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71</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bottom w:val="double" w:sz="10" w:space="0" w:color="000000"/>
            </w:tcBorders>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tcMar>
              <w:bottom w:w="28" w:type="dxa"/>
            </w:tcMar>
            <w:vAlign w:val="center"/>
          </w:tcPr>
          <w:p>
            <w:pPr>
              <w:pStyle w:val="TableContents"/>
              <w:bidi w:val="0"/>
              <w:spacing w:before="0" w:after="283"/>
              <w:jc w:val="right"/>
              <w:rPr/>
            </w:pPr>
            <w:r>
              <w:rPr/>
              <w:t>6,357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unaudited consolidated financial statements and the related notes included in Part 1, Item 1 of this Quarterly Report on Form 10-Q for the quarterly period ended September 30, 2024 (this “Quarterly Report”). This discussion contains forward-looking statements that involve risks and uncertainties, such as statements regarding our plans, objectives, expectations, intentions, hopes, beliefs, strategies or projections regarding the future of its pipeline and business and words such as “may,” “will,”, “should,” “could,” “would,” “expect,” “plan,” “anticipate,” “believe,” “estimate,” “project,” “potential,” “seek,” “target,” “goal,” “intend” and variations of such words and any statements that refer to projections, forecasts or other characterizations of future events or circumstances, including any underlying assumptions, and similar expressions are intended to identify forward-looking statements. You should not place undue reliance on these forward-looking statements. These forward-looking statements are based on current expectations and beliefs concerning future developments and their potential effects. There can be no assurance that future developments affecting us will be those that have been anticipated. These forward-looking statements involve a number of risks, uncertainties (some of which are beyond our control) or other assumptions that may cause actual results or performance to be materially different from those expressed or implied by these forward looking statements. Factors that could cause or contribute to such differences include, but are not limited to, those discussed in the section of this Quarterly Report entitled “Risk Factors” and elsewhere in this Quarterly Report. These and many other factors could affect our future financial and operating results. We undertake no obligation to update any forward-looking statement to reflect events after the date of this Quarterly Report. As used in this Quarterly Report, unless the context suggests otherwise, “we,” “us,” “our,” “the Company,” “Oruka Therapeutics, Inc.,” “Oruka,” “ARCA biopharma, Inc.,” “ARCA,” refers to Oruka Therapeutics, Inc. and its consolidated subsidiaries, including Oruka Therapeutics Operating Company LLC, taken as a whole.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biotechnology company focused on developing novel monoclonal antibody therapeutics for psoriasis (“PsO”) and other inflammatory and immunology (“I&amp;I”) indications. Our name is derived from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xml:space="preserve">, for “skin,” and </w:t>
      </w:r>
      <w:r>
        <w:rPr>
          <w:rFonts w:ascii="Times New Roman;Times;Serif" w:hAnsi="Times New Roman;Times;Serif"/>
          <w:b w:val="false"/>
          <w:i/>
          <w:caps w:val="false"/>
          <w:smallCaps w:val="false"/>
          <w:sz w:val="20"/>
        </w:rPr>
        <w:t>arukah</w:t>
      </w:r>
      <w:r>
        <w:rPr>
          <w:rFonts w:ascii="Times New Roman;Times;Serif" w:hAnsi="Times New Roman;Times;Serif"/>
          <w:b w:val="false"/>
          <w:i w:val="false"/>
          <w:caps w:val="false"/>
          <w:smallCaps w:val="false"/>
          <w:sz w:val="20"/>
        </w:rPr>
        <w:t>, for “restoration” and reflects our mission to deliver therapies for chronic skin diseases that provide patients the greatest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intending to reduce technical and biological risk. Our programs aim to treat and potentially modify disease by targeting mechanisms with proven efficacy and safety involved in disease pathology and the activity of pathogenic tissue-resident memory T cells. Our lead program, ORKA-001, is designed to target the p19 subunit of interleukin-23 (“IL-23p19”) for the treatment of PsO. Our co-lead program, ORKA-002, is designed to target interleukin-17A and interleukin-17F (“IL-17A/F”) for the treatment of PsO, psoriatic arthritis (“PsA”), and other conditions. These programs each bind their respective targets at high affinity and incorporate half-life extension technology with the aim to increase exposure and decrease dosing frequency. We believe that our focused strategy, differentiated portfolio, and deep expertise position us to set a new treatment standard in large I&amp;I markets with continued unmet need.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February 2024, we have devoted substantially all of our resources to raising capital, organizing and staffing the company, business and scientific planning, conducting discovery and research activities, establishing arrangements with third parties for the manufacture of our programs and component materials, and providing general and administrative support for these operations. We do not have any programs approved for sale and have not generated any revenue from product sales. To date, we have funded our operations primarily with proceeds from the issuance of convertible preferred stock, common stock, convertible note, pre-funded warrants, and the proceeds from the reverse recapitalization and merger with ARCA biopharma, Inc., our Pre-Closing Financing and subsequent PIPE Financing (as defined and further described in “</w:t>
      </w:r>
      <w:r>
        <w:rPr>
          <w:rFonts w:ascii="Times New Roman;Times;Serif" w:hAnsi="Times New Roman;Times;Serif"/>
          <w:b w:val="false"/>
          <w:i/>
          <w:caps w:val="false"/>
          <w:smallCaps w:val="false"/>
          <w:sz w:val="20"/>
        </w:rPr>
        <w:t xml:space="preserve">Recent developments” </w:t>
      </w:r>
      <w:r>
        <w:rPr>
          <w:rFonts w:ascii="Times New Roman;Times;Serif" w:hAnsi="Times New Roman;Times;Serif"/>
          <w:b w:val="false"/>
          <w:i w:val="false"/>
          <w:caps w:val="false"/>
          <w:smallCaps w:val="false"/>
          <w:sz w:val="20"/>
        </w:rPr>
        <w:t>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significant losses and negative cash flows from our operations. Our ability to generate product revenue sufficient to achieve profitability will depend heavily on the successful development and eventual commercialization of any programs we may develop. We generated net losses of $28.6 million for the three months ended September 30, 2024 and $57.9 million for the period from February 6, 2024 (inception) to September 30, 2024. For the period from February 6 (inception) to September 30, 2024, we have used net cash of $39.0 million for our operating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of $410.9 million as of September 30, 2024. We expect that our existing cash and cash equivalents will be sufficient to fund our operating plans for at least twelve months from the date of filing of this Quarterly Report.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ORKA-001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ORKA-001 is a high affinity, extended half-life monoclonal antibody (“mAb”) designed to target IL-23p19. IL-23 is a pro-inflammatory cytokine that plays a critical role in the proliferation and development of T helper 17 (“Th17”) cells, which are the primary drivers of several autoimmune and inflammatory disorders, including PsO. IL-23 is composed of two subunits: a p40 subunit that is shared with IL-12 and a p19 subunit that is specific to IL-23. First-generation IL-23 antibodies bound p40 and inhibited both IL-12 and IL-23 signaling, while more recent IL-23 antibodies targeting the p19 subunit have shown improved efficacy and safety. Based on preclinical evidence, we believe that ORKA-001 could achieve higher response rates than established therapies in PsO while requiring less frequent dosing and maintaining the favorable safety profile of therapies targeting IL-23p19.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ORKA-001 is engineered with YTE half-life extension technology, a specific three amino acid change in the Fc domain to modify the pH-dependent binding to the neonatal Fc receptor. As a result, it has a pharmacokinetic profile that has the potential to support a SQ injection as infrequently as once or twice a year. In addition, emerging evidence suggests that IL-23 blockade can modify the disease biology of PsO, possibly leading to durable remissions and preventing the development of PsA. We believe that the expected characteristics of ORKA-001 increase its potential to deliver these disease-modifying benefits.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initiate a Phase 1 trial of ORKA-001 in the first quarter of 2025. We expect to share interim data from the first-in-human trial in healthy volunteers, including initial pharmacokinetic data, in the second half of 2025 and initial efficacy data in PsO patients in the second half of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ORKA-002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ORKA-002 is a high affinity, extended half-life mAb designed to target IL-17A and IL-17F (“IL-17A/F”). IL-17 inhibition has become central to the treatment of psoriatic diseases, including PsO and PsA, and has also shown efficacy in other I&amp;I indications, such as hidradenitis suppurativa and axial spondyloarthritis. More recently, the importance of inhibiting the IL-17F isoform along with IL-17A has become appreciated, and dual blockade with the recently approved therapy Bimzelx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(bimekizumab) has led to higher response rates in patients than blockade of IL-17A alone. ORKA-002 is designed to bind IL-17A/F at similar epitopes, or binding sites, and affinity ranges as bimekizumab, but incorporates half-life extension technology that could enable more convenient dosing intervals. We plan to initiate a Phase 1 trial of ORKA-002 in the third quarter of 2025. We expect to share interim data from the first-in-human trial in healthy volunteers, including initial pharmacokinetic data, in the first half of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ORKA-002 and ORKA-001 as highly complementary. Patients with moderate-to-severe PsO that have purely skin manifestations are most often treated with IL-23 inhibitors due to the high efficacy and tolerability of this mechanism. However, for patients who also have joint involvement, or signs and symptoms of PsA, an IL-17 inhibitor is typically used due to its efficacy in addressing both skin and joint symptoms. In addition, IL-17 inhibitors are often used in patients with highly resistant skin symptoms that do not adequately resolve through treatment with an IL-23 inhibitor. Together, ORKA-001 and ORKA-002 provide the potential to offer a highly compelling product profile for most patients with PsO and/or PsA, as well as the opportunity to address additional I&amp;I indications.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Pipeline Program</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third mAb program, ORKA-003, designed to target an undisclosed pathway. Our strategy as a company is to remain highly focused on I&amp;I diseases, and specifically on inflammatory dermatology conditions. Our third program provides the potential for indication expansion beyond PsO and may create combination opportunities with our more advanced programs.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we consummated the previously announced business combination (“Closing”) pursuant to that certain Agreement and Plan of Merger and Reorganization, dated April 3, 2024 (the “Merger Agreement”), by and among ARCA, Atlas Merger Sub Corp, a wholly owned subsidiary of ARCA (“First Merger Sub”), Atlas Merger Sub II, LLC, a wholly owned subsidiary of ARCA (“Second Merger Sub”) and Oruka Therapeutics, Inc. (“Pre-Merger Oruka”), pursuant to which, among other matters, Pre-Merger Oruka merged with and into First Merger Sub, with Pre-Merger Oruka continuing as a wholly owned subsidiary of ARCA and the surviving corporation of the merger (“First Merger”) and following that, Pre-Merger Oruka then merged with and into Second Merger Sub, with Second Merger Sub being the surviving entity of the second merger (the “Second Merger” and together with the First Merger, the “Merger”). Following consummation of the Merger, we effected a 1-for-12 reverse stock split (the “Reverse Stock Split”) of the common stock, par value $0.001 per share, of the Company (“Company Common Stock”), which became effective on September 3, 2024. The Company Common Stock commenced trading on a post-Reverse Stock Split, post-Merger basis at the opening of trading on September 3, 2024. Second Merger Sub changed its corporate name to “Oruka Therapeutics Operating Company, LLC” and ARCA changed its name to “Oruka Therapeutics, Inc.” We are led by the pre-reverse capitalization Pre-Merger Oruka management team and remains focused on developing biologics to optimize the treatment of inflammatory skin diseases.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Pre-Closing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execution and delivery of the Merger Agreement on April 3, 2024, certain new and existing investors of Pre-Merger Oruka entered into a subscription agreement with Pre-Merger Oruka (the “Subscription Agreement”), pursuant to which, and on the terms and subject to the conditions of which, immediately prior to the Closing, those investors purchased shares of common stock of Pre-Merger Oruka (“Pre-Merger Oruka Common Stock”) and Pre-Merger Oruka pre-funded warrants for gross proceeds of approximately $275.0 million (which includes $25.0 million of proceeds previously received from the issuance of the Convertible Note (refer to Note 6 in our condensed consolidated financial statements included in Part I- Item 1 of this Quarterly Report for additional details) and accrued interest on such note which converted to shares of Pre-Merger Oruka Common Stock) (the “Pre-Closing Financing”). We incurred transaction costs of $20.5 million which was recorded as a reduction to additional paid-in capital in the unaudited condensed consolidated financial statements. At the Closing, the shares of Pre-Merger Oruka Common Stock and Pre-Merger Oruka pre-funded warrants issued pursuant to the Subscription Agreement were converted into shares of Company Common Stock and pre-funded warrants of Company Common Stock in accordance with the Exchange Ratio (defined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an Exchange Ratio determined by terms of the Merger Agreement and upon the effective time of the First Merger (the “First Effective Time”), (i) each then-issued and outstanding share of Pre-Merger Oruka Common Stock including outstanding and unvested Pre-Merger Oruka restricted stock and shares of Pre-Merger Oruka Common Stock issued in connection with the Subscription Agreement, were converted into the right to receive a number of shares of Company Common Stock, equal to the exchange ratio of 6.8569 shares of Company Common Stock (the “Exchange Ratio”), which were subject to the same vesting provisions as those immediately prior to the Merger, (ii) each share of Pre-Merger Oruka Series A convertible preferred stock, par value $0.0001 (“Pre-Merger Oruka Series A Preferred Stock”), outstanding immediately prior to the First Effective Time was converted into the right to receive a number of shares of ARCA Series B non-voting convertible preferred stock, par value $0.001 per share, which are convertible into shares of Company Common Stock at a conversion ratio of approximately 83.3332:1, (iii) each outstanding option to purchase Pre-Merger Oruka Common Stock was converted into an option to purchase shares of Company Common Stock, (iv) each outstanding warrant to purchase shares of Pre-Merger Oruka Common Stock was converted into a warrant to purchase shares of Company Common Stock, and (v) each share of Company Common Stock issued and outstanding at the First Effective Time remain issued and outstanding in accordance with its terms and such shares Subsequent to the close of the merger, the common stock shares were then, subject to the reverse stock split of 1-for-12 effected on September 3,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Pre-Closing Financing and the Closing, the investors in the Pre-Closing Financing received 22,784,139 shares of Company Common Stock in exchange for 39,873,706 shares of Pre-Merger Oruka Common Stock (which includes the issuance of 2,722,207 shares of Company Common Stock in exchange for 4,764,032 shares of Pre-Merger Oruka Common Stock on the conversion of Convertible Note along with the accrued interest through the conversion date) and 5,522,207 Company pre-funded warrants in exchange for 9,664,208 Pre-Merger pre-funded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accounted for as a reverse recapitalization in accordance with U.S. GAAP. Under this method of accounting, Pre-Merger Oruka was deemed to be the accounting acquirer for financial reporting purposes. This determination was primarily based on the fact that, immediately following the Merger: (i) Pre-Merger Oruka stockholders own a substantial majority of the voting rights in the combined company; (ii) Pre-Merger Oruka’s largest stockholders retain the largest interest in the combined company; (iii) Pre-Merger Oruka designated a majority of the initial members of the board of directors of the combined company; and (iv) Pre-Merger Oruka’s executive management team became the management team of the combined company. Accordingly, for accounting purposes: (i) the Merger was treated as the equivalent of Pre-Merger Oruka issuing stock to acquire the net assets of ARCA; and (ii) the reported historical operating results of the combined company prior to the Merger are those of Pre-Merger Oruka. Additional information regarding the Merger is included in Note 3 to the condensed consolidated financial statements included in Part I – Item 1 of this Quarterly Report.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2024, we effected the Reverse Stock Split, a 1-for-12 reverse stock split of Company Common Stock. The par value per share and the number of authorized shares were not adjusted as a result of the Reverse Stock Split. The shares of Company Common Stock underlying outstanding stock options, common stock warrants and other equity instruments were proportionately reduced and the respective exercise prices, if applicable, were proportionately increased in accordance with the terms of the agreements governing such securities. All references to common stock, options to purchase common stock, outstanding common stock warrants, common stock share data, per share data, and related information contained in the condensed consolidated financial statements have been retrospectively adjusted to reflect the effect of the Reverse Stock Split for all periods presented, unless otherwise specifically indicated or the context otherwise requires.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we entered into a Securities Purchase Agreement for a private placement (the “PIPE Financing”) with certain institutional and accredited investors. The closing of the PIPE Financing occurred on September 13,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the investors purchased an aggregate of 5,600,000 shares of Company Common Stock at a purchase price of $23.00 per share, an aggregate of 2,439 shares of the Company’s Series A non-voting convertible preferred stock, par value $0.001 per share (“Company Series A Preferred Stock”), at a purchase price of $23,000.00 per share (each Company Series A Preferred Stock is convertible into 1,000 shares of Company Common Stock), and pre-funded warrants to purchase an aggregate of 680,000 shares of Company Common Stock at a purchase price of $22.999 per pre-funded warrant, for aggregate net proceeds of approximately $188.7 million (net of issuance costs of $11.8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revenue from any sources, including product sales, and do not expect to generate any revenue from the sale of products in the foreseeable future. If our development efforts for our product candidates are successful and result in regulatory approval, we may generate revenue in the future from product sales or payments from future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in connection with the development and research of our programs. These expenses include costs of funding research performed by third parties, including Paragon Therapeutics, Inc. (“Paragon”), that conduct research and development activities on our behalf, expenses incurred in connection with continuing our current research programs and discovery-phase development of any programs we may identify, including under future agreements with third parties, such as consultants and contractors, personnel-related expenses, including salaries, bonuses, employee benefits, stock-based compensation expense, and allocated human resource costs, information technology costs, and facility-related costs, including rent, maintenance, utilities, and depreciation for our leased office space.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incurred. Our primary focus since inception has been the identification and development of our pipeline programs. Our research and development expenses primarily consist of external costs, such as fees paid to Paragon under the Option Agreements. We separately track the amount of costs incurred under the Option Agreements with Paragon between ORKA-001 and ORKA-002. See “— </w:t>
      </w:r>
      <w:r>
        <w:rPr>
          <w:rFonts w:ascii="Times New Roman;Times;Serif" w:hAnsi="Times New Roman;Times;Serif"/>
          <w:b w:val="false"/>
          <w:i/>
          <w:caps w:val="false"/>
          <w:smallCaps w:val="false"/>
          <w:sz w:val="20"/>
        </w:rPr>
        <w:t>Contractual Obligations and Commitments</w:t>
      </w:r>
      <w:r>
        <w:rPr>
          <w:rFonts w:ascii="Times New Roman;Times;Serif" w:hAnsi="Times New Roman;Times;Serif"/>
          <w:b w:val="false"/>
          <w:i w:val="false"/>
          <w:caps w:val="false"/>
          <w:smallCaps w:val="false"/>
          <w:sz w:val="20"/>
        </w:rPr>
        <w:t>” below for further details on the Option Agreements.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expenses, including salaries, bonuses, employee benefits, and stock-based compensation, for our executive and other administrative personnel. Other significant general and administrative expenses include legal services, including intellectual property and corporate matters; professional fees for accounting, auditing, tax, insurance, and allocated human resource costs, information technology costs, and facility-related costs, including rent, utilities, maintenance, and depreciation for our leased office space.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general and administrative expenses will increase substantially for the foreseeable future as we anticipate an increase in our personnel headcount to support the expansion of research and development activities, as well as to support our operations generally. We also expect to continue to incur significant expenses associated with being a public company, including costs related to accounting, audit, legal, regulatory, and tax-related services associated with maintaining compliance with applicable Nasdaq and SEC requirements; additional director and officer insurance costs; and investor and public relations costs. We also expect to incur additional intellectual property-related expenses as we file patent applications to protect innovations arising from our research and development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includes interest expense on the convertible note from a related party, interest income, and foreign currency transactions gains and losses. Interest expense relates to a convertible note (the “Convertible Note”) issued to Fairmount Healthcare Fund II, L.P. (“Fairmount”) in March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for income taxes was recorded for the three months ended September 30, 2024 and for the period from February 6, 2024 (inception) through September 30, 2024. Deferred tax assets generated from our net operating losses have been fully reserved as we believe it is not more likely than not that the benefit will be realized due to its cumulative losses generated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September 30, 2024</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and comprehensive loss for the period presented (in thousands):</w:t>
      </w:r>
    </w:p>
    <w:p>
      <w:pPr>
        <w:pStyle w:val="TextBody"/>
        <w:bidi w:val="0"/>
        <w:spacing w:before="0" w:after="0"/>
        <w:ind w:left="0" w:right="0" w:firstLine="480"/>
        <w:jc w:val="left"/>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3110"/>
        <w:gridCol w:w="60"/>
        <w:gridCol w:w="230"/>
        <w:gridCol w:w="1245"/>
        <w:gridCol w:w="11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Ended </w:t>
              <w:br/>
              <w:t>September 30,</w:t>
              <w:br/>
              <w:t>2024</w:t>
            </w:r>
          </w:p>
        </w:tc>
        <w:tc>
          <w:tcPr>
            <w:tcW w:w="11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25,691</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(2)</w:t>
            </w:r>
          </w:p>
        </w:tc>
        <w:tc>
          <w:tcPr>
            <w:tcW w:w="6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tcMar>
              <w:bottom w:w="28" w:type="dxa"/>
            </w:tcMar>
            <w:vAlign w:val="center"/>
          </w:tcPr>
          <w:p>
            <w:pPr>
              <w:pStyle w:val="TableContents"/>
              <w:bidi w:val="0"/>
              <w:spacing w:before="0" w:after="283"/>
              <w:jc w:val="right"/>
              <w:rPr/>
            </w:pPr>
            <w:r>
              <w:rPr/>
              <w:t>3,758</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283"/>
              <w:jc w:val="right"/>
              <w:rPr/>
            </w:pPr>
            <w:r>
              <w:rPr/>
              <w:t>29,449</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Loss from operations</w:t>
            </w:r>
          </w:p>
        </w:tc>
        <w:tc>
          <w:tcPr>
            <w:tcW w:w="6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tcMar>
              <w:bottom w:w="28" w:type="dxa"/>
            </w:tcMar>
            <w:vAlign w:val="center"/>
          </w:tcPr>
          <w:p>
            <w:pPr>
              <w:pStyle w:val="TableContents"/>
              <w:bidi w:val="0"/>
              <w:spacing w:before="0" w:after="283"/>
              <w:jc w:val="right"/>
              <w:rPr/>
            </w:pPr>
            <w:r>
              <w:rPr/>
              <w:t>(29,449</w:t>
            </w:r>
          </w:p>
        </w:tc>
        <w:tc>
          <w:tcPr>
            <w:tcW w:w="110" w:type="dxa"/>
            <w:tcBorders/>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Interest income</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1,330</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283"/>
              <w:jc w:val="right"/>
              <w:rPr/>
            </w:pPr>
            <w:r>
              <w:rPr/>
              <w:t>(504</w:t>
            </w:r>
          </w:p>
        </w:tc>
        <w:tc>
          <w:tcPr>
            <w:tcW w:w="110" w:type="dxa"/>
            <w:tcBorders/>
            <w:shd w:fill="CCEEFF" w:val="clear"/>
            <w:vAlign w:val="center"/>
          </w:tcPr>
          <w:p>
            <w:pPr>
              <w:pStyle w:val="TableContents"/>
              <w:bidi w:val="0"/>
              <w:spacing w:before="0" w:after="283"/>
              <w:jc w:val="left"/>
              <w:rPr/>
            </w:pPr>
            <w:r>
              <w:rPr/>
              <w:t>)</w:t>
            </w:r>
          </w:p>
        </w:tc>
      </w:tr>
      <w:tr>
        <w:trPr/>
        <w:tc>
          <w:tcPr>
            <w:tcW w:w="3110" w:type="dxa"/>
            <w:tcBorders/>
            <w:vAlign w:val="center"/>
          </w:tcPr>
          <w:p>
            <w:pPr>
              <w:pStyle w:val="TableContents"/>
              <w:bidi w:val="0"/>
              <w:spacing w:before="0" w:after="283"/>
              <w:jc w:val="left"/>
              <w:rPr/>
            </w:pPr>
            <w:r>
              <w:rPr/>
              <w:t>Total other income, net</w:t>
            </w:r>
          </w:p>
        </w:tc>
        <w:tc>
          <w:tcPr>
            <w:tcW w:w="6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tcMar>
              <w:bottom w:w="28" w:type="dxa"/>
            </w:tcMar>
            <w:vAlign w:val="center"/>
          </w:tcPr>
          <w:p>
            <w:pPr>
              <w:pStyle w:val="TableContents"/>
              <w:bidi w:val="0"/>
              <w:spacing w:before="0" w:after="283"/>
              <w:jc w:val="right"/>
              <w:rPr/>
            </w:pPr>
            <w:r>
              <w:rPr/>
              <w:t>826</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5" w:type="dxa"/>
            <w:tcBorders>
              <w:bottom w:val="double" w:sz="10" w:space="0" w:color="000000"/>
            </w:tcBorders>
            <w:shd w:fill="CCEEFF" w:val="clear"/>
            <w:tcMar>
              <w:bottom w:w="28" w:type="dxa"/>
            </w:tcMar>
            <w:vAlign w:val="center"/>
          </w:tcPr>
          <w:p>
            <w:pPr>
              <w:pStyle w:val="TableContents"/>
              <w:bidi w:val="0"/>
              <w:spacing w:before="0" w:after="283"/>
              <w:jc w:val="right"/>
              <w:rPr/>
            </w:pPr>
            <w:r>
              <w:rPr/>
              <w:t>(28,623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60"/>
        <w:gridCol w:w="72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 of $13,537 for the three months ended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260"/>
        <w:gridCol w:w="689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 of $71 for the three months ended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260"/>
        <w:gridCol w:w="699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 of $504 for the three months ended September 30, 2024</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period presented (in thousands):</w:t>
      </w:r>
    </w:p>
    <w:p>
      <w:pPr>
        <w:pStyle w:val="TextBody"/>
        <w:bidi w:val="0"/>
        <w:spacing w:before="0" w:after="0"/>
        <w:ind w:left="0" w:right="0" w:firstLine="480"/>
        <w:jc w:val="left"/>
        <w:rPr>
          <w:caps w:val="false"/>
          <w:smallCaps w:val="false"/>
        </w:rPr>
      </w:pPr>
      <w:r>
        <w:rPr>
          <w:caps w:val="false"/>
          <w:smallCaps w:val="false"/>
        </w:rPr>
        <w:t> </w:t>
      </w:r>
    </w:p>
    <w:tbl>
      <w:tblPr>
        <w:tblW w:w="8034" w:type="dxa"/>
        <w:jc w:val="left"/>
        <w:tblInd w:w="0" w:type="dxa"/>
        <w:tblLayout w:type="fixed"/>
        <w:tblCellMar>
          <w:top w:w="0" w:type="dxa"/>
          <w:left w:w="0" w:type="dxa"/>
          <w:bottom w:w="0" w:type="dxa"/>
          <w:right w:w="0" w:type="dxa"/>
        </w:tblCellMar>
      </w:tblPr>
      <w:tblGrid>
        <w:gridCol w:w="5630"/>
        <w:gridCol w:w="60"/>
        <w:gridCol w:w="386"/>
        <w:gridCol w:w="1883"/>
        <w:gridCol w:w="75"/>
      </w:tblGrid>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 Ended </w:t>
              <w:br/>
              <w:t xml:space="preserve">September 30, </w:t>
              <w:br/>
              <w:t>2024</w:t>
            </w:r>
          </w:p>
        </w:tc>
        <w:tc>
          <w:tcPr>
            <w:tcW w:w="75"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External research and development costs by selected target:</w:t>
            </w:r>
          </w:p>
        </w:tc>
        <w:tc>
          <w:tcPr>
            <w:tcW w:w="60"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ORKA-001</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883" w:type="dxa"/>
            <w:tcBorders/>
            <w:shd w:fill="CCEEFF" w:val="clear"/>
            <w:vAlign w:val="center"/>
          </w:tcPr>
          <w:p>
            <w:pPr>
              <w:pStyle w:val="TableContents"/>
              <w:bidi w:val="0"/>
              <w:spacing w:before="0" w:after="283"/>
              <w:jc w:val="right"/>
              <w:rPr/>
            </w:pPr>
            <w:r>
              <w:rPr/>
              <w:t>11,761</w:t>
            </w:r>
          </w:p>
        </w:tc>
        <w:tc>
          <w:tcPr>
            <w:tcW w:w="75" w:type="dxa"/>
            <w:tcBorders/>
            <w:shd w:fill="CCEEFF" w:val="cle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ORKA-002</w:t>
            </w:r>
            <w:r>
              <w:rPr>
                <w:rFonts w:ascii="Times New Roman;Times;Serif" w:hAnsi="Times New Roman;Times;Serif"/>
                <w:position w:val="7"/>
                <w:sz w:val="16"/>
                <w:sz w:val="20"/>
              </w:rPr>
              <w:t>(2)</w:t>
            </w:r>
          </w:p>
        </w:tc>
        <w:tc>
          <w:tcPr>
            <w:tcW w:w="6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1883" w:type="dxa"/>
            <w:tcBorders/>
            <w:vAlign w:val="center"/>
          </w:tcPr>
          <w:p>
            <w:pPr>
              <w:pStyle w:val="TableContents"/>
              <w:bidi w:val="0"/>
              <w:spacing w:before="0" w:after="283"/>
              <w:jc w:val="right"/>
              <w:rPr/>
            </w:pPr>
            <w:r>
              <w:rPr/>
              <w:t>4,147</w:t>
            </w:r>
          </w:p>
        </w:tc>
        <w:tc>
          <w:tcPr>
            <w:tcW w:w="75"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Other research and development costs:</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188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Personnel-related (including stock-based compensation)</w:t>
            </w:r>
            <w:r>
              <w:rPr>
                <w:rFonts w:ascii="Times New Roman;Times;Serif" w:hAnsi="Times New Roman;Times;Serif"/>
                <w:position w:val="7"/>
                <w:sz w:val="16"/>
                <w:sz w:val="20"/>
              </w:rPr>
              <w:t>(3)</w:t>
            </w:r>
          </w:p>
        </w:tc>
        <w:tc>
          <w:tcPr>
            <w:tcW w:w="6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1883" w:type="dxa"/>
            <w:tcBorders/>
            <w:vAlign w:val="center"/>
          </w:tcPr>
          <w:p>
            <w:pPr>
              <w:pStyle w:val="TableContents"/>
              <w:bidi w:val="0"/>
              <w:spacing w:before="0" w:after="283"/>
              <w:jc w:val="right"/>
              <w:rPr/>
            </w:pPr>
            <w:r>
              <w:rPr/>
              <w:t>9,076</w:t>
            </w:r>
          </w:p>
        </w:tc>
        <w:tc>
          <w:tcPr>
            <w:tcW w:w="75"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83" w:type="dxa"/>
            <w:tcBorders>
              <w:bottom w:val="single" w:sz="12" w:space="0" w:color="000000"/>
            </w:tcBorders>
            <w:shd w:fill="CCEEFF" w:val="clear"/>
            <w:tcMar>
              <w:bottom w:w="28" w:type="dxa"/>
            </w:tcMar>
            <w:vAlign w:val="center"/>
          </w:tcPr>
          <w:p>
            <w:pPr>
              <w:pStyle w:val="TableContents"/>
              <w:bidi w:val="0"/>
              <w:spacing w:before="0" w:after="283"/>
              <w:jc w:val="right"/>
              <w:rPr/>
            </w:pPr>
            <w:r>
              <w:rPr/>
              <w:t>707</w:t>
            </w:r>
          </w:p>
        </w:tc>
        <w:tc>
          <w:tcPr>
            <w:tcW w:w="75" w:type="dxa"/>
            <w:tcBorders/>
            <w:shd w:fill="CCEEFF" w:val="cle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Total research and development expenses</w:t>
            </w:r>
          </w:p>
        </w:tc>
        <w:tc>
          <w:tcPr>
            <w:tcW w:w="60" w:type="dxa"/>
            <w:tcBorders/>
            <w:vAlign w:val="center"/>
          </w:tcPr>
          <w:p>
            <w:pPr>
              <w:pStyle w:val="TableContents"/>
              <w:bidi w:val="0"/>
              <w:spacing w:before="0" w:after="283"/>
              <w:jc w:val="left"/>
              <w:rPr/>
            </w:pPr>
            <w:r>
              <w:rPr/>
              <w:t> </w:t>
            </w:r>
          </w:p>
        </w:tc>
        <w:tc>
          <w:tcPr>
            <w:tcW w:w="386" w:type="dxa"/>
            <w:tcBorders>
              <w:bottom w:val="double" w:sz="10" w:space="0" w:color="000000"/>
            </w:tcBorders>
            <w:tcMar>
              <w:bottom w:w="28" w:type="dxa"/>
            </w:tcMar>
            <w:vAlign w:val="center"/>
          </w:tcPr>
          <w:p>
            <w:pPr>
              <w:pStyle w:val="TableContents"/>
              <w:bidi w:val="0"/>
              <w:spacing w:before="0" w:after="283"/>
              <w:jc w:val="left"/>
              <w:rPr/>
            </w:pPr>
            <w:r>
              <w:rPr/>
              <w:t>$</w:t>
            </w:r>
          </w:p>
        </w:tc>
        <w:tc>
          <w:tcPr>
            <w:tcW w:w="1883" w:type="dxa"/>
            <w:tcBorders>
              <w:bottom w:val="double" w:sz="10" w:space="0" w:color="000000"/>
            </w:tcBorders>
            <w:tcMar>
              <w:bottom w:w="28" w:type="dxa"/>
            </w:tcMar>
            <w:vAlign w:val="center"/>
          </w:tcPr>
          <w:p>
            <w:pPr>
              <w:pStyle w:val="TableContents"/>
              <w:bidi w:val="0"/>
              <w:spacing w:before="0" w:after="283"/>
              <w:jc w:val="right"/>
              <w:rPr/>
            </w:pPr>
            <w:r>
              <w:rPr/>
              <w:t>25,691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48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260"/>
        <w:gridCol w:w="71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related party amount of $2,316 for the three months ended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260"/>
        <w:gridCol w:w="71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related party amount of $3,824 for the three months ended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260"/>
        <w:gridCol w:w="71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related party amount of $7,251 for the three months ended September 30, 2024</w:t>
            </w:r>
          </w:p>
        </w:tc>
      </w:tr>
      <w:tr>
        <w:trPr/>
        <w:tc>
          <w:tcPr>
            <w:tcW w:w="2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related party amount of $146 for the three months ended September 30, 2024</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$25.7 million for the three months ended September 30, 2024 and consisted primarily of the following: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 million of research and development expense due to Paragon for services rendered under the Option Agreements for ORKA-001, including $1.5 million of milestone payment due to Paragon upon exercise of option to enter into a license agreement and achievement of development candidate for IL-23;</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 million of research and development expenses on chemistry, manufacturing, and development costs for ORKA-001, including $3.2 million of toxicology testing for ORKA-001 with a third-party contract research organization;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 million of research and development expense due to Paragon for services rendered under the Option Agreements for ORKA-002;</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 million of personnel-related costs related to salaries, benefits and other compensation-related costs, and stock-based compensation expense of $7.8 million, including $7.3 million for stock-based compensation related to Paruka Holding LLC (“Paruka”) warrants;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$0.7 million of other research expenses and allocated human resource costs, information technology costs, and facility-related costs, including rent, maintenance, utilities, and depreciation for our leased office space.</w:t>
            </w:r>
          </w:p>
        </w:tc>
      </w:tr>
    </w:tbl>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period presented (in thousands):</w:t>
      </w:r>
    </w:p>
    <w:p>
      <w:pPr>
        <w:pStyle w:val="TextBody"/>
        <w:bidi w:val="0"/>
        <w:spacing w:before="0" w:after="0"/>
        <w:ind w:left="0" w:right="0" w:firstLine="48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5300"/>
        <w:gridCol w:w="60"/>
        <w:gridCol w:w="454"/>
        <w:gridCol w:w="1816"/>
        <w:gridCol w:w="75"/>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 Ended </w:t>
              <w:br/>
              <w:t xml:space="preserve">September 30, </w:t>
              <w:br/>
              <w:t>2024</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Personnel-related (including stock-based compensation)</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w:t>
            </w:r>
          </w:p>
        </w:tc>
        <w:tc>
          <w:tcPr>
            <w:tcW w:w="1816" w:type="dxa"/>
            <w:tcBorders/>
            <w:shd w:fill="CCEEFF" w:val="clear"/>
            <w:vAlign w:val="center"/>
          </w:tcPr>
          <w:p>
            <w:pPr>
              <w:pStyle w:val="TableContents"/>
              <w:bidi w:val="0"/>
              <w:spacing w:before="0" w:after="283"/>
              <w:jc w:val="right"/>
              <w:rPr/>
            </w:pPr>
            <w:r>
              <w:rPr/>
              <w:t>2,435</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Professional and consulting fees</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right"/>
              <w:rPr/>
            </w:pPr>
            <w:r>
              <w:rPr/>
              <w:t>701</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fees related to patent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1816" w:type="dxa"/>
            <w:tcBorders/>
            <w:shd w:fill="CCEEFF" w:val="clear"/>
            <w:vAlign w:val="center"/>
          </w:tcPr>
          <w:p>
            <w:pPr>
              <w:pStyle w:val="TableContents"/>
              <w:bidi w:val="0"/>
              <w:spacing w:before="0" w:after="283"/>
              <w:jc w:val="right"/>
              <w:rPr/>
            </w:pPr>
            <w:r>
              <w:rPr/>
              <w:t>116</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454" w:type="dxa"/>
            <w:tcBorders>
              <w:bottom w:val="single" w:sz="12" w:space="0" w:color="000000"/>
            </w:tcBorders>
            <w:tcMar>
              <w:bottom w:w="28" w:type="dxa"/>
            </w:tcMar>
            <w:vAlign w:val="center"/>
          </w:tcPr>
          <w:p>
            <w:pPr>
              <w:pStyle w:val="TableContents"/>
              <w:bidi w:val="0"/>
              <w:spacing w:before="0" w:after="283"/>
              <w:jc w:val="left"/>
              <w:rPr/>
            </w:pPr>
            <w:r>
              <w:rPr/>
              <w:t> </w:t>
            </w:r>
          </w:p>
        </w:tc>
        <w:tc>
          <w:tcPr>
            <w:tcW w:w="1816" w:type="dxa"/>
            <w:tcBorders>
              <w:bottom w:val="single" w:sz="12" w:space="0" w:color="000000"/>
            </w:tcBorders>
            <w:tcMar>
              <w:bottom w:w="28" w:type="dxa"/>
            </w:tcMar>
            <w:vAlign w:val="center"/>
          </w:tcPr>
          <w:p>
            <w:pPr>
              <w:pStyle w:val="TableContents"/>
              <w:bidi w:val="0"/>
              <w:spacing w:before="0" w:after="283"/>
              <w:jc w:val="right"/>
              <w:rPr/>
            </w:pPr>
            <w:r>
              <w:rPr/>
              <w:t>506</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4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816" w:type="dxa"/>
            <w:tcBorders>
              <w:bottom w:val="double" w:sz="10" w:space="0" w:color="000000"/>
            </w:tcBorders>
            <w:shd w:fill="CCEEFF" w:val="clear"/>
            <w:tcMar>
              <w:bottom w:w="28" w:type="dxa"/>
            </w:tcMar>
            <w:vAlign w:val="center"/>
          </w:tcPr>
          <w:p>
            <w:pPr>
              <w:pStyle w:val="TableContents"/>
              <w:bidi w:val="0"/>
              <w:spacing w:before="0" w:after="283"/>
              <w:jc w:val="right"/>
              <w:rPr/>
            </w:pPr>
            <w:r>
              <w:rPr/>
              <w:t>3,758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8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260"/>
        <w:gridCol w:w="6890"/>
      </w:tblGrid>
      <w:tr>
        <w:trPr/>
        <w:tc>
          <w:tcPr>
            <w:tcW w:w="260" w:type="dxa"/>
            <w:tcBorders/>
            <w:vAlign w:val="center"/>
          </w:tcPr>
          <w:p>
            <w:pPr>
              <w:pStyle w:val="TableContents"/>
              <w:bidi w:val="0"/>
              <w:spacing w:before="0" w:after="283"/>
              <w:jc w:val="left"/>
              <w:rPr>
                <w:sz w:val="20"/>
              </w:rPr>
            </w:pPr>
            <w:r>
              <w:rPr>
                <w:sz w:val="20"/>
              </w:rPr>
              <w:t>(1)</w:t>
            </w:r>
          </w:p>
        </w:tc>
        <w:tc>
          <w:tcPr>
            <w:tcW w:w="6890" w:type="dxa"/>
            <w:tcBorders/>
            <w:vAlign w:val="center"/>
          </w:tcPr>
          <w:p>
            <w:pPr>
              <w:pStyle w:val="TableContents"/>
              <w:bidi w:val="0"/>
              <w:spacing w:before="0" w:after="283"/>
              <w:jc w:val="both"/>
              <w:rPr>
                <w:sz w:val="20"/>
              </w:rPr>
            </w:pPr>
            <w:r>
              <w:rPr>
                <w:sz w:val="20"/>
              </w:rPr>
              <w:t>Includes related party amount of $71 for the three months ended September 30,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$3.8 million for the three months ended September 30, 2024 and consisted primarily of the following: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 million of personnel-related costs related to salaries, benefits and other compensation-related costs, including stock-based compensation of $1.2 million;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$0.7 million of professional and consulting fees associated with accounting, audit, and legal fees to support our business activity and operations of a public company;</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$0.1 million of legal fees due to Paragon associated with patent related activities; and      </w:t>
            </w:r>
          </w:p>
        </w:tc>
      </w:tr>
      <w:tr>
        <w:trPr/>
        <w:tc>
          <w:tcPr>
            <w:tcW w:w="75"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left"/>
              <w:rPr/>
            </w:pPr>
            <w:r>
              <w:rPr/>
              <w:t>$0.5 million of other business expense and allocated human resource costs, information technology costs, and facility-related costs, including rent, maintenance, utilities, and depreciation for our leased office space.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 Net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money market funds was $1.3 million for the three months ended September 30,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$0.5 million for the three months ended September 30, 2024 relating to the Convertible Note from Fairmount.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Period of February 6, 2024 (Inception) to September 30, 2024</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and comprehensive loss for the period presented (in thousands):</w:t>
      </w:r>
    </w:p>
    <w:p>
      <w:pPr>
        <w:pStyle w:val="TextBody"/>
        <w:bidi w:val="0"/>
        <w:spacing w:before="0" w:after="0"/>
        <w:ind w:left="0" w:right="0" w:firstLine="480"/>
        <w:jc w:val="left"/>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3110"/>
        <w:gridCol w:w="60"/>
        <w:gridCol w:w="230"/>
        <w:gridCol w:w="1245"/>
        <w:gridCol w:w="110"/>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February 6,</w:t>
              <w:br/>
              <w:t>2024</w:t>
              <w:br/>
              <w:t>(Inception) to</w:t>
              <w:br/>
              <w:t>September 30,</w:t>
              <w:br/>
              <w:t>2024</w:t>
            </w:r>
          </w:p>
        </w:tc>
        <w:tc>
          <w:tcPr>
            <w:tcW w:w="11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49,557</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(2)</w:t>
            </w:r>
          </w:p>
        </w:tc>
        <w:tc>
          <w:tcPr>
            <w:tcW w:w="6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tcMar>
              <w:bottom w:w="28" w:type="dxa"/>
            </w:tcMar>
            <w:vAlign w:val="center"/>
          </w:tcPr>
          <w:p>
            <w:pPr>
              <w:pStyle w:val="TableContents"/>
              <w:bidi w:val="0"/>
              <w:spacing w:before="0" w:after="283"/>
              <w:jc w:val="right"/>
              <w:rPr/>
            </w:pPr>
            <w:r>
              <w:rPr/>
              <w:t>8,248</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283"/>
              <w:jc w:val="right"/>
              <w:rPr/>
            </w:pPr>
            <w:r>
              <w:rPr/>
              <w:t>57,805</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Loss from operations</w:t>
            </w:r>
          </w:p>
        </w:tc>
        <w:tc>
          <w:tcPr>
            <w:tcW w:w="6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tcMar>
              <w:bottom w:w="28" w:type="dxa"/>
            </w:tcMar>
            <w:vAlign w:val="center"/>
          </w:tcPr>
          <w:p>
            <w:pPr>
              <w:pStyle w:val="TableContents"/>
              <w:bidi w:val="0"/>
              <w:spacing w:before="0" w:after="283"/>
              <w:jc w:val="right"/>
              <w:rPr/>
            </w:pPr>
            <w:r>
              <w:rPr/>
              <w:t>(57,805</w:t>
            </w:r>
          </w:p>
        </w:tc>
        <w:tc>
          <w:tcPr>
            <w:tcW w:w="110" w:type="dxa"/>
            <w:tcBorders/>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Interest income</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1,330</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283"/>
              <w:jc w:val="right"/>
              <w:rPr/>
            </w:pPr>
            <w:r>
              <w:rPr/>
              <w:t>(1,468</w:t>
            </w:r>
          </w:p>
        </w:tc>
        <w:tc>
          <w:tcPr>
            <w:tcW w:w="110" w:type="dxa"/>
            <w:tcBorders/>
            <w:shd w:fill="CCEEFF" w:val="clear"/>
            <w:vAlign w:val="center"/>
          </w:tcPr>
          <w:p>
            <w:pPr>
              <w:pStyle w:val="TableContents"/>
              <w:bidi w:val="0"/>
              <w:spacing w:before="0" w:after="283"/>
              <w:jc w:val="left"/>
              <w:rPr/>
            </w:pPr>
            <w:r>
              <w:rPr/>
              <w:t>)</w:t>
            </w:r>
          </w:p>
        </w:tc>
      </w:tr>
      <w:tr>
        <w:trPr/>
        <w:tc>
          <w:tcPr>
            <w:tcW w:w="3110" w:type="dxa"/>
            <w:tcBorders/>
            <w:vAlign w:val="center"/>
          </w:tcPr>
          <w:p>
            <w:pPr>
              <w:pStyle w:val="TableContents"/>
              <w:bidi w:val="0"/>
              <w:spacing w:before="0" w:after="283"/>
              <w:jc w:val="left"/>
              <w:rPr/>
            </w:pPr>
            <w:r>
              <w:rPr/>
              <w:t>Total other expense, net</w:t>
            </w:r>
          </w:p>
        </w:tc>
        <w:tc>
          <w:tcPr>
            <w:tcW w:w="6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tcMar>
              <w:bottom w:w="28" w:type="dxa"/>
            </w:tcMar>
            <w:vAlign w:val="center"/>
          </w:tcPr>
          <w:p>
            <w:pPr>
              <w:pStyle w:val="TableContents"/>
              <w:bidi w:val="0"/>
              <w:spacing w:before="0" w:after="283"/>
              <w:jc w:val="right"/>
              <w:rPr/>
            </w:pPr>
            <w:r>
              <w:rPr/>
              <w:t>(138</w:t>
            </w:r>
          </w:p>
        </w:tc>
        <w:tc>
          <w:tcPr>
            <w:tcW w:w="110" w:type="dxa"/>
            <w:tcBorders/>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5" w:type="dxa"/>
            <w:tcBorders>
              <w:bottom w:val="double" w:sz="10" w:space="0" w:color="000000"/>
            </w:tcBorders>
            <w:shd w:fill="CCEEFF" w:val="clear"/>
            <w:tcMar>
              <w:bottom w:w="28" w:type="dxa"/>
            </w:tcMar>
            <w:vAlign w:val="center"/>
          </w:tcPr>
          <w:p>
            <w:pPr>
              <w:pStyle w:val="TableContents"/>
              <w:bidi w:val="0"/>
              <w:spacing w:before="0" w:after="283"/>
              <w:jc w:val="right"/>
              <w:rPr/>
            </w:pPr>
            <w:r>
              <w:rPr/>
              <w:t>(57,943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48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260"/>
        <w:gridCol w:w="918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 of $33,967 for the period from February 6, 2024 (inception) to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60"/>
        <w:gridCol w:w="908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 of $1,339 for the period from February 6, 2024 (inception) to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60"/>
        <w:gridCol w:w="908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 of $1,468 for the period from February 6, 2024 (inception) to September 30,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period presented (in thousands):</w:t>
      </w:r>
    </w:p>
    <w:p>
      <w:pPr>
        <w:pStyle w:val="TextBody"/>
        <w:bidi w:val="0"/>
        <w:spacing w:before="0" w:after="0"/>
        <w:ind w:left="0" w:right="0" w:firstLine="480"/>
        <w:jc w:val="left"/>
        <w:rPr>
          <w:caps w:val="false"/>
          <w:smallCaps w:val="false"/>
        </w:rPr>
      </w:pPr>
      <w:r>
        <w:rPr>
          <w:caps w:val="false"/>
          <w:smallCaps w:val="false"/>
        </w:rPr>
        <w:t> </w:t>
      </w:r>
    </w:p>
    <w:tbl>
      <w:tblPr>
        <w:tblW w:w="7299" w:type="dxa"/>
        <w:jc w:val="left"/>
        <w:tblInd w:w="0" w:type="dxa"/>
        <w:tblLayout w:type="fixed"/>
        <w:tblCellMar>
          <w:top w:w="0" w:type="dxa"/>
          <w:left w:w="0" w:type="dxa"/>
          <w:bottom w:w="0" w:type="dxa"/>
          <w:right w:w="0" w:type="dxa"/>
        </w:tblCellMar>
      </w:tblPr>
      <w:tblGrid>
        <w:gridCol w:w="5630"/>
        <w:gridCol w:w="60"/>
        <w:gridCol w:w="261"/>
        <w:gridCol w:w="1273"/>
        <w:gridCol w:w="75"/>
      </w:tblGrid>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 xml:space="preserve">February 6, </w:t>
              <w:br/>
              <w:t>2024</w:t>
              <w:br/>
              <w:t>(Inception) to</w:t>
              <w:br/>
              <w:t xml:space="preserve">September 30, </w:t>
              <w:br/>
              <w:t>2024</w:t>
            </w:r>
          </w:p>
        </w:tc>
        <w:tc>
          <w:tcPr>
            <w:tcW w:w="75"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External research and development costs by selected target:</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ORKA-001</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26,939</w:t>
            </w:r>
          </w:p>
        </w:tc>
        <w:tc>
          <w:tcPr>
            <w:tcW w:w="75" w:type="dxa"/>
            <w:tcBorders/>
            <w:shd w:fill="CCEEFF" w:val="cle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ORKA-002</w:t>
            </w:r>
            <w:r>
              <w:rPr>
                <w:rFonts w:ascii="Times New Roman;Times;Serif" w:hAnsi="Times New Roman;Times;Serif"/>
                <w:position w:val="7"/>
                <w:sz w:val="16"/>
                <w:sz w:val="20"/>
              </w:rPr>
              <w:t>(2)</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10,987</w:t>
            </w:r>
          </w:p>
        </w:tc>
        <w:tc>
          <w:tcPr>
            <w:tcW w:w="75"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Other research and development costs:</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Personnel-related (including stock-based compensation)</w:t>
            </w:r>
            <w:r>
              <w:rPr>
                <w:rFonts w:ascii="Times New Roman;Times;Serif" w:hAnsi="Times New Roman;Times;Serif"/>
                <w:position w:val="7"/>
                <w:sz w:val="16"/>
                <w:sz w:val="20"/>
              </w:rPr>
              <w:t>(3)</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10,684</w:t>
            </w:r>
          </w:p>
        </w:tc>
        <w:tc>
          <w:tcPr>
            <w:tcW w:w="75"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947</w:t>
            </w:r>
          </w:p>
        </w:tc>
        <w:tc>
          <w:tcPr>
            <w:tcW w:w="75" w:type="dxa"/>
            <w:tcBorders/>
            <w:shd w:fill="CCEEFF" w:val="cle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Total research and development expenses</w:t>
            </w:r>
          </w:p>
        </w:tc>
        <w:tc>
          <w:tcPr>
            <w:tcW w:w="60" w:type="dxa"/>
            <w:tcBorders/>
            <w:vAlign w:val="center"/>
          </w:tcPr>
          <w:p>
            <w:pPr>
              <w:pStyle w:val="TableContents"/>
              <w:bidi w:val="0"/>
              <w:spacing w:before="0" w:after="283"/>
              <w:jc w:val="left"/>
              <w:rPr/>
            </w:pPr>
            <w:r>
              <w:rPr/>
              <w:t> </w:t>
            </w:r>
          </w:p>
        </w:tc>
        <w:tc>
          <w:tcPr>
            <w:tcW w:w="261" w:type="dxa"/>
            <w:tcBorders>
              <w:bottom w:val="double" w:sz="10" w:space="0" w:color="000000"/>
            </w:tcBorders>
            <w:tcMar>
              <w:bottom w:w="28" w:type="dxa"/>
            </w:tcMar>
            <w:vAlign w:val="center"/>
          </w:tcPr>
          <w:p>
            <w:pPr>
              <w:pStyle w:val="TableContents"/>
              <w:bidi w:val="0"/>
              <w:spacing w:before="0" w:after="283"/>
              <w:jc w:val="left"/>
              <w:rPr/>
            </w:pPr>
            <w:r>
              <w:rPr/>
              <w:t>$</w:t>
            </w:r>
          </w:p>
        </w:tc>
        <w:tc>
          <w:tcPr>
            <w:tcW w:w="1273" w:type="dxa"/>
            <w:tcBorders>
              <w:bottom w:val="double" w:sz="10" w:space="0" w:color="000000"/>
            </w:tcBorders>
            <w:tcMar>
              <w:bottom w:w="28" w:type="dxa"/>
            </w:tcMar>
            <w:vAlign w:val="center"/>
          </w:tcPr>
          <w:p>
            <w:pPr>
              <w:pStyle w:val="TableContents"/>
              <w:bidi w:val="0"/>
              <w:spacing w:before="0" w:after="283"/>
              <w:jc w:val="right"/>
              <w:rPr/>
            </w:pPr>
            <w:r>
              <w:rPr/>
              <w:t>49,557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48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260"/>
        <w:gridCol w:w="918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 of $15,478 for the period from February 6, 2024 (inception) to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260"/>
        <w:gridCol w:w="918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 of $10,662 for the period from February 6, 2024 (inception) to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60"/>
        <w:gridCol w:w="908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 of $7,681 for the period from February 6, 2024 (inception) to September 30, 2024</w:t>
            </w:r>
          </w:p>
        </w:tc>
      </w:tr>
      <w:tr>
        <w:trPr/>
        <w:tc>
          <w:tcPr>
            <w:tcW w:w="2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283"/>
              <w:jc w:val="both"/>
              <w:rPr/>
            </w:pPr>
            <w:r>
              <w:rPr/>
              <w:t> </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amount of $146 for the period from February 6, 2024 (inception) to September 30, 2024</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$49.6 million for the period from February 6, 2024 (inception) to September 30, 2024 and consisted primarily of the following: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$15.5 million of research and development expense due to Paragon for services rendered under the Option Agreements for ORKA-001, including $1.5 million of milestone payment due to Paragon upon exercise of option to enter into a license agreement and achievement of development candidate for IL-23, and $5.9 million of research and development expense due to Paragon incurred through March 31, 2024 upon completion of IL-23 selection process;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 million of research and development expense on chemistry, manufacturing, and development costs for ORKA-001, including $3.4 million in toxicology testing for ORKA-001 with a third-party contract research organization;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 million of research and development expense primarily due to Paragon for services rendered under the Option Agreements for ORKA-002;</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 million of personnel-related costs related to salaries, benefits, and other compensation-related costs, and stock-based compensation expense of $8.3 million, including $7.7 million for stock-based compensation related to Paruka warrants;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$0.9 million of other research expense and allocated human resource costs, information technology costs, and facility-related costs, including rent, maintenance, utilities, and depreciation for our leased office space.</w:t>
            </w:r>
          </w:p>
        </w:tc>
      </w:tr>
    </w:tbl>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period presented (in thousands):</w:t>
      </w:r>
    </w:p>
    <w:p>
      <w:pPr>
        <w:pStyle w:val="TextBody"/>
        <w:bidi w:val="0"/>
        <w:spacing w:before="0" w:after="0"/>
        <w:ind w:left="0" w:right="0" w:firstLine="36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4805"/>
        <w:gridCol w:w="60"/>
        <w:gridCol w:w="307"/>
        <w:gridCol w:w="1228"/>
        <w:gridCol w:w="25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Period from </w:t>
              <w:br/>
              <w:t xml:space="preserve">February 6, </w:t>
              <w:br/>
              <w:t>2024</w:t>
              <w:br/>
              <w:t>(Inception) to</w:t>
              <w:br/>
              <w:t xml:space="preserve">September 30, </w:t>
              <w:br/>
              <w:t>2024</w:t>
            </w:r>
          </w:p>
        </w:tc>
        <w:tc>
          <w:tcPr>
            <w:tcW w:w="25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Personnel-related (including stock-based compensation)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4,590</w:t>
            </w:r>
          </w:p>
        </w:tc>
        <w:tc>
          <w:tcPr>
            <w:tcW w:w="255"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and consulting fees</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2,330</w:t>
            </w:r>
          </w:p>
        </w:tc>
        <w:tc>
          <w:tcPr>
            <w:tcW w:w="25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fees related to patent</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w:t>
            </w:r>
          </w:p>
        </w:tc>
        <w:tc>
          <w:tcPr>
            <w:tcW w:w="255"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r>
              <w:rPr>
                <w:rFonts w:ascii="Times New Roman;Times;Serif" w:hAnsi="Times New Roman;Times;Serif"/>
                <w:position w:val="7"/>
                <w:sz w:val="16"/>
                <w:sz w:val="20"/>
              </w:rPr>
              <w:t>(3)</w:t>
            </w:r>
          </w:p>
        </w:tc>
        <w:tc>
          <w:tcPr>
            <w:tcW w:w="60" w:type="dxa"/>
            <w:tcBorders/>
            <w:vAlign w:val="center"/>
          </w:tcPr>
          <w:p>
            <w:pPr>
              <w:pStyle w:val="TableContents"/>
              <w:bidi w:val="0"/>
              <w:spacing w:before="0" w:after="283"/>
              <w:jc w:val="left"/>
              <w:rPr/>
            </w:pPr>
            <w:r>
              <w:rPr/>
              <w:t> </w:t>
            </w:r>
          </w:p>
        </w:tc>
        <w:tc>
          <w:tcPr>
            <w:tcW w:w="3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255" w:type="dxa"/>
            <w:tcBorders/>
            <w:vAlign w:val="center"/>
          </w:tcPr>
          <w:p>
            <w:pPr>
              <w:pStyle w:val="TableContents"/>
              <w:bidi w:val="0"/>
              <w:spacing w:before="0" w:after="283"/>
              <w:ind w:left="0" w:right="0" w:firstLine="180"/>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30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8,248</w:t>
            </w:r>
          </w:p>
        </w:tc>
        <w:tc>
          <w:tcPr>
            <w:tcW w:w="2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260"/>
        <w:gridCol w:w="893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related party amount of $609 for the period from February 6, 2024 (inception) to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260"/>
        <w:gridCol w:w="893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related party amount of $550 for the period from February 6, 2024 (inception) to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260"/>
        <w:gridCol w:w="893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related party amount of $180 for the period from February 6, 2024 (inception) to September 30, 2024</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$8.2 million for the period from February 6, 2024 (inception) to September 30, 2024 and consisted primarily of the following: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 million of personnel-related costs related to recruiting costs, salaries, benefits and other compensation-related costs, including stock-based compensation of $1.5 million and $0.6 million of personnel-related costs are amounts due to Paragon related to recruiting costs for hiring our executive team, legal, and finance and accounting functions;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 million of professional and consulting fees associated with accounting, audit, and legal fees associated with becoming a public company;</w:t>
            </w:r>
          </w:p>
        </w:tc>
      </w:tr>
    </w:tbl>
    <w:p>
      <w:pPr>
        <w:pStyle w:val="TextBody"/>
        <w:bidi w:val="0"/>
        <w:spacing w:before="0" w:after="0"/>
        <w:ind w:left="960" w:right="0" w:hanging="48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$0.6 million of legal fees due to Paragon associated with patent related activities;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$0.7 million of other business expenses and allocated human resource costs, information technology costs, and facility-related costs, including rent, maintenance, utilities, and depreciation for our leased office space, including $0.2 million of other business expenses due to Paragon.</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 Net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money market funds was $1.3 million for the period from February 6, 2024 (inception) to September 30,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$1.5 million for the period from February 6, 2024 (inception) to September 30, 2024 relating to the Convertible Note from Fairmount.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we had $410.9 million of cash and cash equivalents.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significant operating losses and negative cash flow from operations. We expect to incur significant expenses and operating losses for the foreseeable future as we continue the pre-clinical and clinical development of our programs and continue our early-stage research activities. We have not yet commercialized any products and we do not expect to generate revenue from sales of products for several years, if at all. As of September 30, 2024, we had funded our operations primarily with proceeds from issuances of convertible preferred stock, common stock, convertible note, and pre-funded warrants. In March 2024, we received $3.0 million in gross proceeds from the issuance of Pre-Merger Oruka Series A Preferred Stock and $25.0 million in gross proceeds from the issuance of the Convertible Note, both of which were related party transactions. In August 2024, we raised approximately $228.0 million in net proceeds from Pre-Closing Financing and received $4.9 million in cash from ARCA upon consummation of the Merger. In September 2024, we received approximately $188.7 million in net proceeds from the issuance of common stock, Company Series A Preferred Stock, and pre-funded warrants in connection with the PIPE Financing.</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the development of our product candidates, and advance our pipeline. This includes both the research and development costs and the general and administrative expenses required to support those operations. Since we are a clinical stage biotechnology company, we have incurred significant operating losses since our inception and we anticipate such losses, in absolute dollar terms, to increase as we continue to pursue clinical development of our product candidates, prepare for the potential commercialization of our product candidates, and expand our development efforts in our pipeline of nonclinical candidates. We expect that our existing cash and cash equivalents will be sufficient to fund our operating plans for at least twelve months from the date of filing of this Quarterly Report. We will need to secure additional financing in the future to fund additional research and development, and before a commercial drug can be produced, marketed and sold. If we are unable to obtain additional financing or generate license or product revenue, the lack of liquidity could have a material adverse effect on our company.</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period presented (in thousands):</w:t>
      </w:r>
    </w:p>
    <w:p>
      <w:pPr>
        <w:pStyle w:val="TextBody"/>
        <w:bidi w:val="0"/>
        <w:spacing w:before="0" w:after="0"/>
        <w:ind w:left="0" w:right="0" w:firstLine="360"/>
        <w:jc w:val="left"/>
        <w:rPr>
          <w:caps w:val="false"/>
          <w:smallCaps w:val="false"/>
        </w:rPr>
      </w:pPr>
      <w:r>
        <w:rPr>
          <w:caps w:val="false"/>
          <w:smallCaps w:val="false"/>
        </w:rPr>
        <w:t> </w:t>
      </w:r>
    </w:p>
    <w:tbl>
      <w:tblPr>
        <w:tblW w:w="7064" w:type="dxa"/>
        <w:jc w:val="left"/>
        <w:tblInd w:w="0" w:type="dxa"/>
        <w:tblLayout w:type="fixed"/>
        <w:tblCellMar>
          <w:top w:w="0" w:type="dxa"/>
          <w:left w:w="0" w:type="dxa"/>
          <w:bottom w:w="0" w:type="dxa"/>
          <w:right w:w="0" w:type="dxa"/>
        </w:tblCellMar>
      </w:tblPr>
      <w:tblGrid>
        <w:gridCol w:w="3935"/>
        <w:gridCol w:w="60"/>
        <w:gridCol w:w="439"/>
        <w:gridCol w:w="2520"/>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Period from </w:t>
              <w:br/>
              <w:t xml:space="preserve">February 6, </w:t>
              <w:br/>
              <w:t>2024</w:t>
              <w:br/>
              <w:t xml:space="preserve">(Inception) to September 30, </w:t>
              <w:br/>
              <w:t>2024</w:t>
            </w:r>
          </w:p>
        </w:tc>
        <w:tc>
          <w:tcPr>
            <w:tcW w:w="110" w:type="dxa"/>
            <w:tcBorders/>
            <w:vAlign w:val="center"/>
          </w:tcPr>
          <w:p>
            <w:pPr>
              <w:pStyle w:val="TableContents"/>
              <w:bidi w:val="0"/>
              <w:spacing w:before="0" w:after="283"/>
              <w:ind w:left="0" w:right="0" w:hanging="200"/>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(39,019</w:t>
            </w:r>
          </w:p>
        </w:tc>
        <w:tc>
          <w:tcPr>
            <w:tcW w:w="110" w:type="dxa"/>
            <w:tcBorders/>
            <w:shd w:fill="CCEEFF" w:val="clear"/>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w:t>
            </w:r>
          </w:p>
        </w:tc>
      </w:tr>
      <w:tr>
        <w:trPr/>
        <w:tc>
          <w:tcPr>
            <w:tcW w:w="3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25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w:t>
            </w:r>
          </w:p>
        </w:tc>
        <w:tc>
          <w:tcPr>
            <w:tcW w:w="110" w:type="dxa"/>
            <w:tcBorders/>
            <w:vAlign w:val="center"/>
          </w:tcPr>
          <w:p>
            <w:pPr>
              <w:pStyle w:val="TableContents"/>
              <w:bidi w:val="0"/>
              <w:spacing w:before="0" w:after="283"/>
              <w:ind w:left="0" w:right="0" w:hanging="200"/>
              <w:jc w:val="left"/>
              <w:rPr>
                <w:rFonts w:ascii="Times New Roman;Times;Serif" w:hAnsi="Times New Roman;Times;Serif"/>
              </w:rPr>
            </w:pPr>
            <w:r>
              <w:rPr>
                <w:rFonts w:ascii="Times New Roman;Times;Serif" w:hAnsi="Times New Roman;Times;Serif"/>
              </w:rPr>
              <w:t>)</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450,065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in cash and cash equivalents</w:t>
            </w:r>
          </w:p>
        </w:tc>
        <w:tc>
          <w:tcPr>
            <w:tcW w:w="60" w:type="dxa"/>
            <w:tcBorders/>
            <w:vAlign w:val="center"/>
          </w:tcPr>
          <w:p>
            <w:pPr>
              <w:pStyle w:val="TableContents"/>
              <w:bidi w:val="0"/>
              <w:spacing w:before="0" w:after="283"/>
              <w:jc w:val="left"/>
              <w:rPr/>
            </w:pPr>
            <w:r>
              <w:rPr/>
              <w:t> </w:t>
            </w:r>
          </w:p>
        </w:tc>
        <w:tc>
          <w:tcPr>
            <w:tcW w:w="43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410,875</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6, 2024 (inception) to September 30, 2024, net cash used in operating activities was $39.0 million, which was primarily attributable to a net loss of $57.9 million, offset by non-cash charges of $11.3 million and net cash provided by changes in operating activities of $7.6 million. Non-cash charges primarily consisted of a $9.8 million increase in stock-based compensation expense (primarily from Paruka Warrant Obligation) and $1.5 million of non-cash interest expense. Net cash provided by changes in our operating activities primarily consisted of a $1.6 million increase in accounts payable, $1.7 million increase in accrued expenses and other current liabilities, $6.4 million increase in related parties accounts payable and other current liabilities, partially offset by a $2.0 million increase in prepaid expenses and other current assets. The increase in amounts due to related parties, accounts payable, and accrued expenses and other current liabilities was primarily due to an increase in our business activity, as well as vendor invoicing and payments. The increase in prepaid expenses and other current assets was primarily due to prepaid research and development expenses with our contract research organization.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6, 2024 (inception) to September 30, 2024, net cash used in investing activities was $0.2 million, which was attributable to purchases of property and equipment.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6, 2024 (inception) to September 30, 2024, net cash provided by financing activities was $450.1 million, consisting of $2.9 million of net proceeds from the issuance of Series B Preferred Stock, $25.0 million of net proceeds from the issuance of the Convertible Note, $228.1 million of net proceeds from the Pre-Closing Financing, $189.1 million of net proceeds from the PIPE Financing, and $4.9 million of cash acquired in connection with the reverse recapitalization.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in the normal course of business with contract research organizations (“CROs”) for clinical trials, with contract manufacturing organizations (“CMOs”) for clinical supplies manufacturing and with other vendors for preclinical studies, supplies and other services and products for operating purposes. These contracts generally provide for termination on notice or may have a potential termination fee if a purchase order is cancelled within a specified time, and therefore are cancelable contracts. We do not expect any such contract terminations and did not have any non-cancellable obligations under these agreements as of September 30,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 Agreements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we entered into antibody discovery and option agreements with Paragon and Paruka (the “Option Agreements”). Under the terms of the Option Agreements, Paragon identifies, evaluates and develops antibodies directed against certain mutually agreed therapeutic targets of interest to us. The Option Agreements include two selected targets, IL-23 (“ORKA-001”) and IL-17 A/F (“ORKA-002”). Under the Option Agreements, we have the exclusive options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(each, an “Option”), with the exception of pursuing ORKA-001 for the treatment of inflammatory bowel disease. If we exercise our options, we will be required to make non-refundable milestone payments to Paragon of up to $12.0 million under each respective agreement upon the achievement of certain clinical development milestones, up to $10.0 million under each respective agreement upon the achievement of certain regulatory milestones as well as tiered royalty payments in the low-to-mid single-digits beginning on the first commercial sale. From time to time, we can choose to add additional targets to the collaboration by mutual agreement with Paragon. During the three months ended September 30, 2024, we exercised our option for ORKA-001 and recorded a $1.5 million milestone payment related to the achievement of development candidate as research and development expense in our condensed consolidated statements of operations and comprehensive loss for the three months ended September 30, 2024. As of September 30, 2024, this amount is included under related party accounts payable and other current liabilities on the condensed consolidated balance sheet.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exclusive Option with respect to each research program for a particular target initiated by the parties (“Research Program”) is exercisable at our sole discretion at any time during the period beginning on the initiation of activities under the associated Research Program and ending a specified number of days following (i) with respect to any Research Program other than ORKA-001, the delivery of the data package from Paragon related to the results of the Research Plan activities, or (ii) with respect to ORKA-001, the completion of the IL-23 antibody selection process described in the agreement (the “Option Period”). There is no payment due upon exercise of an Option pursuant to the Option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terminated earlier, the Option Agreements shall continue in force on a Research Program-by-Research Program basis until the earlier of: (i) the end of the Option Period for such Research Program, as applicable, if such Option is not exercised by us; (ii) the expiration of the 30-day period after we exercise our Option with respect to such Research Program, subject to mutually agreed extension, during the Option Period and the parties are unable to finalize and execute a license agreement, and (iii) the expiration of the applicable research term (the “Term”). Upon the expiration of the Term for all then-existing Research Programs, under the Option Agreements, the Option Agreements will automatically expire in its entirety. We may terminate the Option Agreements or any Research Program at any time for any or no reason upon 30 days’ prior written notice to Paragon, provided that we must pay certain unpaid fees due to Paragon upon such termination, as well as any non-cancellable obligations reasonably incurred by Paragon in connection with its activities under any terminated Research Program. Paragon may terminate the Option Agreements or a Research Program immediately upon written notice to us if, as a result of any action or failure to act by us or our affiliates, such Research Program or all material activities under the applicable Research Plan are suspended, discontinued or otherwise delayed for a certain consecutive number of months. Each party has the right to terminate the Option Agreements or any Research Program upon (i) 30 days’ prior written notice of the other party’s material breach that remains uncured for the 30-day period and (ii) the other party’s bankruptcy.</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Agreements, on a research program-by-research program basis following the finalization of the research plan for each respective research program, we were required to pay Paragon a one-time, nonrefundable research initiation fee of $0.8 million related to the ORKA-001 program. This amount was recognized as a research and development expense during the period from February 6, 2024 (inception) to September 30, 2024. In June 2024, pursuant to the Option Agreements with Paragon, we completed the selection process of our development candidate for IL-23 antibody for ORKA-001 program. We were responsible for 50% of the development costs incurred through the completion of the IL-23 selection process. We received the rights to at least one selected IL-23 antibody in June 2024. During the three months ended September 30, 2024, we exercised our option for ORKA-001 and recorded a $1.5 million milestone payment related to the achievement of development candidate as research and development expense in our condensed consolidated statements of operations and comprehensive loss for each of the three months ended September 30, 2024 and for the period from February 6, 2024 (inception) to September 30, 2024. Our share of development costs incurred during the three months ended September 30, 3024 and for the period from February 6, 2024 (inception) to September 30, 2024 was $0.8 million and $13.2 million, respectively, which were recorded as research and development expenses during the respective periods. An amount of $2.3 million is included in related party accounts payable and other current liabilities as of September 30,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also required to reimburse Paragon $3.3 million for development costs related to ORKA-002 incurred by Paragon through December 31, 2023 and certain other development costs incurred by Paragon between January 1, 2024 and March 6, 2024 as stipulated by the Option Agreements. This amount was recognized as a research and development expense during the period from February 6, 2024 (inception) to September 30, 2024. We are also responsible for the development costs incurred by Paragon from January 1, 2024 through the completion of the IL-17 selection process. We recognized an amount of $0.8 million payable to Paragon for the research initiation fee related to ORKA-002 following the finalization of the ORKA-002 research plan. This was recognized as research and development expenses in the period from February 6, 2024 (inception) to September 30, 2024. We accounted for development costs of $3.8 million and $6.6 million during the three months ended September 30, 3024 and for the period from February 6, 2024 (inception) to September 30, 2024, respectively, as research and development expenses during the respective periods. An amount of $3.8 million is included in related party accounts payable and other current liabilities as of September 30,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Option Agreements, on each of December 31, 2024 and December 31, 2025, we will grant warrants to purchase a number of shares equal to 1.00% of outstanding shares as of the date of the grant on a fully diluted basis with an exercise price equal to the fair market value of the underlying shares on the grant date. The warrants are liability-classified and after the initial recognition, the liability is adjusted to fair value at the end of each reporting period, with changes in fair value recorded in the consolidated statement of operations and comprehensive loss as stock-based compensation expenses under research and development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the service fees as the associated costs are incurred when the underlying services are rendered. Such amounts are classified within research and development expenses in the accompanying condensed consolidated statement of operations and comprehensive loss.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concluded that the rights obtained under the Option Agreements represent an asset acquisition whereby the underlying assets comprise in-process research and development assets with no alternative future use. The Option Agreements did not qualify as a business combination because substantially all of the fair value of the assets acquired was concentrated in the exclusive license options, which represent a group of similar identifiable assets. The research initiation fee represents a one-time cost on a research program-by-research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Option Agreements that is associated with services being rendered under the related Research Programs are recognized as research and development expense when incurred.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2024 and the period from February 6, 2024 (inception) to September 30, 2024, we recognized $13.4 million and $33.8 million of expenses, respectively, in connection with services provided by Paragon and Paruka under the Option Agreements.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Payable with Related Party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we entered into a Series A Preferred Stock and Convertible Note Purchase Agreement (the “Purchase Agreement”) with Fairmount, whereby we issued the Convertible Note, with an initial principal amount of $25.0 million that, at the time of issuance, could be converted into Pre-Merger Oruka Series A Preferred Stock (or a series of preferred shares that is identical in respect to the shares of preferred shares issued in its next equity financing) or shares of Pre-Merger Oruka Common Stock in exchange for aggregate proceeds of $25.0 million. The Convertible Note accrued interest at a rate of 12.0% per annum. At issuance, the Convertible Note required all unpaid interest and principal to mature on December 31, 2025 (the “Maturity Date”) and prepayment was not permitted without prior written consent of Fairmount. At issuance, the principal payment along with the accrued interest on the Convertible Note was due in full on the Maturity Date. Pursuant to the Purchase Agreement, we had the right to sell and issue additional convertible notes up to an aggregate principal amount equal to $30.0 million, in addition to the $25.0 million initial principal amount of the Convertible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completion of the Merger, the Convertible Note was converted into shares of Pre-Merger Oruka Common Stock based on the aggregate principal amount of $25.0 million, plus unpaid accrued interest of $1.5 million divided by the conversion price, which was determined based upon the Company’s fully-diluted capitalization immediately prior to the Merger. At the effective time of the Merger, the Pre-Merger Oruka Common Stock issued upon the conversion of the Convertible Note (including accrued interest) automatically converted into shares of Company Common Stock. 2,722,207 shares of Company Common Stock were issued on conversion of the Convertible Note and accrued interest. As of September 30, 2024, there is no note payable to a related party.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its financial condition and results of operations is based on its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revenues recognized and expenses incurred during the reporting periods.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significant accounting policies are described in more detail in Note 2 to our consolidated financial statements appearing elsewhere in this Quarterly Report, we believe the following accounting policies used in the preparation of our financial statements require the most significant judgments and estimates.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Research and Development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process of preparing our financial statements, we are required to estimate our accrued research and development expenses. This process involves estimating the level of service performed and the associated cost incurred for the services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At each period end, we corroborate the accuracy of these estimates with the service providers and make adjustments, if necessary. Estimated accrued research and development expenses include those related to fees paid to vendors in connection with discovery development activities and any research organizations in connection with studies and testing.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stock options granted to employees and non-employees based on the estimated fair values of the awards as of the grant date using the Black-Scholes option-pricing model. The model requires management to make a number of assumptions, including common stock fair value, expected volatility, expected term, risk-free interest rate and expected dividend yield. For restricted stock awards and restricted stock units, the estimated fair value is the fair market value of the underlying stock on the grant date. We expense the fair value of our equity-based compensation awards on a straight-line basis over the requisite service period, which is the period in which the related services are received. We account for award forfeitures as they occur. The expense for stock-based awards with performance conditions is recognized when it is probable that a performance condition is met during the vesting period.</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Determination of Fair Value of Common Stock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public trading market for Company Common Stock has been established in connection with the completion of this Merger. As such, it is no longer necessary for our board of directors to estimate the fair value of our stock-based awards in connection with its accounting for granted stock-based awards or other such awards we may grant, as the fair value of Company Common Stock and share-based awards is determined based on the quoted market price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merger, Pre-Merger Oruka’s common stock valuations were prepared using a hybrid method, including an option pricing method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underlying these valuations represented management’s best estimate, which involved inherent uncertainties and the application of management’s judgment. As a result, if Pre-Merger Oruka had used significantly different assumptions or estimates, the fair value of Pre-Merger Oruka’s incentive shares and its stock-based compensation expense could have been materially different.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the condensed consolidated financial statements included in Part I - Item 1 of this Quarterly Report for more information regarding 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we did not have any off-balance sheet arrangements, as defined in the rules and regulations of the SEC.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under the Securities Exchange Act of 1934, as amended (the “Exchange Act”), and in Item 10(f)(1) of Regulation S-K, and are not required to provide the information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by us in the reports we file or submit under the Exchange Act is recorded, processed, summarized and reported within the time periods specified in the Securities and Exchange Commission’s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the disclosure controls and procedures, management recognizes that any controls and procedures, no matter how well designed and operated, can provide only reasonable assurance of achieving the desired control objectives. As required by Rule 13a-15(b) or Rule 15d-15(b) promulgated by the Securities and Exchange Commission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defined in Rules 13a-15(f) and 15d-15(f) under the Exchange Act) during the quarter ended September 30, 2024, that have materially affected, or are reasonably likely to materially affect, our internal control over financial reporting.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relating to claims arising from the ordinary course of business. Our management believes that there are currently no claims or actions pending against us, the ultimate disposition of which could reasonably be expected to have a material adverse effect on our results of operations, financial condition or cash flows.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shares of our common stock involves a high degree of risk. You should carefully consider the following risks and uncertainties, together with all of the other information contained in this Quarterly Report on Form 10-Q before making an investment decision. The occurrence of any of the following risks could materially and adversely affect our business, financial condition, reputation, or results of operations. In such case, the trading price of shares of our common stock could decline, and you may lose all or part of your investment. It is not possible to predict or identify all such risks; our operations could also be affected by factors, events or uncertainties that are not presently known to us or that we currently do not consider presenting significant risks to our operations. Therefore, you should not consider the following risks to be a complete statement of all the potential risks or uncertainties that we face.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Risk Factor Summary</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Item 1A of this Form 10-Q “Risk Factors”. Please carefully consider all the information in this Form 10-Q, including the full set of risks set forth in the “Risk Factors” section, and in our other filings with the SEC before making an investment decision regarding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Capital Requirements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are a preclinical stage biopharmaceutical company with a limited operating history on which to assess our business; we have not initiated, conducted or completed any clinical trials, and have no products approved for commercial sale.</w:t>
            </w:r>
          </w:p>
        </w:tc>
      </w:tr>
    </w:tbl>
    <w:p>
      <w:pPr>
        <w:pStyle w:val="TextBody"/>
        <w:bidi w:val="0"/>
        <w:spacing w:before="0" w:after="0"/>
        <w:ind w:left="0" w:right="0" w:firstLine="36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have historically incurred losses and we anticipate that we will continue to incur losses for the foreseeable future.</w:t>
            </w:r>
          </w:p>
        </w:tc>
      </w:tr>
    </w:tbl>
    <w:p>
      <w:pPr>
        <w:pStyle w:val="TextBody"/>
        <w:bidi w:val="0"/>
        <w:spacing w:before="0" w:after="0"/>
        <w:ind w:left="0" w:right="0" w:firstLine="36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have never generated revenue from product sales and may never be profitable.</w:t>
            </w:r>
          </w:p>
        </w:tc>
      </w:tr>
    </w:tbl>
    <w:p>
      <w:pPr>
        <w:pStyle w:val="TextBody"/>
        <w:bidi w:val="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raise the capital that we need to support our business plans.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Raising additional capital may cause dilution to our stockholders, restrict our operations or require us to relinquish rights to our technologies or product candidates.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Clinical Development and Regulatory Approval</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Drug development and obtaining and maintaining regulatory approval for drug products is costly, time-consuming, and highly uncertain.</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are substantially dependent on the success of our two most advanced programs, ORKA-001 and ORKA-002, and our anticipated clinical trials of such programs may not be successful.</w:t>
            </w:r>
          </w:p>
        </w:tc>
      </w:tr>
    </w:tbl>
    <w:p>
      <w:pPr>
        <w:pStyle w:val="TextBody"/>
        <w:bidi w:val="0"/>
        <w:spacing w:before="0" w:after="0"/>
        <w:ind w:left="0" w:right="0" w:firstLine="360"/>
        <w:jc w:val="both"/>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may not be able to meet requirements for the chemistry, manufacturing and control of our programs.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face competition from entities that have developed or may develop programs for the diseases addressed by product candidates developed by us.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Food and Drug Administration (“FDA”) and comparable foreign regulatory approval processes are lengthy and time consuming and we may not be able to obtain or may be delayed in obtaining regulatory approvals for our product candidates.</w:t>
            </w:r>
          </w:p>
        </w:tc>
      </w:tr>
    </w:tbl>
    <w:p>
      <w:pPr>
        <w:pStyle w:val="TextBody"/>
        <w:bidi w:val="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70"/>
        <w:gridCol w:w="7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regulatory approval, we will be subject to ongoing regulatory obligations.</w:t>
            </w:r>
          </w:p>
        </w:tc>
      </w:tr>
    </w:tbl>
    <w:p>
      <w:pPr>
        <w:pStyle w:val="TextBody"/>
        <w:bidi w:val="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may fail to achieve our projected development goals in the time frames we announce and expect.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firstLine="36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obtain and protect our patents and other proprietary rights is uncertain.</w:t>
            </w:r>
          </w:p>
        </w:tc>
      </w:tr>
    </w:tbl>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in obtaining or maintaining necessary rights to our programs.</w:t>
            </w:r>
          </w:p>
        </w:tc>
      </w:tr>
    </w:tbl>
    <w:p>
      <w:pPr>
        <w:pStyle w:val="TextBody"/>
        <w:bidi w:val="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patent infringement claims or may need to file such claims.</w:t>
            </w:r>
          </w:p>
        </w:tc>
      </w:tr>
    </w:tbl>
    <w:p>
      <w:pPr>
        <w:pStyle w:val="TextBody"/>
        <w:bidi w:val="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patents and our ability to protect our products may be impaired by changes to patent laws.</w:t>
            </w:r>
          </w:p>
        </w:tc>
      </w:tr>
    </w:tbl>
    <w:p>
      <w:pPr>
        <w:pStyle w:val="TextBody"/>
        <w:bidi w:val="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70"/>
        <w:gridCol w:w="7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 protection could be reduced or eliminated for non-compliance with legal requirements.</w:t>
            </w:r>
          </w:p>
        </w:tc>
      </w:tr>
    </w:tbl>
    <w:p>
      <w:pPr>
        <w:pStyle w:val="TextBody"/>
        <w:bidi w:val="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identify or interpret relevant third-party patents.</w:t>
            </w:r>
          </w:p>
        </w:tc>
      </w:tr>
    </w:tbl>
    <w:p>
      <w:pPr>
        <w:pStyle w:val="TextBody"/>
        <w:bidi w:val="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170"/>
        <w:gridCol w:w="8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claims challenging the inventorship or ownership of our intellectual property.</w:t>
            </w:r>
          </w:p>
        </w:tc>
      </w:tr>
    </w:tbl>
    <w:p>
      <w:pPr>
        <w:pStyle w:val="TextBody"/>
        <w:bidi w:val="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70"/>
        <w:gridCol w:w="6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terms may be inadequate to protect our competitive position of our programs.</w:t>
            </w:r>
          </w:p>
        </w:tc>
      </w:tr>
    </w:tbl>
    <w:p>
      <w:pPr>
        <w:pStyle w:val="TextBody"/>
        <w:bidi w:val="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70"/>
        <w:gridCol w:w="6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technology licensed from various third-parties may be subject to retained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currently rely on agreements with third parties to develop our product candidates. If we are unable to maintain collaborations or licensing arrangements, or if our collaborations or licensing arrangements are not successful, our business could be negatively impacted.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 parties we rely on for the execution of nonclinical studies and clinical trials may fail to carry out their contractual duties.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may be unable to use third-party manufacturing sites, our third-party manufacturers may encounter difficulties in production or we may need to switch or create third-party manufacturer redundancies.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Risk Factors - Risks Related to Employee Matters, Managing Growth, Other Risks Related to Our Business, and Owning Our Common Stock </w:t>
      </w:r>
    </w:p>
    <w:p>
      <w:pPr>
        <w:pStyle w:val="TextBody"/>
        <w:bidi w:val="0"/>
        <w:spacing w:before="0" w:after="0"/>
        <w:ind w:left="4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business is dependent on key personnel and we will be harmed if we cannot recruit and retain highly qualified personnel to successfully implement our business strategy.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order to successfully implement our plans and strategies, we will need to grow the size of our organization and we may experience difficulties in managing this growth.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estimates of market opportunity and forecasts of market growth may prove to be inaccurate, and even if the markets in which we compete achieve the forecasted growth, our business may not grow at similar rates, or at all.</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Significant disruptions of information technology systems or breaches of data security could adversely affect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and failures to comply with United States and foreign privacy and data protection laws, regulations and standards may adversely affect our business, operations and consolidated financial performance.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exposed to costly and damaging liability claims and our insurance may not cover all damages from such claims.</w:t>
            </w:r>
          </w:p>
        </w:tc>
      </w:tr>
    </w:tbl>
    <w:p>
      <w:pPr>
        <w:pStyle w:val="TextBody"/>
        <w:bidi w:val="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adversely affected by macroeconomic conditions.</w:t>
            </w:r>
          </w:p>
        </w:tc>
      </w:tr>
    </w:tbl>
    <w:p>
      <w:pPr>
        <w:pStyle w:val="TextBody"/>
        <w:bidi w:val="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any dividends in the foreseeable future.</w:t>
            </w:r>
          </w:p>
        </w:tc>
      </w:tr>
    </w:tbl>
    <w:p>
      <w:pPr>
        <w:pStyle w:val="TextBody"/>
        <w:bidi w:val="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170"/>
        <w:gridCol w:w="6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by existing stockholders could cause our stock price to decline.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Future sales and issuances of equity and debt could result in additional dilution to our stockholders and could cause our stock price to decline.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Capital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preclinical stage biopharmaceutical company with a limited operating history on which to assess our business; we have not initiated, conducted or completed any clinical trials, have no products approved for commercial sale, have historically incurred losses, and we anticipate that we will continue to incur significant losses for the foreseeable future. Moreover, we have never generated revenue from product sales and may never be profitable.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preclinical stage biopharmaceutical company with a limited operating history. We will need to raise substantial additional capital to continue to fund our operations in the future. We have based our estimates on assumptions that may prove to be wrong, and could exhaust our available financial resources sooner than it currently anticipates.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devoted substantially all of our financial resources to identify, acquire, and develop our product candidates, organizing and staffing our company, and providing general and administrative support for our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Biopharmaceutical product development is a highly speculative undertaking and involves a substantial degree of risk. We expect our losses to increase as our product candidates enter advanced clinical trials. It may be several years, if ever, before we complete pivotal clinical trials or have a product candidate approved for commercialization. We expect to invest significant funds into the research and development of our current programs to determine the potential to advance product candidates to regulatory approval. If we obtain regulatory approval to market a product candidate, our future revenue will depend upon the size of any markets in which our product candidates may receive approval, and our ability to achieve sufficient market acceptance, pricing, coverage and adequate reimbursement from third-party payors, and adequate market share for our product candidates in those markets. Even if we obtain adequate market share for our product candidates, we may never become profitable despite obtaining such market share and acceptance of our products.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significant expenses and increasing operating losses for the foreseeable future and our expenses will increase substantially if and as we:</w:t>
      </w:r>
    </w:p>
    <w:p>
      <w:pPr>
        <w:pStyle w:val="TextBody"/>
        <w:bidi w:val="0"/>
        <w:spacing w:before="0" w:after="0"/>
        <w:ind w:left="0" w:right="0" w:firstLine="36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continue the preclinical development and initiate the clinical development of our product candidates;</w:t>
            </w:r>
          </w:p>
        </w:tc>
      </w:tr>
    </w:tbl>
    <w:p>
      <w:pPr>
        <w:pStyle w:val="TextBody"/>
        <w:bidi w:val="0"/>
        <w:spacing w:before="0" w:after="0"/>
        <w:ind w:left="810" w:right="0" w:hanging="369"/>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170"/>
        <w:gridCol w:w="5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continue efforts to discover and develop new product candidates;</w:t>
            </w:r>
          </w:p>
        </w:tc>
      </w:tr>
    </w:tbl>
    <w:p>
      <w:pPr>
        <w:pStyle w:val="TextBody"/>
        <w:bidi w:val="0"/>
        <w:spacing w:before="0" w:after="0"/>
        <w:ind w:left="810" w:right="0" w:hanging="369"/>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continue the manufacturing of our product candidates or increase volumes manufactured by third parties;</w:t>
            </w:r>
          </w:p>
        </w:tc>
      </w:tr>
    </w:tbl>
    <w:p>
      <w:pPr>
        <w:pStyle w:val="TextBody"/>
        <w:bidi w:val="0"/>
        <w:spacing w:before="0" w:after="0"/>
        <w:ind w:left="810" w:right="0" w:hanging="369"/>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our product candidates into larger, more expensive clinical trials;</w:t>
            </w:r>
          </w:p>
        </w:tc>
      </w:tr>
    </w:tbl>
    <w:p>
      <w:pPr>
        <w:pStyle w:val="TextBody"/>
        <w:bidi w:val="0"/>
        <w:spacing w:before="0" w:after="0"/>
        <w:ind w:left="810" w:right="0" w:hanging="369"/>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initiate additional preclinical studies or clinical trials for our product candidates;</w:t>
            </w:r>
          </w:p>
        </w:tc>
      </w:tr>
    </w:tbl>
    <w:p>
      <w:pPr>
        <w:pStyle w:val="TextBody"/>
        <w:bidi w:val="0"/>
        <w:spacing w:before="0" w:after="0"/>
        <w:ind w:left="810" w:right="0" w:hanging="369"/>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seek regulatory and marketing approvals and reimbursement for our product candidates;</w:t>
            </w:r>
          </w:p>
        </w:tc>
      </w:tr>
    </w:tbl>
    <w:p>
      <w:pPr>
        <w:pStyle w:val="TextBody"/>
        <w:bidi w:val="0"/>
        <w:spacing w:before="0" w:after="0"/>
        <w:ind w:left="810" w:right="0" w:hanging="36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establish a sales, marketing, and distribution infrastructure to commercialize any products for which it may obtain marketing approval and market for ourselves;</w:t>
            </w:r>
          </w:p>
        </w:tc>
      </w:tr>
    </w:tbl>
    <w:p>
      <w:pPr>
        <w:pStyle w:val="TextBody"/>
        <w:bidi w:val="0"/>
        <w:spacing w:before="0" w:after="0"/>
        <w:ind w:left="810" w:right="0" w:hanging="369"/>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 milestone, royalty, or other payments under third-party license agreements;</w:t>
            </w:r>
          </w:p>
        </w:tc>
      </w:tr>
    </w:tbl>
    <w:p>
      <w:pPr>
        <w:pStyle w:val="TextBody"/>
        <w:bidi w:val="0"/>
        <w:spacing w:before="0" w:after="0"/>
        <w:ind w:left="810" w:right="0" w:hanging="369"/>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170"/>
        <w:gridCol w:w="6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seek to maintain, protect, and expand our intellectual property portfolio; and</w:t>
            </w:r>
          </w:p>
        </w:tc>
      </w:tr>
    </w:tbl>
    <w:p>
      <w:pPr>
        <w:pStyle w:val="TextBody"/>
        <w:bidi w:val="0"/>
        <w:spacing w:before="0" w:after="0"/>
        <w:ind w:left="810" w:right="0" w:hanging="36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experience any delays or encounter issues with the development and potential regulatory approval of our clinical and product candidates such as safety issues, manufacturing delays, clinical trial accrual delays, longer follow-up for planned studies or trials, additional major studies or trials, or supportive trials necessary to support marketing approval.</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significant experience as a company in initiating, conducting or completing clinical trials. In part because of this lack of experience, we cannot be certain that our planned clinical trials will begin or be completed on time, if at all. In addition, we have not yet demonstrated an ability to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Further, the net losses we incur may fluctuate significantly from quarter to quarter and year to year, such that a period-to-period comparison of our results of operations may not be a good indication of our future performance.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will need to continue to raise additional capital in order to fund our operations.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we had $410.9 million of cash. We have incurred significant net losses since our inception. We anticipate that we will continue to incur significant losses for the foreseeable future. Since February 6, 2024 (inception), we have incurred significant operating losses. For the period from February 6, 2024 (inception) to September 30, 2024, we reported a net loss of $57.9 million and net cash used from operating activities of $39.0 million. We will need to raise additional capital to continue to fund our operations and service our debt obligations in the future. Until such time, if ever, as we can generate substantial revenue from the sale of our product candidates, we expect to finance our cash needs through a combination of equity offerings, debt financings and licensing, development or collaboration agreements. If we are unable to raise additional capital when needed, that may raise substantial doubt about our ability to continue as a going concern. We expect that our existing cash as of $410.9 million as of September 30, 2024 will be sufficient to fund our operating expenses and capital expenditure requirements for at least 12 months from the date these condensed consolidated financial statements were issued.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our product candidates and operating our company requires a substantial amount of capital. We expect our research and development expenses to increase in connection with our ongoing activities, particularly as we advance our product candidates through clinical trials. We may need to raise additional capital to fund our operations and such funding may not be available to us on acceptable terms, or at all, and such funding may become even more difficult to obtain. Competition for additional capital among biotechnology companies may be particularly intense during this period of economic instability. We may be unable to raise capital through public offerings of our common stock and may need to turn to alternative financing arrangements. Such arrangements, if we pursue them,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Interest on any newly-issued debt securities and/or newly-incurred borrowings would increase our operating costs and reduce our net income (or increase our net loss), and these impacts may be material. If the issuance of new securities results in diminished rights to holders of our common stock, the market price of our common stock could be materially and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any products approved for sale and do not generate any revenue from product sales. Accordingly, we expect to rely primarily on equity and/or debt financings to fund our continued operations. Our ability to raise additional funds will depend, in part, on the success of our preclinical studies and clinical trials and other product development activities, regulatory events, our ability to identify and enter into 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capital when required or on acceptable terms, we may be required to:</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significantly delay, scale back, or discontinue the development or commercialization of our product candidates;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seek strategic partnerships, or amend existing partnerships, for research and development programs at an earlier stage than otherwise would be desirable or that we otherwise would have sought to develop independently, or on terms that are less favorable than might otherwise be available in the future;</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dispose of technology assets, or relinquish or license on unfavorable terms, our rights to technologies or any of our product candidates that we otherwise would seek to develop or commercialize ourselves;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pursue the sale of the company to a third party at a price that may result in a loss on investment for our stockholders; or</w:t>
            </w:r>
          </w:p>
        </w:tc>
      </w:tr>
    </w:tbl>
    <w:p>
      <w:pPr>
        <w:pStyle w:val="TextBody"/>
        <w:bidi w:val="0"/>
        <w:spacing w:before="0" w:after="0"/>
        <w:ind w:left="0" w:right="0" w:firstLine="360"/>
        <w:jc w:val="left"/>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17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file for bankruptcy or cease operations altogether (and face any related legal proceedings).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have a material adverse effect on our business, operating results, and prospects.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raising new capital, we could be limited in the amount of capital we raise due to investor demand restrictions placed on the amount of capital we raise, or other reasons.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our stockholders, restrict our operations, or require us to relinquish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equity securities or convertible debt securities, the ownership interest of our stockholders will be diluted, and the terms of these securities may include liquidation or other preferences that adversely affect the rights of holders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development or future commercialization efforts or grant rights to third parties to develop and market product candidates that we would otherwise prefer to develop and market ourselves.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equity, including pursuant to any sales under convertible debt or other securities convertible into equity, the ownership interest of our stockholders will be diluted, and the terms of these new securities may include liquidation or other preferences that adversely affect the rights of our stockholders.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entered into a Securities Purchase Agreement with certain new institutional and accredited investors, whereby the investors purchased an aggregate of 5,600,000 shares of Company Common Stock, 2,439 shares of Company Series A Preferred Stock and pre-funded warrants to purchase an aggregate of 680,000 shares of common stock for an aggregate purchase price of approximately $200.5 million. Each share of Company Series A Preferred Stock is convertible into 1,000 shares of Company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financing, if available,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our product candidates or future revenue streams or grant licenses on terms that are not favorable to us. We cannot assure you that we will be able to obtain additional funding if and when necessary to fund our entire portfolio of product candidates to meet our projected plans. If we are unable to obtain funding on a timely basis, we may be required to delay or discontinue one or more of our development programs or be unable to expand our operations or otherwise capitalize on potential business opportunities, which could materially harm our business, financial condition,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Clinical Development, Regulatory Approval and Commercialization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entities that have developed or may develop programs for the diseases addressed by product candidates developed by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commercialization of drugs is highly competitive. Product candidates developed by us, if approved, will face significant competition and our failure to effectively compete may prevent us from achieving significant market penetration. We compete with a variety of biopharmaceutical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clinical trials, regulatory approvals, and marketing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recruiting participants for clinical trials, as well as in acquiring technologies complementary to, or necessary for, our product candidates.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have developed, are developing or will develop programs and processes competitive with our programs and processes. Competitive therapeutic treatments include those that have already been approved and accepted by the medical community and any new treatments.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our competitors develop competing products or if biosimilars enter the market more quickly than we do and are able to gain market acceptance.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programs are in preclinical stages of development and may fail in development or suffer delays. We depend on the successful initiation and completion of clinical trials for our product candidates to advance our product development plans.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products on the market, and all of our programs are in preclinical stages of development and have not been tested in humans. As a result, we expect it will be many years before we can obtain regulatory approval for and commercialize any product candidate, if ever. We have not yet demonstrated our ability to initiate or complete any clinical trials, obtain regulatory approvals, manufacture a clinical or commercial scale product or arrange for a third party to do so on our behalf, or conduct sales and marketing activities necessary for successful product commercialization. We must initiate and complete clinical trials that demonstrate the safety and efficacy of our product candidates in humans. Clinical testing is expensive, difficult to design and implement, and can take years to complete and is uncertain as to outcome. A failure of one or more of our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 number of unforeseen events during clinical trials, including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product candidates may have undesirable side effects or unexpected characteristics, causing us or our investigators to suspend or terminate the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supply of our clinical trial materials or other materials necessary to conduct clinical trials of our product candidates may be insufficient, delayed, does not meet agreed-upon specifications, or are otherwise inadequate for use in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regulators or institutional review boards (“IRBs”), the FDA or ethics committees may not authorize us or our investigators to commence a clinical trial or conduct a clinical trial at a prospective trial site; clinical trials of any product candidates may fail to show safety or efficacy, produce negative or inconclusive results, and we may decide, or regulators may require it, to conduct additional preclinical studies or clinical trials or we may decide to abandon product development programs;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may experience delays in reaching, or fail to reach, agreement on acceptable terms with prospective trial sites and/or contract research organizations (“CROs”);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trial sites deviating from trial protocol or dropping out of a trial; 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number of subjects required for clinical trials of any product candidates may be larger than we anticipate, especially if regulatory bodies require completion of non-inferiority or superiority trials; enrollment in these clinical trials may be slower than we anticipate or subjects may drop out of these clinical trials or fail to return for post-treatment follow-up at a higher rate than we anticipate;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tc>
      </w:tr>
    </w:tbl>
    <w:p>
      <w:pPr>
        <w:pStyle w:val="TextBody"/>
        <w:bidi w:val="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cost of clinical trials of any of our programs may be greater than we anticipate;</w:t>
            </w:r>
          </w:p>
        </w:tc>
      </w:tr>
    </w:tbl>
    <w:p>
      <w:pPr>
        <w:pStyle w:val="TextBody"/>
        <w:bidi w:val="0"/>
        <w:jc w:val="left"/>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170"/>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reports from clinical testing of other therapies may raise safety or efficacy concerns about our programs;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failure to establish an appropriate safety profile for a product candidate based on clinical or preclinical data for such product candidates as well as data emerging from other therapies in the same class as our product candidates;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FDA or other regulatory authorities may require us to submit additional data such as long-term toxicology studies, or impose other requirements before permitting us to initiate a clinical trial.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clinical trials in the United States is subject to acceptance by the FDA of an investigational new drug application (“IND”), biologics license application (“BLA”) or similar application and finalizing the trial design based on discussions with the FDA and other regulatory authorities. In the event that the FDA requires us to complete additional preclinical studies or it is required to satisfy other FDA requests prior to commencing clinical trials, the start of our first clinical trials may be delayed. If our clinical trials do not produce favorable results, our ability to obtain regulatory approval for our product candidates may be adversely impacted. Moreover, the combined data from our trials maybe inconclusive or may not be sufficient to ultimately gain marketing approval from the FDA or other regulatory authorities. There are equivalent processes and risks applicable to clinical trial applications in other countries, including countries in the European Union (“EU”).</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of the competitive landscape for immunology and inflammation (commonly referred to as “I&amp;I”) indications, we may also face competition for clinical trial enrollment. Clinical trial enrollment will depend on many factors, including if potential clinical trial participants choose to undergo treatment with approved products or enroll in competitors’ ongoing clinical trials for programs that are under development for the same indications as our programs. An increase in the number of approved products for the indications we are targeting with our programs may further exacerbate this competition. Our inability to enroll a sufficient number of participants could, among other things, delay our development timeline, which may further harm our competitive position.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the financial resources to continue development of, or to modify existing or enter into new collaborations for, a product candidate if we experience any issues that delay or prevent regulatory approval of, or our ability to commercialize, our product candidates. Our inability to complete development of, or commercialize our product candidates, or significant delays in doing so, could have a material and adverse effect on our business, financial condition, results of operations and prospects.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on the success of our two most advanced programs, ORKA-001 and ORKA-002, and our anticipated clinical trials of such programs may not be successful.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substantially dependent on our ability to develop and timely obtain marketing approval for, and then successfully commercialize, our two most advanced programs, ORKA-001 and ORKA-002. We are investing a majority of our efforts and financial resources into the research and development of these programs. We anticipate initiating a Phase 1 clinical trial in healthy volunteers of ORKA-001 in the first quarter of 2025 and of ORKA-002 in the second half of 2025, each subject to the filing of an IND or foreign equivalent and regulatory approval. The success of our programs is dependent on observing a longer half-life of our product candidates in humans than other extended half-life monoclonal antibodies (“mAbs”) currently marketed and in development as we believe this longer half-life has the potential to result in a more favorable dosing schedule for our product candidates, assuming they successfully complete clinical development and obtain marketing approval. This is based in part on the assumption that the longer half-life we have observed in non-human primates (“NHPs”) will translate into an extended half-life of our product candidates in humans. To the extent we do not observe this extended half-life in humans, it would significantly and adversely affect the clinical and commercial potential of our product candidates.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programs will require additional clinical development, evaluation of clinical, preclinical and manufacturing activities, product development, marketing approval in multiple jurisdictions, substantial investment and significant marketing efforts before we generate any revenues from product sales.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achieve our projected development goals in the time frames we announce and expect, the development and potential commercialization of our product candidates may be delayed and our expenses may increase and, as a result, our business may be materially harmed and our stock price may decline.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estimate the timing of the anticipated accomplishment of various scientific, clinical, regulatory and other product development goals, which it sometimes refers to as milestones. These milestones may include the commencement or completion of scientific studies and clinical trials, such as the expected timing for the anticipated commencement of our Phase 1 studies, clinical trials in psoriasis (“PsO”) and other target indications,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development and potential commercialization of our product candidates may be delayed or never achieved and, as a result, our business may be materially harmed and our stock price may decline. Additionally, delays relative to our projected timelines are likely to cause overall expenses to increase, which may require us to raise additional capital sooner than expected and prior to achieving targeted development milestones.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drug delivery device that we may use to deliver our product candidates may have its own regulatory, development, supply and other risks.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deliver our product candidates via a drug delivery device, such as an injector or other delivery system. There may be unforeseen technical complications related to the development activities required to bring such a product to market, including primary container compatibility and/or dose volume requirements. Our product candidates may not be approved or may be substantially delayed in receiving approval if the devices that we choose to develop do not gain and/or maintain their own regulatory approvals or clearances. Where approval of the drug product and device is sought under a single application, the increased complexity of the review process may delay approval. In addition, some drug delivery devices are provided by single-source unaffiliated third-party companies. We may be dependent on the sustained cooperation and effort of those third-party companies both to supply the devices and, in some cases, to conduct the studies required for approval or other regulatory clearance of the devices. Even if approval is obtained, we may also be dependent on those third-party companies continuing to maintain such approvals or clearances once they have been received. Failure of third-party companies to supply the devices on time and in accordance with the agreed-upon specifications, to successfully complete studies on the devices in a timely manner, or to obtain or maintain required approvals or clearances of the devices could result in increased development costs, delays in or failure to obtain regulatory approval and delays in product candidates reaching patients.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approach to the discovery and development of our programs is unproven, and we may not be successful in our efforts to build a pipeline of programs with commercial value.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the discovery and development of the research programs with respect to which we have the option to acquire intellectual property license rights to pursuant to those certain antibody discovery and option agreements by and among the Company, Paragon Therapeutics, Inc. and Paruka Holding, LLC (the “Option Agreements”) and leverages clinically validated mechanisms of action and incorporates advanced antibody engineering to optimize half-life and other properties designed to overcome limitations of existing therapies. Our programs are purposefully designed to improve upon existing product candidates and products while maintaining the same, well-established mechanisms of action. However, the scientific research that forms the basis of our efforts to develop programs using half-life extension technologies is ongoing and may not result in viable programs. There is limited clinical data available on product candidates utilizing half-life extension technologies, especially in I&amp;I indications, demonstrating whether they are safe or effective for long-term treatment in humans. The long-term safety and efficacy of these technologies and the extended half-life and exposure profile of our programs compared to currently approved products is unknown.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ultimately discover that utilizing half-life extension technologies for our specific targets and indications and any programs resulting therefrom does not possess certain properties required for therapeutic effectiveness. We currently have only preclinical data regarding the increased half-life properties of our programs and the same results may not be seen in humans. In addition, programs using half-life extension technologies may demonstrate different chemical and pharmacological properties in participants than they do in laboratory studies. This technology and any programs resulting therefrom may not demonstrate the same chemical and pharmacological properties in humans and may interact with human biological systems in unforeseen, ineffective or harmful ways.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 the future seek to discover and develop programs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programs.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the research programs with respect to which we have the option to acquire intellectual property license rights to pursuant to the Option Agreements prove to be ineffective, unsafe or commercially unviable, such programs would have little, if any, value, which would have a material and adverse effect on our business, financial condition, results of operations and prospects.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obtaining marketing approval from regulatory authorities for the sale of any product candidate, we must complete preclinical studies and then conduct extensive clinical trials to demonstrate the safety and efficacy of such product candidate in humans. Our clinical trials may not be conducted as planned or completed on schedule, if at all, and failure can occur at any time during the preclinical study or clinical trial process.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 failure of one or more clinical trials can occur at any stage of testing.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In addition, we expect to rely on participants to provide feedback on measures such as measures of quality of life, which are subjective and inherently difficult to evaluate. These measures can be influenced by factors outside of our control, and can vary widely from day-to-day for a particular participant, and from participant to participant and from site to site within a clinical trial.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sure that the FDA will agree with our clinical development plan. We plan to use the data from our planned Phase 1 trials of our ORKA-001 and ORKA-002 programs in healthy volunteers to support Phase 2 trials in PsO and potentially other I&amp;I indications. If the FDA requires us to conduct additional trials or enroll additional participants, our development timelines may be delayed. We cannot be sure that submission of an IND, BLA or similar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Times New Roman;Times;Serif" w:hAnsi="Times New Roman;Times;Serif"/>
          <w:b w:val="false"/>
          <w:i/>
          <w:caps w:val="false"/>
          <w:smallCaps w:val="false"/>
          <w:sz w:val="20"/>
        </w:rPr>
        <w:t>in vivo </w:t>
      </w:r>
      <w:r>
        <w:rPr>
          <w:rFonts w:ascii="Times New Roman;Times;Serif" w:hAnsi="Times New Roman;Times;Serif"/>
          <w:b w:val="false"/>
          <w:i w:val="false"/>
          <w:caps w:val="false"/>
          <w:smallCaps w:val="false"/>
          <w:sz w:val="20"/>
        </w:rPr>
        <w:t>or </w:t>
      </w:r>
      <w:r>
        <w:rPr>
          <w:rFonts w:ascii="Times New Roman;Times;Serif" w:hAnsi="Times New Roman;Times;Serif"/>
          <w:b w:val="false"/>
          <w:i/>
          <w:caps w:val="false"/>
          <w:smallCaps w:val="false"/>
          <w:sz w:val="20"/>
        </w:rPr>
        <w:t>in vitro </w:t>
      </w:r>
      <w:r>
        <w:rPr>
          <w:rFonts w:ascii="Times New Roman;Times;Serif" w:hAnsi="Times New Roman;Times;Serif"/>
          <w:b w:val="false"/>
          <w:i w:val="false"/>
          <w:caps w:val="false"/>
          <w:smallCaps w:val="false"/>
          <w:sz w:val="20"/>
        </w:rPr>
        <w:t>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at each clinical trial site; delays in manufacturing, testing, releasing, validating or importing/exporting sufficient stable quantities of our product candidates for use in clinical trials or the inability to do any of the foregoing; failure by our CROs, other third parties or us to adhere to clinical trial protocols; failure to perform in accordance with the FDA’s or any other regulatory authority’s current Good Clinical Practice requirements (“GCPs”) or applicable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 processes to facilities operated by a contract manufacturing organization (“CMO”) and delays or failure by our CMOs or us to make any necessary changes to such manufacturing process; and third parties being unwilling or unable to satisfy their contractual obligations to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also encounter delays if a clinical trial is suspended or terminated by it, by the IRBs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programs,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are only moderately positive or if there are safety concerns, our business and results of operations may be adversely affected and we may need to adjust or abandon our business plans and we may incur significant additional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encounter difficulties enrolling participants in our future clinical trials, our clinical development activities could be delayed or otherwise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difficulties in patient participant enrollment in our clinical trials for a variety of reasons. The timely completion of clinical trials in accordance with their protocols depends, among other things, on our ability to enroll a sufficient number of participants who remain in the trial until conclusion. The enrollment of participants in future trials for any of our programs will depend on many factors, including if participants choose to enroll in clinical trials, rather than using approved products, or if our competitors have ongoing clinical trials for programs that are under development for the same indications as our programs, and participants instead enroll in such clinical trials. Even if we are able to enroll a sufficient number of participants for our clinical trials, it may have difficulty maintaining participants in our clinical trials. Our inability to enroll or maintain a sufficient number of participants would result in significant delays in completing clinical trials and increased development costs or may require us to abandon one or more clinical trials altogether.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“topline” or interim data from our clinical trials may change as more participant data becomes available and are subject to audit and verification procedures.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or topline data should be viewed with caution until the final data are available. From time to time, we may also disclose interim data from our preclinical studies and clinical trials. Interim data are subject to the risk that one or more of the clinical outcomes may materially change as participant enrollment continues and more participant data become available or as participants from our clinical 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clinical trials may reveal significant adverse events or undesirable side effects not seen in our preclinical studies and may result in a safety profile that could halt clinical development, inhibit regulatory approval or limit commercial potential or market acceptance of any of our product candidates.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our clinical trials could reveal a high and unacceptable severity and prevalence of side effects, adverse events or unexpected characteristics. While preclinical studies in NHPs conducted with respect to our programs have not shown any such characteristics to date, we have not yet initiated any clinical trials in humans. If significant adverse events or other side effects are observed in any of our future clinical trials, we may have difficulty recruiting participants to such trials, participants may drop out of the trials, or we may be required to abandon the trials or our development efforts of one or more programs altogether. We, the FDA or other applicable regulatory authorities, or an IRB, may suspend any clinical trials of any program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However, other potential products have shown side effects in preclinical studies, which side effects do not present themselves in clinical trials in humans. Even if the side effects do not preclude the product candidate from obtaining or maintaining marketing approval, undesirable side effects may inhibit market acceptance of the approved product due to their tolerability versus other therapies. In addition, an extended half-life could prolong the duration of undesirable side effects, which could also inhibit market acceptance. Treatment-emergent adverse events could also affect participant recruitment or the ability of enrolled subjects to complete our clinical trials or could result in potential product liability claims. Potential side effects associated with our product candidates may not be appropriately recognized or managed by the treating medical staff, as toxicities resulting from our product candidates may not be normally encountered in the general patient population and by medical personnel. Any of these occurrences could harm our business, financial condition, results of operations and prospects significantly.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even if we successfully advance our product candidates or any future product candidates through clinical trials, such trials will only include a limited number of participants and limited duration of exposure to our product candidates. As a result, we cannot be assured that adverse effects of our product candidates will not be uncovered when a significantly larger number of participants are exposed to the product candidate after approval. Further, any clinical trials may not be sufficient to determine the effect and safety consequences of using our product candidates over a multi-year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foregoing events occur or if one or more of the research programs with respect to which we have the option to acquire intellectual property license rights to pursuant to the Option Agreements prove to be unsafe, our entire pipeline could be affected, which would have a material adverse effect on our business, financial condition, results of operations and prospects.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limited resources to pursue a particular program and fail to capitalize on programs that may be more profitable or for which there is a greater likelihood of success.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limited financial and managerial resources, we focus our research and development efforts on certain selected programs. For example, we are initially focused on our most advanced programs, ORKA-001 and ORKA-002.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we would have been more advantageous for us to retain sole development and commercialization rights to such product candidate.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regulatory approval is obtained for a product candidate resulting from one of our current or future programs, they may not gain market acceptance among physicians,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 PsO. However, our programs incorporate advanced antibody engineering to optimize the half-life and formulation of antibodies; to date, no such antibody has been approved by the FDA for the treatment of PsO. Market participants with significant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An extended half-life may make it more difficult for patients to change treatments and there is a perception that half-life extension could exacerbate side effects, each of which may adversely affect our ability to gain market acceptance. Market acceptance of our product candidates will depend on many factors, including factors that are not within our control.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of our product candidates is approved but does not achieve an adequate level of acceptance by such parties, we may not generate or derive sufficient revenue from that product candidate and may not become or remain profitable.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programs may compete with our other programs, which could negatively impact our business and reduce our future revenue.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product candidates for the same indication, PsO, and may in the future develop our programs for other I&amp;I indications. Each such program targets a different mechanism of action. However, developing multiple programs for a single indication may negatively impact our business if the programs compete with each other. For example, if multiple programs are conducting clinical trials at the same time, they could compete for the enrollment of participants. In addition, if multiple product candidates are approved for the same indication, they may compete for market share, which could limit our future revenue.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conduct clinical trials for programs at sites outside the United States, and the FDA may not accept data from trials conducted in such locations.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conduct one or more of our future clinical trials outside the United States.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upon the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United States or to continue such trials once initiated.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conducting clinical trials outside of the U.S. presents additional risks that may delay completion of our clinical trials. These risks include the failure of enrolled participants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potential restrictions on data generated from the clinical trial, foreign exchange fluctuations, diminished protection of intellectual property in some countries, as well as political and economic risks relevant to foreign countries.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Before obtaining regulatory approvals for the commercial sale of our product candidates, including our most advanced programs, ORKA-001 and ORKA-002, we must demonstrate through lengthy, complex and expensive preclinical studies and clinical trials that our product candidates are both safe and effective for each targeted indication. 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and effective for our proposed indication; the results of clinical trials may not meet the level of statistical significance required by the FDA or comparable foreign regulatory authorities for approval; serious and unexpected drug-related side effects may be experienced by participants in our clinical trials or by individuals using drugs similar to our product candidates; we may be unable to demonstrate that a product candidate’s clinical and other benefits outweigh our safety risks; the FDA or comparable foreign regulatory authorities may disagree with our interpretation of data from preclinical studies or clinical trials; the data collected from clinical trials of our product candidates may not be acceptable or sufficient to support the submission of a BLA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our product candidates;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meet requirements for the chemistry, manufacturing and control of our programs.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receive approval of our products by the FDA and comparable foreign regulatory authorities, we must show that we and our CMO partners are able to characterize, control and manufacture our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our drug products meet stability requirements. Meeting these chemistry, manufacturing and control requirements is a complex task that requires specialized expertise. If we are not able to meet the chemistry, manufacturing and control requirements, we may not be successful in getting our products approved.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for which we intend to seek approval as biologics may face competition sooner than anticipated.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Protection and Affordable Act, as amended by the Healthcare and Education Reconciliation Act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receive regulatory approval of our product candidates, we will be subject to extensive ongoing regulatory obligations and continued regulatory review and may result in restrictions on the use of the product, which may result in significant additional expense and we may be subject to penalties if we fail to comply with regulatory requirements or experience unanticipated problems with our product candidates.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our product candidates,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difficulties from healthcare legislative reform measures.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operations and current and future arrangements with investigators, healthcare professionals, consultants, third-party payors, patient organizations and customers will be subject to applicable healthcare regulatory laws, including conflicts of interest rules, which could expose us to penalties.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Principal investigators for our clinical trials may serve as scientific advisors or consultants to us or may be affiliated with our other service providers, including CROs or site management organizations, and from time to time may receive cash compensation in connection with such services. If these relationships and any related compensation result in perceived or actual conflicts of interest, the integrity of the data generated at the applicable clinical trial site or in the applicable trial may be questioned or jeopardized.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are able to commercialize any product candidates, due to unfavorable pricing regulations and/or third-party coverage and reimbursement policies, we may not be able to offer such product candidates at competitive prices which would seriously harm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seek approval to market our product candidates in the United States and in selected foreign jurisdictions. If we obtain approval in one or more foreign jurisdictions for our product candidates, we will be subject to rules and regulations in those jurisdictions. Our ability to successfully commercialize any product candidates that we may develop will depend in part on the extent to which reimbursement for these product candidates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product candidates, we may become subject to significant liability, which would materially adversely affect our business and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Governments outside the United States tend to impose strict price controls, which may adversely affect our revenue, if 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countries, particularly member states of the EU (“EU Member States”),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Brexit could lead to legal uncertainty and potentially divergent national laws and regulations, including those related to the pricing of prescription pharmaceuticals, as the United Kingdom (“UK”) determines which EU laws to replicate or replace. If the UK were to significantly alter its regulations affecting the pricing of prescription pharmaceuticals, we could face significant new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breakthrough therapy, fast track, or other expedited designation for our product candidates may not lead to a faster development or regulatory review or approval process, and it does not increase the likelihood that those product candidates will receive marketing approval.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a breakthrough therapy, fast track, or other designation for appropriate product candidates. Designations such as these are within the discretion of the FDA, or other comparable regulatory authorities. The receipt of a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qualifies under one of FDA’s designation programs, the FDA may later decide that the products no longer meet the conditions for qualification or decide that the time period for FDA review or approval will not be shortened.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and protect our patents and other proprietary rights is uncertain, exposing us to the possible loss of competitive advantage.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upon a combination of patents, trademarks, trade secret protection, confidentiality agreements and the Option Agreements to protect the intellectual property related to our programs and technologies and to prevent third parties from competing unfairly with it. Our success depends in large part on our ability to obtain and maintain patent protection for our platform technologies, programs and their uses, as well as our ability to operate without infringing on or violating the proprietary rights of others. Paragon has filed provisional patent applications and intends to file one or more additional provisional patent applications directed to antibodies that target IL-23, including applications covering composition of matter, pharmaceutical formulations, and methods of using such antibodies, including ORKA-001. In addition, Paragon has filed provisional patent applications and intends to file one or more additional provisional patent applications directed to antibodies that target IL-17, including applications covering composition of matter, pharmaceutical formulations, and methods of using such antibodies, including ORKA-002.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would be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pending and future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would be reduced. Thus, the patents that we may own and license may not afford us any meaningful competitive advantage.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if our trademarks and trade names are not registered or adequately protected, then we may not be able to build name recognition in our markets of interest and our business may be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obtaining or maintaining necessary rights to our programs through acquisitions and in-licenses.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development programs currently do and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do obtain, we may have to abandon development of the relevant program, which could have a material adverse effect on our business, financial condition, results of operations, and prospects.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plan to obtain the right to control prosecution, maintenance and enforcement of the patents relating to our programs, there may be times when the filing and prosecution activities for patents and patent applications relating to our programs are controlled by our current and future licensors or collaboration partners. If any of our current and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our counsel that took place prior to the date upon which we assumed control over patent prosecution.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licensors may rely on third-party consultants or collaborators or on funds from third parties such that our future licensors are not the sole and exclusive owners of the patents we in-license. If other third parties have ownership rights to our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programs,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between us and our future licensors regarding intellectual property subject to a license agreement, including: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patent infringement claims or may need to file claims to protect our intellectual property, which could result in substantial costs and liability and prevent us from commercializing our potential products.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intellectual property landscape in the biotechnology industry is rapidly evolving and interdisciplinary, it is difficult to conclusively assess our freedom to operate and guarantee that we can operate without infringing on or violating third-party rights. If certain of our product candidates are ultimately granted regulatory approval, patent rights held by third parties, if found to be valid and enforceable, could be alleged to render one or more of our product candidates infringing. If a third party successfully brings a claim against us, we may be required to pay substantial damages, be forced to abandon any affected product candidate and/or seek a license from the patent holder. In addition, any intellectual property claims (e.g., patent infringement or trade secret theft) brought against us, whether or not successful, may cause us to incur significant legal expenses and divert the attention of our management and key personnel from other business concerns. We cannot be certain that patents owned or licensed by us will not be challenged by others in the course of litigation.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we have wrongfully hired an employee from a competitor or that our employees, consultants or independent contractors have wrongfully used or disclosed confidential information of third parties.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common in the biotechnology industry, in addition to our employees, we engage the services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patent laws in the United States and other jurisdictions could diminish the value of patents in general, thereby impairing our ability to protect our products.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either the patent laws or interpretation of patent laws in the United States, including patent reform legislation such as the Leahy-Smith America Invents Act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Times New Roman;Times;Serif" w:hAnsi="Times New Roman;Times;Serif"/>
          <w:b w:val="false"/>
          <w:i/>
          <w:caps w:val="false"/>
          <w:smallCaps w:val="false"/>
          <w:sz w:val="20"/>
        </w:rPr>
        <w:t>Amgen, Inc. v. Sanofi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Amgen</w:t>
      </w:r>
      <w:r>
        <w:rPr>
          <w:rFonts w:ascii="Times New Roman;Times;Serif" w:hAnsi="Times New Roman;Times;Serif"/>
          <w:b w:val="false"/>
          <w:i w:val="false"/>
          <w:caps w:val="false"/>
          <w:smallCaps w:val="false"/>
          <w:sz w:val="20"/>
        </w:rPr>
        <w:t>) recently held that Amgen’s patent claims to a class of antibodies functionally defined by their ability to bind a particular antigen were invalid for lack of enablement where the patent specification provided twenty-six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w:t>
      </w:r>
      <w:r>
        <w:rPr>
          <w:rFonts w:ascii="Times New Roman;Times;Serif" w:hAnsi="Times New Roman;Times;Serif"/>
          <w:b w:val="false"/>
          <w:i/>
          <w:caps w:val="false"/>
          <w:smallCaps w:val="false"/>
          <w:sz w:val="20"/>
        </w:rPr>
        <w:t>Amgen</w:t>
      </w:r>
      <w:r>
        <w:rPr>
          <w:rFonts w:ascii="Times New Roman;Times;Serif" w:hAnsi="Times New Roman;Times;Serif"/>
          <w:b w:val="false"/>
          <w:i w:val="false"/>
          <w:caps w:val="false"/>
          <w:smallCaps w:val="false"/>
          <w:sz w:val="20"/>
        </w:rPr>
        <w:t> or other recent precedential court decisions. Additionally, there have been proposals for additional changes to the patent laws of the United States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instability in the United States and in foreign countries could increase the uncertainties and costs surrounding the prosecution or maintenance of patent applications and the maintenance, enforcement or defense of issued patents. For example, the United States’ and foreign governments’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European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currently own any European patents or applications,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products or technology similar to ours. Any such patent application may have priority over our patent applications or patents, which could require us to obtain rights to issued patents covering such technologies.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claims challenging the inventorship or ownership of our patents and other intellectual property.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licensors may rely on third-party consultants or collaborators or on funds from third parties, such as the U.S. government, such that our licensors would not be the sole and exclusive owners of any patents we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terms may be inadequate to protect the competitive position of our product candidates for an adequate amount of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licensed from various third parties may be subject to retained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licensing arrangements with Paragon through the Option Agreements. If we are unable to maintain collaborations or licensing arrangements, or if our collaborations or licensing arrangements are not successful, our business could be negatively impacted.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our licensing arrangements with Paragon through the Option Agreements for a substantial portion of our discovery capabilities and in-licenses.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or licensing arrangements that we enter into may not be successful, and any success will depend heavily on the efforts and activities of such collaborators or licensors. If any of our current or future collaborators or licensors experience delays in performance of, or fails to perform our obligations under their agreement with us, disagrees with our interpretation of the terms of such agreement or terminates their agreement with us, the research programs with respect to which we have the option to acquire intellectual property license rights to pursuant to the Option Agreements and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strategy, we plan to evaluate additional opportunities to enhance our capabilities and expand our development pipeline or provide development or commercialization capabilities that complement ours.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utilized and plan to continue to utilize and depend upon independent investigators and collaborators, such as medical institutions, CROs, contract testing labs, CMOs and strategic partners, to supply,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all of our programs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or refuse to approve our marketing applications. We cannot assure you that upon inspection by a given regulatory authority, such regulatory authority will determine that any of our clinical trials comply with GCP regulations. In addition, our clinical trials must be conducted with products produced under cGMP regulations. Our failure to comply with these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third parties conducting our clinical trials will not be our employees and, except for remedies available to us under our agreements with such third parties, we cannot control whether they devote sufficient time and resources to our programs. These third parties may be involved in mergers,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currently rely on foreign CROs and CMOs, including WuXi Biologics (Hong Kong) Limited and its affiliates (“WuXi Biologics”) and will likely continue to rely on foreign CROs and CMOs in the future. WuXi is a subsidiary or affiliate of WuXi Biologics, which is identified in the proposed U.S. legislation known as the BIOSECURE Act as a biotechnology “company of concern.” The current version of the BIOSECURE Act introduced in the House of Representatives would prohibit federal agencies from entering into procurement contracts with, as well as providing grants and loans to, an entity that uses biotechnology equipment or services from a biotechnology company of concern, and includes a grandfathering provision allowing biotechnology equipment and services provided or produced by named “biotechnology companies of concern” under a contract or agreement entered into before the effective date until January 1, 2032. The pathway and timing for the BIOSECURE Act or its provisions to become law are uncertain, although the bill was passed in the House of Representatives on September 9, 2024. Depending on whether the BIOSECURE Act becomes law, what the final language of the BIOSECURE Act includes, and how the law is interpreted by U.S. federal agencies, we could be potentially restricted from pursuing U.S. federal government business or grants in the future if we continue to use WuXi or other parties identified as “biotechnology companies of concern” beyond the grandfathering period. Foreign CMOs may be subject to U.S. legislation, including the proposed BIOSECURE bill,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it to delay our clinical development programs. Furthermore, if the BIOSECURE bill is passed and one or more of our collaborators in China, including WuXi Biologics, is deemed to be a biotechnology company of concern, our operations and financial condition may be negatively impacted as a result of any delays or increased costs arising from the trade restrictions and other foreign regulatory requirements affecting such collaborators. In addition, while we have established relationships with CROs and CMOs outside of China, moving to those suppliers in the event of a geopolitical instability affecting our collaborators in China could introduce delays into the development program.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any facility that may be used as our clinical or commercial manufacturing and processing facility and must currently rely on CMOs to manufacture our product candidates. We have not yet caused any product candidates to be manufactured on a commercial scale and may not be able to do so for any of our product candidates, if approved. We currently have a sole source relationship for our supply of the ORKA-001 and ORKA-002 programs. If there should be any disruption in such supply arrangement, including any adverse events affecting our sole supplier, it could have a negative effect on the clinical development of our programs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CMOs may experience manufacturing difficulties due to resource constraints, supply chain issues,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 candidates.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Employee Matters, Managing Growth and Other Risks Related to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successfully implement our plans and strategies, we will need to grow the size of our organization and we may experience difficulties in managing this growth.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experience significant growth in the number of our employees and the scope of our operations, particularly in the areas of preclinical and clinical drug development, technical operations, clinical operations, regulatory affairs and, potentially, sales and marketing.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our key personnel and anticipate hiring new key personnel. If we are not successful in attracting and retaining highly qualified personnel, we may not be able to successfully implement our business strategy.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preclinical stage biotechnology company with a limited operating history. We have been and will continue to be highly dependent on the research and development, clinical and business development expertise of our executive officers, as well as the other principal members of our management, scientific and clinical team. Any of our management team members may terminate their employment with us at any time. We do not maintain “key person” insurance for any of our executives or other employees.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qualified personnel will also be critical to our success, including with respect to any strategic transaction that we may pursue.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rely on consultants and advisors, including scientific and clinical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may depend, in part, on our ability to operate in foreign markets, where it would be subject to additional regulatory burdens and other risks and uncertainties.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commercializes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independent contractors, consultants, commercial collaborators, principal investigators, CROs, CMOs, suppliers and vendors may engage in misconduct or other improper activities, including noncompliance with regulatory standards and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that our employees, independent contractors, consultants, commercial collaborators, principal investigators, CROs, CMOs, suppliers and vendors acting for or on our behalf may engage in misconduct or other improper activities. We have adopted a code of conduct and ethics,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internal information technology systems, or those of any of our CROs, manufacturers, other contractors or consultants, third-party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fully-remote workforce may create additional risks for our information technology systems and data because our employees work remotely and utilize network connections, computers, and devices working at home, while in transit and in public locations.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it,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management distraction; delays; and other similar harms. Security incidents and attendant consequences may cause stakeholders (including investors and potential customers) to stop supporting our platform, deter new customers from products, and negatively impact our ability to grow and operate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third parties who we work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adverse legislative or regulatory tax changes that could negatively impact our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U.S. federal, state and local income taxation are constantly under review by persons involved in the legislative process and by the Internal Revenue Service and the U.S. Treasury Department. Changes to tax laws (which may have retroactive application) could adversely affect our stockholders or us. We continue to assess the impact of various tax reform proposals and modifications to existing tax treaties in all jurisdictions where we have operations or employees to determine the potential effect on our business and any assumptions we make about our future taxable income. We cannot predict whether any specific proposals will be enacted, the terms of any such proposals or what effect, if any, such proposals would have on our business if they were to be enacted. For example, the United States enacted the Inflation Reduction Act of 2022,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The U.S. Congress is considering legislation that would restore the current deductibility of research and development expenditures; however, there is no assurance that the current provision will be repealed or otherwise modified. Such changes, among others, may adversely affect our effective tax rate, results of operation and general business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acquire businesses or products, or form strategic alliances, in the future, and may not realize the benefits of such acquisitions.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maintain our cash at financial institutions, often in balances that exceed federally-insured limits. The failure of financial institutions could adversely affect our ability to pay our operational expenses or make other payments.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held in non-interest-bearing and interest-bearing accounts exceeds the Federal Deposit Insurance Corporation (“FDIC”) insurance limits. If such banking institutions were to fail, we could lose all or a portion of those amounts held in excess of such insurance limitations. For example, the FDIC took control of Silicon Valley Bank on March 10, 2023. The Federal Reserve subsequently announced that account holders would be made whole. We currently hold a small portion of our cash and cash equivalents at Silicon Valley Bank.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exposed to costly and damaging liability claims, either when testing a product candidate in the clinical or at the commercial stage, and our product liability insurance may not cover all damages from such claims.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potential product liability and professional indemnity risks that are inherent in the research, development, manufacturing, marketing, and use of pharmaceutical products. While we currently have no products that have been approved for commercial sale, the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intend to obtain product liability insurance for our future clinical trials, it is possible that any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costs and the outcome of litigation could have a material adverse effect on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ourselves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economic downturns, inflation, fluctuation in interest rates, natural disasters, public health crises, political crises, geopolitical events, or other macroeconomic conditions, which could have a material and adverse effect on our results of operations and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fluctuation in interest rates, and uncertainty about economic stability. For example, the COVID-19 pandemic resulted in widespread unemployment, economic slowdown and extreme volatility in the capital markets. The Federal Reserve previously raised interest rates multiple times in response to concerns about inflation and it may raise them again. Fluctuation in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materials, operational, labor and employee benefit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Owning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continue to be volatile.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may be subject to significant fluctuations. Some of the factors that may cause the market price of our common stock to fluctuate include:</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timing and results of clinical trials and preclinical studies of our product candidates, or those of our competitors or our existing or future collaborators;</w:t>
            </w:r>
          </w:p>
        </w:tc>
      </w:tr>
    </w:tbl>
    <w:p>
      <w:pPr>
        <w:pStyle w:val="TextBody"/>
        <w:bidi w:val="0"/>
        <w:spacing w:before="0" w:after="0"/>
        <w:ind w:left="0" w:right="0" w:hanging="0"/>
        <w:jc w:val="left"/>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failure to meet or exceed financial and development projections that we may provide to the public;</w:t>
            </w:r>
          </w:p>
        </w:tc>
      </w:tr>
    </w:tbl>
    <w:p>
      <w:pPr>
        <w:pStyle w:val="TextBody"/>
        <w:bidi w:val="0"/>
        <w:spacing w:before="0" w:after="0"/>
        <w:ind w:left="360" w:right="0" w:hanging="0"/>
        <w:jc w:val="left"/>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17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announcements of significant or potential equity or debt sales by us;</w:t>
            </w:r>
          </w:p>
        </w:tc>
      </w:tr>
    </w:tbl>
    <w:p>
      <w:pPr>
        <w:pStyle w:val="TextBody"/>
        <w:bidi w:val="0"/>
        <w:spacing w:before="0" w:after="0"/>
        <w:ind w:left="0" w:right="0" w:hanging="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failure to meet or exceed the financial and development projections of the investment community;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failure to achieve the perceived benefits of our recent merger as rapidly or to the extent anticipated by financial or industry analysts;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announcements of significant acquisitions, strategic collaborations, joint ventures or capital commitments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actions taken by regulatory agencies with respect to our product candidates, clinical studies, manufacturing process or sales and marketing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disputes or other developments relating to proprietary rights, including patents, litigation matters, and our ability to obtain patent protection for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or departures of key personnel, including scientific or management personnel;</w:t>
            </w:r>
          </w:p>
        </w:tc>
      </w:tr>
    </w:tbl>
    <w:p>
      <w:pPr>
        <w:pStyle w:val="TextBody"/>
        <w:bidi w:val="0"/>
        <w:spacing w:before="0" w:after="0"/>
        <w:ind w:left="0" w:right="0" w:hanging="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significant lawsuits, including patent or stockholder litigation;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securities or industry analysts do not publish research or reports about our business, or if they issue adverse or misleading opinions regarding our business and stock;</w:t>
            </w:r>
          </w:p>
        </w:tc>
      </w:tr>
    </w:tbl>
    <w:p>
      <w:pPr>
        <w:pStyle w:val="TextBody"/>
        <w:bidi w:val="0"/>
        <w:spacing w:before="0" w:after="0"/>
        <w:ind w:left="0" w:right="0" w:hanging="0"/>
        <w:jc w:val="left"/>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the market valuations of similar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market, macroeconomic or geopolitical conditions or market conditions in the pharmaceutical and biotechnology sectors;</w:t>
            </w:r>
          </w:p>
        </w:tc>
      </w:tr>
    </w:tbl>
    <w:p>
      <w:pPr>
        <w:pStyle w:val="TextBody"/>
        <w:bidi w:val="0"/>
        <w:spacing w:before="0" w:after="0"/>
        <w:ind w:left="0" w:right="0" w:hanging="0"/>
        <w:jc w:val="left"/>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securities by us or our securityholders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we fail to raise an adequate amount of capital to fund our operations or continued development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trading volume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announcements by competitors of new commercial products, clinical progress or lack thereof, significant contracts, commercial relationships or capital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adverse publicity relating to precision medicine product candidates, including with respect to other products in such markets;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introduction of technological innovations or new therapies that compete with our products; and</w:t>
            </w:r>
          </w:p>
        </w:tc>
      </w:tr>
    </w:tbl>
    <w:p>
      <w:pPr>
        <w:pStyle w:val="TextBody"/>
        <w:bidi w:val="0"/>
        <w:spacing w:before="0" w:after="0"/>
        <w:ind w:left="0" w:right="0" w:hanging="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period-to-period fluctuations in our financial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and bylaws, as well as provisions under Delaware law, could make an acquisition of the company more difficult and may prevent attempts by our stockholders to replace or remove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current management by making it more difficult for stockholders to replace members of our board of directors. Among other things, these provisions:</w:t>
      </w:r>
    </w:p>
    <w:p>
      <w:pPr>
        <w:pStyle w:val="TextBody"/>
        <w:bidi w:val="0"/>
        <w:spacing w:before="0" w:after="0"/>
        <w:ind w:left="0" w:right="0" w:hanging="0"/>
        <w:jc w:val="left"/>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establish a classified board of directors such that all members of the board are not elected at one time;</w:t>
            </w:r>
          </w:p>
        </w:tc>
      </w:tr>
    </w:tbl>
    <w:p>
      <w:pPr>
        <w:pStyle w:val="TextBody"/>
        <w:bidi w:val="0"/>
        <w:spacing w:before="0" w:after="0"/>
        <w:ind w:left="0" w:right="0" w:hanging="0"/>
        <w:jc w:val="left"/>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170"/>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 the authorized number of our directors to be changed only by resolution of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38"/>
        <w:gridCol w:w="17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 the manner in which stockholders can remove directors from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establish advance notice requirements for nominations for election to the board of directors or for proposing matters that can be acted on at stockholder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require that stockholder actions must be effected at a duly called stockholder meeting and prohibit actions by our stockholders by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 who may call a special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require the approval of the holders of at least 66 2/3% of the votes that all stockholders would be entitled to cast to amend or repeal certain provisions of our charter or bylaws.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we are incorporated in Delaware, we are governed by the provisions of Section 203 of the Delaware General Corporation Law (“DGCL”), which prohibits stockholders owning in excess of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governing documents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governing documents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or our stockholders, (iii) any action asserting a claim arising pursuant to any provision of the DGCL, the certificate of incorporation or the bylaws, (iv) any action to interpret, apply, enforce or determine the validity of the certificate of incorporation or bylaws, or (v)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Our governing documents further provide that, unless we consent in writing to an alternative forum, the federal district courts of the United States will be the exclusive forum for resolving any complaint asserting a cause of action arising under the Securities Act, which for purposes of this risk factor refers to herein as the “Federal Forum Provision.” Neither the Delaware Forum Provision nor the Federal Forum Provision will apply to any causes of action arising under the Exchange Act. In addition, any person or entity purchasing or otherwise acquiring any interest in shares of our capital stock will be deemed to have notice of and consented to the foregoing Delaware Forum Provision and Federal Forum Provision; provided, however, that stockholders cannot and will not be deemed to have waived our compliance with the U.S. federal securities laws and the rules and regulations thereunder.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Forum Provision and the Federal Forum Provision may impose additional litigation costs on our stockholders in pursuing any such claims, particularly if such stockholders do not reside in or near the State of Delaware. Additionally, these forum selection clauses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by existing stockholders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sell, or indicate an intention to sell, substantial amounts of our common stock in the public market after legal restrictions on resale lapse, the trading price of our common stock could decline. In addition, shares of our common stock that are subject to our outstanding options will become eligible for sale in the public market to the extent permitted by the provisions of various vesting agreements and Rules 144 and 701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that we will pay any cash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that we will pay any cash dividends in the foreseeable future. The current expectation is that we will retain our future earnings, if any, to fund the development and growth of our business. As a result, capital appreciation, if any, of our common stock will be your sole source of gain, if any,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directors and principal stockholders have the ability to control or significantly influence all matters submitted to our stockholders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and principal stockholders beneficially own a significant percentage of our outstanding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our acquisition on terms that other stockholders may desire.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publish unfavorable research or reports about us, our business or our market, our stock price and trading volume could decline.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If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Plans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September 30, 2024, no director or Section 16 officer adopted or terminated any Rule 10b5-1 trading arrangements or non-Rule 10b5-1 trading arrangements (in each case, as defined in Item 408(a) of Regulation S-K).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20"/>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filed or furnished as part of this Quarterly Report are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6501"/>
        <w:gridCol w:w="60"/>
        <w:gridCol w:w="605"/>
        <w:gridCol w:w="60"/>
        <w:gridCol w:w="860"/>
        <w:gridCol w:w="60"/>
        <w:gridCol w:w="1109"/>
      </w:tblGrid>
      <w:tr>
        <w:trPr/>
        <w:tc>
          <w:tcPr>
            <w:tcW w:w="89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center"/>
              <w:rPr/>
            </w:pPr>
            <w:r>
              <w:rPr/>
              <w:t> </w:t>
            </w:r>
          </w:p>
        </w:tc>
        <w:tc>
          <w:tcPr>
            <w:tcW w:w="650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center"/>
              <w:rPr/>
            </w:pPr>
            <w:r>
              <w:rPr/>
              <w:t> </w:t>
            </w:r>
          </w:p>
        </w:tc>
        <w:tc>
          <w:tcPr>
            <w:tcW w:w="6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center"/>
              <w:rPr/>
            </w:pPr>
            <w:r>
              <w:rPr/>
              <w:t> </w:t>
            </w:r>
          </w:p>
        </w:tc>
        <w:tc>
          <w:tcPr>
            <w:tcW w:w="110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center"/>
              <w:rPr/>
            </w:pPr>
            <w:r>
              <w:rPr/>
              <w:t> </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pPr>
            <w:hyperlink r:id="rId2">
              <w:r>
                <w:rPr>
                  <w:rStyle w:val="InternetLink"/>
                </w:rPr>
                <w:t>Agreement and Plan of Merger and Reorganization, dated as of April 3, 2024, by and among ARCA biopharma, Inc., Atlas Merger Sub Corp., Atlas Merger Sub II, LLC and Oruka Therapeutics, Inc.</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3, 2024</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pPr>
            <w:hyperlink r:id="rId3">
              <w:r>
                <w:rPr>
                  <w:rStyle w:val="InternetLink"/>
                </w:rPr>
                <w:t>Amended and Restated Certificate of Incorporation of the Company, filed September 3, 2024.</w:t>
              </w:r>
            </w:hyperlink>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6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pPr>
            <w:hyperlink r:id="rId4">
              <w:r>
                <w:rPr>
                  <w:rStyle w:val="InternetLink"/>
                </w:rPr>
                <w:t>Amended and Restated Bylaws of the Company.</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Form of Certificate of Designation of Preferences, Rights and Limitations of Series A Convertible Preferred Stock.</w:t>
              </w:r>
            </w:hyperlink>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3.1(b)</w:t>
            </w:r>
          </w:p>
        </w:tc>
        <w:tc>
          <w:tcPr>
            <w:tcW w:w="6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24, 2013</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rPr>
                <w:t>Certificate of Elimination of Series A Convertible Preferred Stock</w:t>
              </w:r>
            </w:hyperlink>
            <w:hyperlink r:id="rId7">
              <w:r>
                <w:rPr>
                  <w:rStyle w:val="InternetLink"/>
                  <w:rFonts w:ascii="Times New Roman;Times;Serif" w:hAnsi="Times New Roman;Times;Serif"/>
                  <w:sz w:val="20"/>
                </w:rPr>
                <w:t>, effective August 29, 2024</w:t>
              </w:r>
            </w:hyperlink>
            <w:hyperlink r:id="rId8">
              <w:r>
                <w:rPr>
                  <w:rStyle w:val="InternetLink"/>
                  <w:rFonts w:ascii="Times New Roman;Times;Serif" w:hAnsi="Times New Roman;Times;Serif"/>
                </w:rPr>
                <w: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Certificate of Designation of Preferences, Rights and Limitations of Series B Non-Voting Convertible Preferred Stock.</w:t>
              </w:r>
            </w:hyperlink>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c>
          <w:tcPr>
            <w:tcW w:w="6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pPr>
            <w:hyperlink r:id="rId10">
              <w:r>
                <w:rPr>
                  <w:rStyle w:val="InternetLink"/>
                </w:rPr>
                <w:t>Certificate of Designation of Preferences, Rights and Limitations of Series A Non-Voting Convertible Preferred Stock.</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Investor Rights Agreement, dated March 6, 2024, by and among Oruka Therapeutics, Inc. and certain parties thereto.</w:t>
              </w:r>
            </w:hyperlink>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14, 2024</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Form of Pre-Funded Warrant.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Form of Amendment to Oruka Subscription Agreement.</w:t>
              </w:r>
            </w:hyperlink>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9, 2024</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Form of Amended &amp; Restated Oruka Subscription Agreement.</w:t>
              </w:r>
            </w:hyperlink>
            <w:r>
              <w:rPr>
                <w:rFonts w:ascii="Times New Roman;Times;Serif" w:hAnsi="Times New Roman;Times;Serif"/>
                <w:sz w:val="20"/>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9, 2024</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sz w:val="20"/>
                </w:rPr>
                <w:t>Asset Purchase Agreement, dated August 14, 2024, by and between ARCA biopharma, Inc. and Genvara Biopharma, Inc.</w:t>
              </w:r>
            </w:hyperlink>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15, 2024</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pPr>
            <w:hyperlink w:anchor="ea021692901ex10-4_oruka.htm">
              <w:r>
                <w:rPr>
                  <w:rStyle w:val="InternetLink"/>
                </w:rPr>
                <w:t xml:space="preserve">Form of </w:t>
              </w:r>
            </w:hyperlink>
            <w:hyperlink w:anchor="ea021692901ex10-4_oruka.htm">
              <w:r>
                <w:rPr>
                  <w:rStyle w:val="InternetLink"/>
                  <w:rFonts w:ascii="Times New Roman;Times;Serif" w:hAnsi="Times New Roman;Times;Serif"/>
                  <w:sz w:val="20"/>
                </w:rPr>
                <w:t xml:space="preserve">Registration Rights Agreement, dated as of August 29, 2024. </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Filed herewith</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rPr>
                <w:t xml:space="preserve">Securities Purchase Agreement, dated September 11, 2024, by and between </w:t>
              </w:r>
            </w:hyperlink>
            <w:hyperlink r:id="rId17">
              <w:r>
                <w:rPr>
                  <w:rStyle w:val="InternetLink"/>
                  <w:rFonts w:ascii="Times New Roman;Times;Serif" w:hAnsi="Times New Roman;Times;Serif"/>
                  <w:sz w:val="20"/>
                </w:rPr>
                <w:t>the Company</w:t>
              </w:r>
            </w:hyperlink>
            <w:hyperlink r:id="rId18">
              <w:r>
                <w:rPr>
                  <w:rStyle w:val="InternetLink"/>
                  <w:rFonts w:ascii="Times New Roman;Times;Serif" w:hAnsi="Times New Roman;Times;Serif"/>
                </w:rPr>
                <w:t xml:space="preserve"> and each purchaser identified on Annex A thereto.</w:t>
              </w:r>
            </w:hyperlink>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Form of Registration Rights Agreement, dated as of September 13,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2024</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pPr>
            <w:hyperlink r:id="rId20">
              <w:r>
                <w:rPr>
                  <w:rStyle w:val="InternetLink"/>
                  <w:rFonts w:ascii="Times New Roman;Times;Serif" w:hAnsi="Times New Roman;Times;Serif"/>
                  <w:sz w:val="20"/>
                </w:rPr>
                <w:t>Consulting Agreement, effective as of August 30, 2024, by and between the Company and Jeff Dekker.</w:t>
              </w:r>
            </w:hyperlink>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10.25</w:t>
            </w:r>
          </w:p>
        </w:tc>
        <w:tc>
          <w:tcPr>
            <w:tcW w:w="6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pPr>
            <w:hyperlink w:anchor="ea021692901ex31-1_oruka.htm">
              <w:r>
                <w:rPr>
                  <w:rStyle w:val="InternetLink"/>
                  <w:rFonts w:ascii="Times New Roman;Times;Serif" w:hAnsi="Times New Roman;Times;Serif"/>
                  <w:sz w:val="20"/>
                </w:rPr>
                <w:t>Certification of the Principal Executive Officer pursuant to Rule 13a-14(a) or 15d-14(a) promulgated under the Securities Exchange Act of 1934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pPr>
            <w:hyperlink w:anchor="ea021692901ex31-2_oruka.htm">
              <w:r>
                <w:rPr>
                  <w:rStyle w:val="InternetLink"/>
                  <w:rFonts w:ascii="Times New Roman;Times;Serif" w:hAnsi="Times New Roman;Times;Serif"/>
                  <w:sz w:val="20"/>
                </w:rPr>
                <w:t>Certification of the Principal Financial Officer pursuant to Rule 13a-14(a) or 15d-14(a) promulgated under the Securities Exchange Act of 1934</w:t>
              </w:r>
            </w:hyperlink>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center"/>
              <w:rPr/>
            </w:pPr>
            <w:r>
              <w:rPr/>
              <w:t> </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pPr>
            <w:hyperlink w:anchor="ea021692901ex32-1_oruka.htm">
              <w:r>
                <w:rPr>
                  <w:rStyle w:val="InternetLink"/>
                  <w:rFonts w:ascii="Times New Roman;Times;Serif" w:hAnsi="Times New Roman;Times;Serif"/>
                  <w:sz w:val="20"/>
                </w:rPr>
                <w:t>Certification of the Principal Executive Officer and Principal Financial Officer pursuant to 18 U.S.C. Section 1350 and Rule 13a-14(B) promulgated under the Securities Exchange Act of 1934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center"/>
              <w:rPr/>
            </w:pPr>
            <w:r>
              <w:rPr/>
              <w:t> </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with Embedded Linkbases Document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9" w:type="dxa"/>
            <w:tcBorders/>
            <w:shd w:fill="CCEEFF" w:val="clear"/>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both"/>
              <w:rPr>
                <w:sz w:val="20"/>
              </w:rPr>
            </w:pPr>
            <w:r>
              <w:rPr>
                <w:sz w:val="20"/>
              </w:rPr>
              <w:t>101.CAL</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sz w:val="20"/>
              </w:rPr>
            </w:pPr>
            <w:r>
              <w:rPr>
                <w:sz w:val="20"/>
              </w:rPr>
              <w:t>Inline XBRL Taxonomy Extension Calculation Linkbase Document.</w:t>
            </w:r>
          </w:p>
        </w:tc>
        <w:tc>
          <w:tcPr>
            <w:tcW w:w="2754" w:type="dxa"/>
            <w:gridSpan w:val="6"/>
            <w:tcBorders/>
            <w:tcMar>
              <w:bottom w:w="0" w:type="dxa"/>
            </w:tcMar>
          </w:tcPr>
          <w:p>
            <w:pPr>
              <w:pStyle w:val="TableContents"/>
              <w:bidi w:val="0"/>
              <w:spacing w:before="0" w:after="283"/>
              <w:jc w:val="left"/>
              <w:rPr>
                <w:sz w:val="4"/>
                <w:szCs w:val="4"/>
              </w:rPr>
            </w:pPr>
            <w:r>
              <w:rPr>
                <w:sz w:val="4"/>
                <w:szCs w:val="4"/>
              </w:rPr>
            </w:r>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sz w:val="20"/>
              </w:rPr>
            </w:pPr>
            <w:r>
              <w:rPr>
                <w:sz w:val="20"/>
              </w:rPr>
              <w:t>Inline XBRL Taxonomy Extension Definition Linkbase Document.</w:t>
            </w:r>
          </w:p>
        </w:tc>
        <w:tc>
          <w:tcPr>
            <w:tcW w:w="2754" w:type="dxa"/>
            <w:gridSpan w:val="6"/>
            <w:tcBorders/>
            <w:shd w:fill="CCEEFF" w:val="clear"/>
            <w:tcMar>
              <w:bottom w:w="0" w:type="dxa"/>
            </w:tcMar>
          </w:tcPr>
          <w:p>
            <w:pPr>
              <w:pStyle w:val="TableContents"/>
              <w:bidi w:val="0"/>
              <w:spacing w:before="0" w:after="283"/>
              <w:jc w:val="left"/>
              <w:rPr>
                <w:sz w:val="4"/>
                <w:szCs w:val="4"/>
              </w:rPr>
            </w:pPr>
            <w:r>
              <w:rPr>
                <w:sz w:val="4"/>
                <w:szCs w:val="4"/>
              </w:rPr>
            </w:r>
          </w:p>
        </w:tc>
      </w:tr>
      <w:tr>
        <w:trPr/>
        <w:tc>
          <w:tcPr>
            <w:tcW w:w="890" w:type="dxa"/>
            <w:tcBorders/>
            <w:tcMar>
              <w:bottom w:w="0" w:type="dxa"/>
            </w:tcMar>
            <w:vAlign w:val="center"/>
          </w:tcPr>
          <w:p>
            <w:pPr>
              <w:pStyle w:val="TableContents"/>
              <w:bidi w:val="0"/>
              <w:spacing w:before="0" w:after="283"/>
              <w:jc w:val="both"/>
              <w:rPr>
                <w:sz w:val="20"/>
              </w:rPr>
            </w:pPr>
            <w:r>
              <w:rPr>
                <w:sz w:val="20"/>
              </w:rPr>
              <w:t>101.LAB</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sz w:val="20"/>
              </w:rPr>
            </w:pPr>
            <w:r>
              <w:rPr>
                <w:sz w:val="20"/>
              </w:rPr>
              <w:t>Inline XBRL Taxonomy Extension Label Linkbase Document.</w:t>
            </w:r>
          </w:p>
        </w:tc>
        <w:tc>
          <w:tcPr>
            <w:tcW w:w="2754" w:type="dxa"/>
            <w:gridSpan w:val="6"/>
            <w:tcBorders/>
            <w:tcMar>
              <w:bottom w:w="0" w:type="dxa"/>
            </w:tcMar>
          </w:tcPr>
          <w:p>
            <w:pPr>
              <w:pStyle w:val="TableContents"/>
              <w:bidi w:val="0"/>
              <w:spacing w:before="0" w:after="283"/>
              <w:jc w:val="left"/>
              <w:rPr>
                <w:sz w:val="4"/>
                <w:szCs w:val="4"/>
              </w:rPr>
            </w:pPr>
            <w:r>
              <w:rPr>
                <w:sz w:val="4"/>
                <w:szCs w:val="4"/>
              </w:rPr>
            </w:r>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1" w:type="dxa"/>
            <w:tcBorders/>
            <w:shd w:fill="CCEEFF" w:val="clear"/>
            <w:tcMar>
              <w:bottom w:w="0" w:type="dxa"/>
            </w:tcMar>
            <w:vAlign w:val="center"/>
          </w:tcPr>
          <w:p>
            <w:pPr>
              <w:pStyle w:val="TableContents"/>
              <w:bidi w:val="0"/>
              <w:spacing w:before="0" w:after="283"/>
              <w:jc w:val="left"/>
              <w:rPr>
                <w:sz w:val="20"/>
              </w:rPr>
            </w:pPr>
            <w:r>
              <w:rPr>
                <w:sz w:val="20"/>
              </w:rPr>
              <w:t>Inline XBRL Taxonomy Extension Presentation Linkbase Document.</w:t>
            </w:r>
          </w:p>
        </w:tc>
        <w:tc>
          <w:tcPr>
            <w:tcW w:w="2754" w:type="dxa"/>
            <w:gridSpan w:val="6"/>
            <w:tcBorders/>
            <w:shd w:fill="CCEEFF" w:val="clear"/>
            <w:tcMar>
              <w:bottom w:w="0" w:type="dxa"/>
            </w:tcMar>
          </w:tcPr>
          <w:p>
            <w:pPr>
              <w:pStyle w:val="TableContents"/>
              <w:bidi w:val="0"/>
              <w:spacing w:before="0" w:after="283"/>
              <w:jc w:val="left"/>
              <w:rPr>
                <w:sz w:val="4"/>
                <w:szCs w:val="4"/>
              </w:rPr>
            </w:pPr>
            <w:r>
              <w:rPr>
                <w:sz w:val="4"/>
                <w:szCs w:val="4"/>
              </w:rPr>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09"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left"/>
              <w:rPr/>
            </w:pPr>
            <w:r>
              <w:rPr/>
              <w:t>Furnished herewith. The certifications on Exhibit 32.1 hereto are deemed not “filed” for purposes of Section 18 of the Exchange Act or otherwise subject to the liability of that Section. Such certifications will not be deemed incorporated by reference into any filing under the Securities Act or the Exchange Act.</w:t>
            </w:r>
          </w:p>
        </w:tc>
      </w:tr>
    </w:tbl>
    <w:tbl>
      <w:tblPr>
        <w:tblW w:w="5283" w:type="dxa"/>
        <w:jc w:val="left"/>
        <w:tblInd w:w="0" w:type="dxa"/>
        <w:tblLayout w:type="fixed"/>
        <w:tblCellMar>
          <w:top w:w="0" w:type="dxa"/>
          <w:left w:w="0" w:type="dxa"/>
          <w:bottom w:w="0" w:type="dxa"/>
          <w:right w:w="0" w:type="dxa"/>
        </w:tblCellMar>
      </w:tblPr>
      <w:tblGrid>
        <w:gridCol w:w="38"/>
        <w:gridCol w:w="14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pPr>
            <w:r>
              <w:rPr/>
              <w:t>Indicates management contract or compensatory plan.</w:t>
            </w:r>
          </w:p>
        </w:tc>
      </w:tr>
    </w:tbl>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Exhibits and/or schedules have been omitted pursuant to Item 601(a)(5) of Regulation S-K. The Company hereby undertakes to furnish supplementally copies of any of the omitted exhibits and schedules upon request by the SEC; provided, however, that the Company may request confidential treatment pursuant to Rule 24b-2 under the Exchange Act for any exhibits or schedules so furnished. Certain portions of this exhibit (indicated by “[***]”) have been omitted because they are both (i) not material and (ii) is the type of information that the registrant both customarily and actually treats as private and confidential.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21"/>
      <w:bookmarkEnd w:id="20"/>
      <w:r>
        <w:rPr>
          <w:rFonts w:ascii="Times New Roman;Times;Serif" w:hAnsi="Times New Roman;Times;Serif"/>
          <w:b/>
          <w:i w:val="false"/>
          <w:caps w:val="false"/>
          <w:smallCaps w:val="false"/>
          <w:sz w:val="20"/>
        </w:rPr>
        <w:t>SIGNATURES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5565" w:type="dxa"/>
        <w:jc w:val="left"/>
        <w:tblInd w:w="0" w:type="dxa"/>
        <w:tblLayout w:type="fixed"/>
        <w:tblCellMar>
          <w:top w:w="0" w:type="dxa"/>
          <w:left w:w="0" w:type="dxa"/>
          <w:bottom w:w="0" w:type="dxa"/>
          <w:right w:w="0" w:type="dxa"/>
        </w:tblCellMar>
      </w:tblPr>
      <w:tblGrid>
        <w:gridCol w:w="2120"/>
        <w:gridCol w:w="320"/>
        <w:gridCol w:w="3125"/>
      </w:tblGrid>
      <w:tr>
        <w:trPr/>
        <w:tc>
          <w:tcPr>
            <w:tcW w:w="212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Oruka Therapeutics, Inc.</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13, 2024</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Lawrence Klein, PhD.</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Lawrence Klein, PhD.</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13, 2024</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Arjun Agarwal</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Arjun Agarwal</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Finance</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(Principal Financial Officer and </w:t>
              <w:b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1" w:name="ea021692901ex10-4_oruka.htm"/>
      <w:bookmarkStart w:id="22" w:name="ksea021692901ex104_oruka"/>
      <w:bookmarkEnd w:id="21"/>
      <w:bookmarkEnd w:id="22"/>
      <w:r>
        <w:rPr>
          <w:b/>
        </w:rPr>
        <w:t>Exhibit 10.4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August 29, 2024, among Oruka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ARCA biopharma, Inc.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 Delaware corporation, and each of the several purchasers signatory hereto (each such purchaser, a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party to that certain Agreement and Plan of Merger by and among the Company, Atlas Merger Sub Corp, a Delaware corporation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Atlas Merger Sub II, LLC, a Delaware limited liability company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Parent, dated as of April 3, 2024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pursuant to which (i) First Merger Sub will merge with and into the Company, with the Company becoming a wholly-owned subsidiary of Parent, and (ii) the Company will merge with and into Second Merger Sub, with Second Merger Sub being the surviving entity of the Second Merger (together,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following the Effective Time (as defined in the Merger Agreement), Parent will change its name to Oruka Therapeutics, Inc. (“</w:t>
      </w:r>
      <w:r>
        <w:rPr>
          <w:rFonts w:ascii="Times New Roman;Times;Serif" w:hAnsi="Times New Roman;Times;Serif"/>
          <w:b/>
          <w:i w:val="false"/>
          <w:caps w:val="false"/>
          <w:smallCaps w:val="false"/>
          <w:sz w:val="20"/>
        </w:rPr>
        <w:t>TopCo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Purchasers are parties to an Amended and Restated Subscription Agreement, dated as of July 3, 2024 (as amended and restated to date,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pursuant to which the Purchasers, severally and not jointly, are purchasing, prior to the Effective Time (as defined in the Merger Agreement), (i) shares of Common Stock (the “</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and (ii) if applicable, pre-funded warrants to acquire shares of Common Stock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consummation of the transactions contemplated by the Purchase Agreement, and pursuant to the terms of the Purchase Agreement, the parties desire to enter into this Agreement in order to grant certain rights to the Purchasers as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and promises set forth herein, and for other good and valuable consideration, the receipt and sufficiency of which are hereby acknowledged, the parties hereby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terms defined herein, capitalized terms used and not otherwise defined herein that are defined in the Purchase Agreement shall have the meanings given such terms in the Purchase Agreement. As used in this Agreement, the following terms shall have the following meanings: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Advice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Oruka Therapeutics, Inc. for all periods prior to the Effective Time and TopCo for all periods following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Effectiveness Date</w:t>
      </w:r>
      <w:r>
        <w:rPr>
          <w:rFonts w:ascii="Times New Roman;Times;Serif" w:hAnsi="Times New Roman;Times;Serif"/>
          <w:b w:val="false"/>
          <w:i w:val="false"/>
          <w:caps w:val="false"/>
          <w:smallCaps w:val="false"/>
          <w:sz w:val="20"/>
        </w:rPr>
        <w:t xml:space="preserve">” means, with respect to the Initial Registration Statement required to be filed hereunder, the 90th calendar day following the date hereof (or, in the event of a “full review” by the Commission, the 120th calendar day following the date hereof) and with respect to any additional Registration Statements that may be required pursuant to </w:t>
      </w:r>
      <w:r>
        <w:rPr>
          <w:rFonts w:ascii="Times New Roman;Times;Serif" w:hAnsi="Times New Roman;Times;Serif"/>
          <w:b w:val="false"/>
          <w:i w:val="false"/>
          <w:caps w:val="false"/>
          <w:smallCaps w:val="false"/>
          <w:sz w:val="20"/>
          <w:u w:val="single"/>
        </w:rPr>
        <w:t>Sections 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the 45th calendar day following the date on which an additional Registration Statement is required to be filed hereunder (or, in the event of a “full review” by the Commission, the 60th calendar day following the date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the Company is notified by the Commission (orally or in writing) that one or more of the above Registration Statements will not be reviewed or is no longer subject to further review and comments, the Effectiveness Date as to such Registration Statement shall be the fifth (5th)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Effectiveness Period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Filing Date</w:t>
      </w:r>
      <w:r>
        <w:rPr>
          <w:rFonts w:ascii="Times New Roman;Times;Serif" w:hAnsi="Times New Roman;Times;Serif"/>
          <w:b w:val="false"/>
          <w:i w:val="false"/>
          <w:caps w:val="false"/>
          <w:smallCaps w:val="false"/>
          <w:sz w:val="20"/>
        </w:rPr>
        <w:t xml:space="preserve">” means, with respect to the Initial Registration Statement required hereunder, the 45th calendar day following the date hereof and, with respect to any additional Registration Statements that may be required pursuant to </w:t>
      </w:r>
      <w:r>
        <w:rPr>
          <w:rFonts w:ascii="Times New Roman;Times;Serif" w:hAnsi="Times New Roman;Times;Serif"/>
          <w:b w:val="false"/>
          <w:i w:val="false"/>
          <w:caps w:val="false"/>
          <w:smallCaps w:val="false"/>
          <w:sz w:val="20"/>
          <w:u w:val="single"/>
        </w:rPr>
        <w:t>Sections 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on which the Company is permitted by SEC Guidance to file such additional Registration Statement related to the Registrable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 means the holder or holders, as the case may be, from time to time of Registrable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Registration Statement</w:t>
      </w:r>
      <w:r>
        <w:rPr>
          <w:rFonts w:ascii="Times New Roman;Times;Serif" w:hAnsi="Times New Roman;Times;Serif"/>
          <w:b w:val="false"/>
          <w:i w:val="false"/>
          <w:caps w:val="false"/>
          <w:smallCaps w:val="false"/>
          <w:sz w:val="20"/>
        </w:rPr>
        <w:t>” means the initial Registration Statement filed pursuant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Plan of Distribution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means, as of any date of determination, (a) all shares of TopCo common stock issued to the Purchasers at the closing of the Merger in respect of the Purchased Shares or issuable upon exercise of the Pre-Funded Warrants (collectively, the “</w:t>
      </w:r>
      <w:r>
        <w:rPr>
          <w:rFonts w:ascii="Times New Roman;Times;Serif" w:hAnsi="Times New Roman;Times;Serif"/>
          <w:b/>
          <w:i w:val="false"/>
          <w:caps w:val="false"/>
          <w:smallCaps w:val="false"/>
          <w:sz w:val="20"/>
        </w:rPr>
        <w:t>Purchase Agreement Securities</w:t>
      </w:r>
      <w:r>
        <w:rPr>
          <w:rFonts w:ascii="Times New Roman;Times;Serif" w:hAnsi="Times New Roman;Times;Serif"/>
          <w:b w:val="false"/>
          <w:i w:val="false"/>
          <w:caps w:val="false"/>
          <w:smallCaps w:val="false"/>
          <w:sz w:val="20"/>
        </w:rPr>
        <w:t xml:space="preserve">”), (b) all shares of TopCo issued at the closing of the Merger to the Purchasers in respect of all other shares of capital stock of the Company held by Purchaser as of immediately prior to the Effective Time (as defined in the Merger Agreement), (c) all shares of Parent common stock held by Purchaser as of immediately prior to the Effective Time, if any, and (d) any securities issued or then issuable upon any stock split, dividend or other distribution, recapitalization or similar event with respect to the foregoing;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any such Registrable Securities shall cease to be Registrable Securities (and the Company shall not be required to maintain the effectiveness of any, or file another, Registration Statement hereunder with respect thereto) upon the earliest to occur of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in accordance with Rule 144, (iii) such securities become eligible for resale without volume or manner-of-sale restrictions pursuant to Rule 144 and without the requirement for the Company to be in compliance with the current public information requirement under Rule 144, as reasonably determined by counsel to the Company in accordance with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and (iv) five (5) years after the date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means any registration statement required to be filed hereunder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and any additional registration statements contemplated by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415</w:t>
      </w:r>
      <w:r>
        <w:rPr>
          <w:rFonts w:ascii="Times New Roman;Times;Serif" w:hAnsi="Times New Roman;Times;Serif"/>
          <w:b w:val="false"/>
          <w:i w:val="false"/>
          <w:caps w:val="false"/>
          <w:smallCaps w:val="false"/>
          <w:sz w:val="20"/>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 Guidance</w:t>
      </w:r>
      <w:r>
        <w:rPr>
          <w:rFonts w:ascii="Times New Roman;Times;Serif" w:hAnsi="Times New Roman;Times;Serif"/>
          <w:b w:val="false"/>
          <w:i w:val="false"/>
          <w:caps w:val="false"/>
          <w:smallCaps w:val="false"/>
          <w:sz w:val="20"/>
        </w:rPr>
        <w:t>” means (i) any publicly-available written or oral guidance of the Commission staff, or any comments, requirements or requests of the Commission staff (whether or not publicly-available); provided, that any such oral guidance, comments, requirements or requests are reduced to writing by the Commission (and shared with the Purchasers if not publicly-available) and (ii)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Selling Stockholder Questionnaire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the Parent common stock is traded on a National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with the provisions of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and shall contain (unless otherwise directed by Holders holding at least 85% of Registrable Securities) disclosure substantially in the form of the “</w:t>
      </w:r>
      <w:r>
        <w:rPr>
          <w:rFonts w:ascii="Times New Roman;Times;Serif" w:hAnsi="Times New Roman;Times;Serif"/>
          <w:b/>
          <w:i w:val="false"/>
          <w:caps w:val="false"/>
          <w:smallCaps w:val="false"/>
          <w:sz w:val="20"/>
        </w:rPr>
        <w:t>Plan of Distribution</w:t>
      </w:r>
      <w:r>
        <w:rPr>
          <w:rFonts w:ascii="Times New Roman;Times;Serif" w:hAnsi="Times New Roman;Times;Serif"/>
          <w:b w:val="false"/>
          <w:i w:val="false"/>
          <w:caps w:val="false"/>
          <w:smallCaps w:val="false"/>
          <w:sz w:val="20"/>
        </w:rPr>
        <w:t xml:space="preserve">”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and substantially in the form of the “</w:t>
      </w:r>
      <w:r>
        <w:rPr>
          <w:rFonts w:ascii="Times New Roman;Times;Serif" w:hAnsi="Times New Roman;Times;Serif"/>
          <w:b/>
          <w:i w:val="false"/>
          <w:caps w:val="false"/>
          <w:smallCaps w:val="false"/>
          <w:sz w:val="20"/>
        </w:rPr>
        <w:t>Selling Stockholder</w:t>
      </w:r>
      <w:r>
        <w:rPr>
          <w:rFonts w:ascii="Times New Roman;Times;Serif" w:hAnsi="Times New Roman;Times;Serif"/>
          <w:b w:val="false"/>
          <w:i w:val="false"/>
          <w:caps w:val="false"/>
          <w:smallCaps w:val="false"/>
          <w:sz w:val="20"/>
        </w:rPr>
        <w:t xml:space="preserve">” section attached hereto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Subject to the terms of this Agreement, the Company shall use commercially reasonable efforts to cause a Registration Statement filed under this Agreement (including, without limitation, under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earlier of (a)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reasonably determined by the counsel to the Company pursuant to a written opinion letter to such effect, addressed and acceptable to the Company’s transfer agent and the affected Holders and (b) five (5) years after the date of this Agreement (the “</w:t>
      </w:r>
      <w:r>
        <w:rPr>
          <w:rFonts w:ascii="Times New Roman;Times;Serif" w:hAnsi="Times New Roman;Times;Serif"/>
          <w:b/>
          <w:i w:val="false"/>
          <w:caps w:val="false"/>
          <w:smallCaps w:val="false"/>
          <w:sz w:val="20"/>
        </w:rPr>
        <w:t>Effectiveness Period</w:t>
      </w:r>
      <w:r>
        <w:rPr>
          <w:rFonts w:ascii="Times New Roman;Times;Serif" w:hAnsi="Times New Roman;Times;Serif"/>
          <w:b w:val="false"/>
          <w:i w:val="false"/>
          <w:caps w:val="false"/>
          <w:smallCaps w:val="false"/>
          <w:sz w:val="20"/>
        </w:rPr>
        <w:t>”). The Company shall telephonically request effectiveness of a Registration Statement as of 5:00 p.m. (New York City time) on a Trading Day. The Company shall notify the Holders via e-mail of the effectiveness of a Registration Statement promptly following confirmation of effectiveness with the Commission. The Company shall, in accordance with SEC Guidance, promptly file a final Prospectus with the Commission as required by Rule 424 by 9:00 a.m.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each Registration Statement is declared effective.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registration obligations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if the Commission informs the Company that all of the Registrable Securities cannot, as a result of the application of Rule 415 or other SEC Guidance, be registered for resale as a secondary offering on a single registration statement, the Company agrees to promptly inform each of the Holders thereof and use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with respect to filing on Form S-3 or other appropriate form;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prior to filing such amendment, the Company shall be obligated to use commercially reasonable efforts to advocate with the Commission for the registration of all of the Registrable Securities in accordance with the SEC Guidance.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of this Agreement, if the Commission or any SEC Guidance sets forth a limitation on the number of Registrable Securities permitted to be registered on a particular Registration Statement as a secondary offering, including as a result of the application of Rule 415 (and notwithstanding that the Company used commercially reasonable efforts to advocate with the Commission for the registration of all or a greater portion of Registrable Securities), unless otherwise directed in writing by a Holder as to its Registrable Securities, the total number of Registrable Securities to be registered on such Registration Statement will be reduced as follows:</w:t>
      </w:r>
    </w:p>
    <w:p>
      <w:pPr>
        <w:pStyle w:val="TextBody"/>
        <w:bidi w:val="0"/>
        <w:spacing w:before="0" w:after="0"/>
        <w:ind w:left="72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First, the Company shall reduce Registrable Securities represented by shares of Common Stock other than the Purchase Agreement Securities (applied, in the case that some but not all of such shares of Common Stock may be registered, to the Holders on a pro rata basis based on the total number of such unregistered shares of Common Stock held by such Holders, but excluding from such pro rata calculation any unregistered shares of Common Stock held by a Holder that the SEC has deemed to be an “underwriter” or otherwise requires such Holder to sell its shares of Common Stock in a primary offering);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Second, the Company shall reduce Registrable Securities represented by the Purchase Agreement Securities (applied, in the case that some but not all of Purchase Agreement Securities may be registered, to the Holders on a pro rata basis based on the total number of unregistered Purchase Agreement Securities held by such Holders, but excluding from such pro rata calculation any unregistered shares of Common Stock held by a Holder that the SEC has deemed to be an “underwriter” or otherwise requires such Holder to sell its shares of Common Stock in a primary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cutback hereunder, the Company shall give the Holder at least two (2) Trading Days prior written notice along with the calculations as to such Holder’s allotment. In the event the Company amends the Initial Registration Statement in accordance with the foregoing, the Company will use its commercially reasonable efforts to file with the Commission, as promptly as allowed by the Commission or SEC Guidance provided to the Company or to registrants of securities in general, one (1) or more registration statements on Form S-3 or such other form available to register for resale those Registrable Securities that were not registered for resale on the Initial Registration Statement, as amended.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registration obligations hereunder, the Company shall: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Required Holders (as defined below) shall reasonably object in good faith, provided that, the Company is notified of such objection in writing no later than three (3)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or such other form as reasonably acceptable to the Company (a “</w:t>
      </w:r>
      <w:r>
        <w:rPr>
          <w:rFonts w:ascii="Times New Roman;Times;Serif" w:hAnsi="Times New Roman;Times;Serif"/>
          <w:b/>
          <w:i w:val="false"/>
          <w:caps w:val="false"/>
          <w:smallCaps w:val="false"/>
          <w:sz w:val="20"/>
        </w:rPr>
        <w:t>Selling Stockholder Questionnaire</w:t>
      </w:r>
      <w:r>
        <w:rPr>
          <w:rFonts w:ascii="Times New Roman;Times;Serif" w:hAnsi="Times New Roman;Times;Serif"/>
          <w:b w:val="false"/>
          <w:i w:val="false"/>
          <w:caps w:val="false"/>
          <w:smallCaps w:val="false"/>
          <w:sz w:val="20"/>
        </w:rPr>
        <w:t xml:space="preserve">”) on a date that is not less than two (2) Trading Days prior to the Filing Date or by the end of the third (3rd) Trading Day following the date on which such Holder receives draft materials in accordance with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 shall not be required to include any Registrable Securities in the Registration Statement for any Holder that has not provided such Selling Stockholder Questionnaire.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that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during the Effectiveness Period, the number of Registrable Securities at any time exceeds 100% of the number of shares of Common Stock then registered in a Registration Statement, then the Company shall, subject to </w:t>
      </w:r>
      <w:r>
        <w:rPr>
          <w:rFonts w:ascii="Times New Roman;Times;Serif" w:hAnsi="Times New Roman;Times;Serif"/>
          <w:b w:val="false"/>
          <w:i w:val="false"/>
          <w:caps w:val="false"/>
          <w:smallCaps w:val="false"/>
          <w:sz w:val="20"/>
          <w:u w:val="single"/>
        </w:rPr>
        <w:t>Sections 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2(c)</w:t>
      </w:r>
      <w:r>
        <w:rPr>
          <w:rFonts w:ascii="Times New Roman;Times;Serif" w:hAnsi="Times New Roman;Times;Serif"/>
          <w:b w:val="false"/>
          <w:i w:val="false"/>
          <w:caps w:val="false"/>
          <w:smallCaps w:val="false"/>
          <w:sz w:val="20"/>
        </w:rPr>
        <w:t>, if applicable, file as soon as reasonably practicable, an additional Registration Statement covering the resale by the Holders of not less than the number of such Registrable Securities.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Notify the Holders of Registrable Securities to be sold (which notice shall, pursuant to clauses (iii) through (v)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 for that purpose, (iv) of the receipt by the Company of any notification with respect to the suspension of the qualification or exemption from qualification of any of the Registrable Securities for sale in any jurisdiction, or the initiation or threatening of any action, suit, proceeding, inquiry or investigation before or brought by any Governmental Entity (a “</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xml:space="preserve">”) for such purpose, and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such notice contain any information that would constitute material, non-public information regarding the Company or any of its subsidiaries.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requested by a Holder, furnish to each Holder, without charge, an electronic copy of the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that is available on the EDGAR system (or successor thereto) need not be furnished.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requested by a Holder, promptly (and in any event within five (5) Trading Days of such request) deliver to Holder certificates or book entry statements, as applicable, representing Registrable Securities to be delivered to a transferee pursuant to an effective Registration Statement, which certificates shall be free of all restrictive legends (and have its counsel provide such opinions that such restrictive legends need not appear on such certificates as may be reasonably requested), and to enable such Registrable Securities to be in such denominations and registered in the name of the transferee as such Holder may reasonably request. If requested by a Holder other than in connection with a transfer pursuant to an effective registration statement, promptly (and in any event within five (5) Trading Days of such request) deliver to Holder certificates or book entry statements, as applicable, representing Registrable Securities to be delivered to a transferee, which certificates shall be free of all restrictive legends, and to enable such Registrable Securities to be in such denominations and registered in such names as any such Holder may reasonably request; provided that Holder timely furnishes to Company a completed Holder Representation Letter in substantially the form attached hereto as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xml:space="preserve"> and such other customary representations as may be reasonably required, in accordance with Applicable Law, in connection therewith.</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Upon the occurrence of any event contemplated by </w:t>
      </w:r>
      <w:r>
        <w:rPr>
          <w:rFonts w:ascii="Times New Roman;Times;Serif" w:hAnsi="Times New Roman;Times;Serif"/>
          <w:b w:val="false"/>
          <w:i w:val="false"/>
          <w:caps w:val="false"/>
          <w:smallCaps w:val="false"/>
          <w:sz w:val="20"/>
          <w:u w:val="single"/>
        </w:rPr>
        <w:t>Section 3(d)(iii)</w:t>
      </w:r>
      <w:r>
        <w:rPr>
          <w:rFonts w:ascii="Times New Roman;Times;Serif" w:hAnsi="Times New Roman;Times;Serif"/>
          <w:b w:val="false"/>
          <w:i w:val="false"/>
          <w:caps w:val="false"/>
          <w:smallCaps w:val="false"/>
          <w:sz w:val="20"/>
        </w:rPr>
        <w:t xml:space="preserve"> through (v), as promptly as reasonably possible under the circumstances taking into account the Company’s good faith determination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 of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above to suspend the use of any Prospectus until the requisite changes to such Prospectus have been made, then the Holders shall suspend use of such Prospectus; provided that the Company shall only be entitled to exercise its right under this </w:t>
      </w:r>
      <w:r>
        <w:rPr>
          <w:rFonts w:ascii="Times New Roman;Times;Serif" w:hAnsi="Times New Roman;Times;Serif"/>
          <w:b w:val="false"/>
          <w:i w:val="false"/>
          <w:caps w:val="false"/>
          <w:smallCaps w:val="false"/>
          <w:sz w:val="20"/>
          <w:u w:val="single"/>
        </w:rPr>
        <w:t>Section 3(j)</w:t>
      </w:r>
      <w:r>
        <w:rPr>
          <w:rFonts w:ascii="Times New Roman;Times;Serif" w:hAnsi="Times New Roman;Times;Serif"/>
          <w:b w:val="false"/>
          <w:i w:val="false"/>
          <w:caps w:val="false"/>
          <w:smallCaps w:val="false"/>
          <w:sz w:val="20"/>
        </w:rPr>
        <w:t xml:space="preserve"> to suspend the availability of a Registration Statement and Prospectus up to two (2) occasions in any twelve (12)-month period for a period not to exceed forty-five (45) consecutive days or a total of ninety (90) calendar days, in each case in any such twelve (12)-month period. The Company will use its reasonable best efforts to ensure that the use of the Prospectus may be resumed as promptly as is reasonably practicable.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use its commercially reasonable efforts to maintain eligibility for use of Form S-3 (or any successor form thereto) for the registration of the resale of the Registrable Securities once eligible to use such form.</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shall use its reasonable best efforts to cause all Registrable Securities to be listed on each securities exchange or market, if any, on which the shares of Parent common stock are listed.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shall, at its sole expense, upon appropriate notice from a Holder stating that Registrable Securities have been sold or transferred pursuant to an effective Registration Statement, promptly (and in any event within five (5) Trading Days of such notice) prepare and deliver certificates or evidence of book-entry positions representing the Registrable Securities to be delivered to a transferee pursuant to such Registration Statement, which certificates or book-entry positions shall be free of any restrictive legends and in such denominations and registered in such names as the undersigned may request.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Neither the Company nor any subsidiary or affiliate thereof shall identify any Holder as an underwriter in any public disclosure or filing with the Commission or any trading market; provided, that if the Commission requires that a Holder be identified as a statutory underwriter in a Registration Statement, such Holder will have the option, in its sole and absolute discretion, to either (i) withdraw from such Registration Statement upon its prompt written request to the Company, in which case the Company’s obligation to register such Holder’s Registrable Securities will be deemed satisfied or (ii) be included as such in such Registration Statement; provided, further, that the foregoing shall not prohibit the Company from including the disclosure found in the “</w:t>
      </w:r>
      <w:r>
        <w:rPr>
          <w:rFonts w:ascii="Times New Roman;Times;Serif" w:hAnsi="Times New Roman;Times;Serif"/>
          <w:b/>
          <w:i w:val="false"/>
          <w:caps w:val="false"/>
          <w:smallCaps w:val="false"/>
          <w:sz w:val="20"/>
        </w:rPr>
        <w:t>Plan of Distribution</w:t>
      </w:r>
      <w:r>
        <w:rPr>
          <w:rFonts w:ascii="Times New Roman;Times;Serif" w:hAnsi="Times New Roman;Times;Serif"/>
          <w:b w:val="false"/>
          <w:i w:val="false"/>
          <w:caps w:val="false"/>
          <w:smallCaps w:val="false"/>
          <w:sz w:val="20"/>
        </w:rPr>
        <w:t>” section attached hereto as Exhibit A in the Registration Statement.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Once a Registration Statement covering the resale of the Registrable Securities is declared effective, the Company shall remove all restrictive legends on Purchase Agreement Securities, and the Company shall, upon request of the Purchaser or the Transfer Agent, provide a blanket opinion of counsel permitting such removal. Further, the Company shall remove all restrictive legends, (i) following any sale of Purchase Agreement Securities pursuant to Rule 144 or any other applicable exemption from the registration requirements of the Securities Act, or (ii) if such Purchase Agreement Securities are eligible for resale under Rule 144(b)(1) or any successor provision. Without limiting the foregoing, upon request of the Purchaser, subject to receipt by the Company of an opinion of counsel reasonably satisfactory to the Company to the effect that such legend is no longer required under the Securities Act, the Company shall promptly cause the legend to be removed from any book-entry statements for any Purchase Agreement Securities in accordance with the terms of this Agreement and deliver, or cause to be delivered, to any Purchaser new book-entry statements representing the Purchase Agreement Securities that are free from all restrictive and other legends or, at the request of such Purchaser, via DWAC transfer to such Purchaser’s account.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National Exchange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(vi) fees and expenses of all other Persons retained by the Company in connection with the consummation of the transactions contemplated by this Agreement, including the Company’s transfer agent, and (vii) solely in connection with the review and filing of the initial Registration Statement, the reasonable fees and expenses, not to exceed $35,000, of one counsel for the selling Holders selected by the Holders of a majority of the Registrable Securities to be registered.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underwriting, broker or similar fees or commissions of any Holder or, except to the extent provided for in the Purchase Agreement or this Agreement, any legal fees or other costs of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xml:space="preserve">. The Company shall, notwithstanding any termination of this Agreement, indemnify and hold harmless each Holder and its affiliates,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of the Securities Act or </w:t>
      </w:r>
      <w:r>
        <w:rPr>
          <w:rFonts w:ascii="Times New Roman;Times;Serif" w:hAnsi="Times New Roman;Times;Serif"/>
          <w:b w:val="false"/>
          <w:i w:val="false"/>
          <w:caps w:val="false"/>
          <w:smallCaps w:val="false"/>
          <w:sz w:val="20"/>
          <w:u w:val="single"/>
        </w:rPr>
        <w:t>Section 20</w:t>
      </w:r>
      <w:r>
        <w:rPr>
          <w:rFonts w:ascii="Times New Roman;Times;Serif" w:hAnsi="Times New Roman;Times;Serif"/>
          <w:b w:val="false"/>
          <w:i w:val="false"/>
          <w:caps w:val="false"/>
          <w:smallCaps w:val="false"/>
          <w:sz w:val="20"/>
        </w:rPr>
        <w:t xml:space="preserve">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and documented attorneys’ fees) and expenses (collectively,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xml:space="preserve">”), as incurred, arising out of or based solely upon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for this purpose) or (ii) in the case of an occurrence of an event of the type specified in </w:t>
      </w:r>
      <w:r>
        <w:rPr>
          <w:rFonts w:ascii="Times New Roman;Times;Serif" w:hAnsi="Times New Roman;Times;Serif"/>
          <w:b w:val="false"/>
          <w:i w:val="false"/>
          <w:caps w:val="false"/>
          <w:smallCaps w:val="false"/>
          <w:sz w:val="20"/>
          <w:u w:val="single"/>
        </w:rPr>
        <w:t>Section 3(d)(iii)-(v)</w:t>
      </w:r>
      <w:r>
        <w:rPr>
          <w:rFonts w:ascii="Times New Roman;Times;Serif" w:hAnsi="Times New Roman;Times;Serif"/>
          <w:b w:val="false"/>
          <w:i w:val="false"/>
          <w:caps w:val="false"/>
          <w:smallCaps w:val="false"/>
          <w:sz w:val="20"/>
        </w:rPr>
        <w:t xml:space="preserve">,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w:t>
      </w:r>
      <w:r>
        <w:rPr>
          <w:rFonts w:ascii="Times New Roman;Times;Serif" w:hAnsi="Times New Roman;Times;Serif"/>
          <w:b w:val="false"/>
          <w:i w:val="false"/>
          <w:caps w:val="false"/>
          <w:smallCaps w:val="false"/>
          <w:sz w:val="20"/>
          <w:u w:val="single"/>
        </w:rPr>
        <w:t>Section 6(f)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Holders</w:t>
      </w:r>
      <w:r>
        <w:rPr>
          <w:rFonts w:ascii="Times New Roman;Times;Serif" w:hAnsi="Times New Roman;Times;Serif"/>
          <w:b w:val="false"/>
          <w:i w:val="false"/>
          <w:caps w:val="false"/>
          <w:smallCaps w:val="false"/>
          <w:sz w:val="20"/>
        </w:rPr>
        <w:t xml:space="preserve">. Each Holder shall, severally and not jointly, indemnify and hold harmless the Company, its directors, officers, agents and employees, each Person who controls the Company (within the meaning of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of the Securities Act and </w:t>
      </w:r>
      <w:r>
        <w:rPr>
          <w:rFonts w:ascii="Times New Roman;Times;Serif" w:hAnsi="Times New Roman;Times;Serif"/>
          <w:b w:val="false"/>
          <w:i w:val="false"/>
          <w:caps w:val="false"/>
          <w:smallCaps w:val="false"/>
          <w:sz w:val="20"/>
          <w:u w:val="single"/>
        </w:rPr>
        <w:t>Section 20</w:t>
      </w:r>
      <w:r>
        <w:rPr>
          <w:rFonts w:ascii="Times New Roman;Times;Serif" w:hAnsi="Times New Roman;Times;Serif"/>
          <w:b w:val="false"/>
          <w:i w:val="false"/>
          <w:caps w:val="false"/>
          <w:smallCaps w:val="false"/>
          <w:sz w:val="20"/>
        </w:rPr>
        <w:t xml:space="preserve">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to the extent, but only to the extent, that such untrue statement or omission is contained in any information so furnished in writing by such Holder to the Company expressly for inclusion in such Registration Statement or such Prospectus, including information provided in the Selling Stockholder Questionnaire or regarding the proposed method of distribution of Registrable Securities that was reviewed and expressly approved in writing by such Holder expressly for use in a Registration Statement (it being understood that the Holder has approved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If any Proceeding shall be brought or asserted against any Person entitled to indemnity hereunder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such Indemnified Party shall promptly notify the Person from whom indemnity is sought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in writing, and the Indemnifying Party shall have the right to assume the defense thereof, including the employment of counsel reasonably satisfactory to the Indemnified Party and the payment of all reasonable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Notwithstanding anything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of this Agreement, all reasonable and documented fees and expenses of the Indemnified Party (including reasonable and documented fees and expenses to the extent incurred in connection with investigating or preparing to defend such Proceeding in a manner not inconsistent with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shall be paid to the Indemnified Party, as incurred, within ten (10)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If the indemnification under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5(b)</w:t>
      </w:r>
      <w:r>
        <w:rPr>
          <w:rFonts w:ascii="Times New Roman;Times;Serif" w:hAnsi="Times New Roman;Times;Serif"/>
          <w:b w:val="false"/>
          <w:i w:val="false"/>
          <w:caps w:val="false"/>
          <w:smallCaps w:val="false"/>
          <w:sz w:val="20"/>
        </w:rPr>
        <w:t xml:space="preserve">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provided, however, that no Person guilty of fraudulent misrepresentation (within the meaning of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of the Securities Act) will be entitled to contribution from any Person who was not guilty of such fraudulent misrepresentation.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was available to such party in accordance with its terms.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hereto agree that it would not be just and equitable if contribution pursuant to this </w:t>
      </w:r>
      <w:r>
        <w:rPr>
          <w:rFonts w:ascii="Times New Roman;Times;Serif" w:hAnsi="Times New Roman;Times;Serif"/>
          <w:b w:val="false"/>
          <w:i w:val="false"/>
          <w:caps w:val="false"/>
          <w:smallCaps w:val="false"/>
          <w:sz w:val="20"/>
          <w:u w:val="single"/>
        </w:rPr>
        <w:t>Section 5(d)</w:t>
      </w:r>
      <w:r>
        <w:rPr>
          <w:rFonts w:ascii="Times New Roman;Times;Serif" w:hAnsi="Times New Roman;Times;Serif"/>
          <w:b w:val="false"/>
          <w:i w:val="false"/>
          <w:caps w:val="false"/>
          <w:smallCaps w:val="false"/>
          <w:sz w:val="20"/>
        </w:rPr>
        <w:t xml:space="preserve">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indemnity and contribution agreements contained in this </w:t>
      </w:r>
      <w:r>
        <w:rPr>
          <w:rFonts w:ascii="Times New Roman;Times;Serif" w:hAnsi="Times New Roman;Times;Serif"/>
          <w:b w:val="false"/>
          <w:i w:val="false"/>
          <w:caps w:val="false"/>
          <w:smallCaps w:val="false"/>
          <w:sz w:val="20"/>
          <w:u w:val="single"/>
        </w:rPr>
        <w:t>Section 5(d)</w:t>
      </w:r>
      <w:r>
        <w:rPr>
          <w:rFonts w:ascii="Times New Roman;Times;Serif" w:hAnsi="Times New Roman;Times;Serif"/>
          <w:b w:val="false"/>
          <w:i w:val="false"/>
          <w:caps w:val="false"/>
          <w:smallCaps w:val="false"/>
          <w:sz w:val="20"/>
        </w:rPr>
        <w:t xml:space="preserve"> are in addition to any liability that the Indemnifying Parties may have to the Indemnified Parties.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Piggyback on Registrations; Prohibition on Filing Other Registration Statements</w:t>
      </w:r>
      <w:r>
        <w:rPr>
          <w:rFonts w:ascii="Times New Roman;Times;Serif" w:hAnsi="Times New Roman;Times;Serif"/>
          <w:b w:val="false"/>
          <w:i w:val="false"/>
          <w:caps w:val="false"/>
          <w:smallCaps w:val="false"/>
          <w:sz w:val="20"/>
        </w:rPr>
        <w:t xml:space="preserve">.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shall not prohibit the Company from filing amendments to registration statements filed prior to the date of this Agreement so long as no new securities are registered on any such existing registration statements, nor preparing and filing with the Commission a registration statements on Form S-8 relating to its equity incentive plans.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Discontinued Disposition</w:t>
      </w:r>
      <w:r>
        <w:rPr>
          <w:rFonts w:ascii="Times New Roman;Times;Serif" w:hAnsi="Times New Roman;Times;Serif"/>
          <w:b w:val="false"/>
          <w:i w:val="false"/>
          <w:caps w:val="false"/>
          <w:smallCaps w:val="false"/>
          <w:sz w:val="20"/>
        </w:rPr>
        <w:t xml:space="preserve">. By its acquisition of Registrable Securities, each Holder agrees that, upon receipt of a notice from the Company of the occurrence of any event of the kind described in </w:t>
      </w:r>
      <w:r>
        <w:rPr>
          <w:rFonts w:ascii="Times New Roman;Times;Serif" w:hAnsi="Times New Roman;Times;Serif"/>
          <w:b w:val="false"/>
          <w:i w:val="false"/>
          <w:caps w:val="false"/>
          <w:smallCaps w:val="false"/>
          <w:sz w:val="20"/>
          <w:u w:val="single"/>
        </w:rPr>
        <w:t>Section 3(d)(iii)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such Holder will promptly discontinue disposition of such Registrable Securities under a Registration Statement until it is advised in writing (the “</w:t>
      </w:r>
      <w:r>
        <w:rPr>
          <w:rFonts w:ascii="Times New Roman;Times;Serif" w:hAnsi="Times New Roman;Times;Serif"/>
          <w:b/>
          <w:i w:val="false"/>
          <w:caps w:val="false"/>
          <w:smallCaps w:val="false"/>
          <w:sz w:val="20"/>
        </w:rPr>
        <w:t>Advice</w:t>
      </w:r>
      <w:r>
        <w:rPr>
          <w:rFonts w:ascii="Times New Roman;Times;Serif" w:hAnsi="Times New Roman;Times;Serif"/>
          <w:b w:val="false"/>
          <w:i w:val="false"/>
          <w:caps w:val="false"/>
          <w:smallCaps w:val="false"/>
          <w:sz w:val="20"/>
        </w:rPr>
        <w:t>”) by the Company that the use of the applicable Prospectus (as it may have been supplemented or amended) may be resumed. The Company will use its commercially reasonable efforts to ensure that the use of the Prospectus may be resumed as promptly as is practicable.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Required Holders, provided that, (i) if any amendment, modification or waiver disproportionately and adversely impacts a Holder (or group of Holders), the consent of such disproportionately impacted Holder (or group of Holders) shall be required, including any amendment or modification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(ii) any amendment, modification or waiver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shall require the consent of each Holder affected by such amendment, modification or waiver.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provisions of this sentence may not be amended, modified, or supplemented except in accordance with the provisions of the first sentence of this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No consideration shall be offered or paid to any Person to amend or consent to a waiver or modification of any provision of this Agreement unless the same consideration also is offered to all of the parties to this Agreement. As used herein, “</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means Holders of 50.1% or more of the then outstanding Registrable Securities (for purposes of clarification, this includes any securities issuable upon conversion or exercise of any Registrable Security).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delivered as set forth in the Purchase Agreement.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the Required Holders. Each Holder may assign their respective rights hereunder in the manner and to the Persons as permitted under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of the Purchase Agreement.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Execution and Counterparts</w:t>
      </w:r>
      <w:r>
        <w:rPr>
          <w:rFonts w:ascii="Times New Roman;Times;Serif" w:hAnsi="Times New Roman;Times;Serif"/>
          <w:b w:val="false"/>
          <w:i w:val="false"/>
          <w:caps w:val="false"/>
          <w:smallCaps w:val="false"/>
          <w:sz w:val="20"/>
        </w:rPr>
        <w:t>. This Agreement may be executed in two (2)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All questions concerning the construction, validity, enforcement and interpretation of this Agreement shall be determined in accordance with the provisions of the Purchase Agreement and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 xml:space="preserve"> of the Purchase Agreement is hereby incorporated herein </w:t>
      </w:r>
      <w:r>
        <w:rPr>
          <w:rFonts w:ascii="Times New Roman;Times;Serif" w:hAnsi="Times New Roman;Times;Serif"/>
          <w:b w:val="false"/>
          <w:i/>
          <w:caps w:val="false"/>
          <w:smallCaps w:val="false"/>
          <w:sz w:val="20"/>
        </w:rPr>
        <w:t>mutatis mutandi</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other remedies provided by law.</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Agreement are for convenience only, do not constitute a part of the Agreement and shall not be deemed to limit or affect any of the provisions 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Independent Nature of Holders’ Obligations and Rights</w:t>
      </w:r>
      <w:r>
        <w:rPr>
          <w:rFonts w:ascii="Times New Roman;Times;Serif" w:hAnsi="Times New Roman;Times;Serif"/>
          <w:b w:val="false"/>
          <w:i w:val="false"/>
          <w:caps w:val="false"/>
          <w:smallCaps w:val="false"/>
          <w:sz w:val="20"/>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Registration Rights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869" w:type="dxa"/>
        <w:jc w:val="left"/>
        <w:tblInd w:w="0" w:type="dxa"/>
        <w:tblLayout w:type="fixed"/>
        <w:tblCellMar>
          <w:top w:w="0" w:type="dxa"/>
          <w:left w:w="0" w:type="dxa"/>
          <w:bottom w:w="0" w:type="dxa"/>
          <w:right w:w="0" w:type="dxa"/>
        </w:tblCellMar>
      </w:tblPr>
      <w:tblGrid>
        <w:gridCol w:w="75"/>
        <w:gridCol w:w="1014"/>
        <w:gridCol w:w="1780"/>
      </w:tblGrid>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Oruka Therapeutics, Inc.</w:t>
            </w:r>
          </w:p>
        </w:tc>
      </w:tr>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78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7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8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434" w:type="dxa"/>
        <w:jc w:val="left"/>
        <w:tblInd w:w="0" w:type="dxa"/>
        <w:tblLayout w:type="fixed"/>
        <w:tblCellMar>
          <w:top w:w="0" w:type="dxa"/>
          <w:left w:w="0" w:type="dxa"/>
          <w:bottom w:w="0" w:type="dxa"/>
          <w:right w:w="0" w:type="dxa"/>
        </w:tblCellMar>
      </w:tblPr>
      <w:tblGrid>
        <w:gridCol w:w="75"/>
        <w:gridCol w:w="746"/>
        <w:gridCol w:w="1613"/>
      </w:tblGrid>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b/>
                <w:caps/>
                <w:sz w:val="20"/>
              </w:rPr>
            </w:pPr>
            <w:r>
              <w:rPr>
                <w:b/>
                <w:caps/>
                <w:sz w:val="20"/>
              </w:rPr>
              <w:t xml:space="preserve">ARCA biopharma, Inc. </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61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6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13"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OF HOLDERS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Registration Rights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120" w:type="dxa"/>
        <w:jc w:val="left"/>
        <w:tblInd w:w="0" w:type="dxa"/>
        <w:tblLayout w:type="fixed"/>
        <w:tblCellMar>
          <w:top w:w="0" w:type="dxa"/>
          <w:left w:w="0" w:type="dxa"/>
          <w:bottom w:w="0" w:type="dxa"/>
          <w:right w:w="0" w:type="dxa"/>
        </w:tblCellMar>
      </w:tblPr>
      <w:tblGrid>
        <w:gridCol w:w="75"/>
        <w:gridCol w:w="590"/>
        <w:gridCol w:w="1455"/>
      </w:tblGrid>
      <w:tr>
        <w:trPr/>
        <w:tc>
          <w:tcPr>
            <w:tcW w:w="75" w:type="dxa"/>
            <w:tcBorders/>
            <w:vAlign w:val="center"/>
          </w:tcPr>
          <w:p>
            <w:pPr>
              <w:pStyle w:val="TableContents"/>
              <w:bidi w:val="0"/>
              <w:spacing w:before="0" w:after="283"/>
              <w:jc w:val="left"/>
              <w:rPr/>
            </w:pPr>
            <w:r>
              <w:rPr/>
              <w:t> </w:t>
            </w:r>
          </w:p>
        </w:tc>
        <w:tc>
          <w:tcPr>
            <w:tcW w:w="2045" w:type="dxa"/>
            <w:gridSpan w:val="2"/>
            <w:tcBorders/>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jc w:val="left"/>
              <w:rPr/>
            </w:pPr>
            <w:r>
              <w:rPr/>
              <w:t> </w:t>
            </w:r>
          </w:p>
        </w:tc>
        <w:tc>
          <w:tcPr>
            <w:tcW w:w="20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4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5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Annex A -1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Annex B -1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Cs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 Notice and Questionnaire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Annex C -1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REPRESENTATION LETTER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D-1 </w:t>
      </w:r>
    </w:p>
    <w:p>
      <w:pPr>
        <w:pStyle w:val="TextBody"/>
        <w:bidi w:val="0"/>
        <w:jc w:val="left"/>
        <w:rPr>
          <w:bdr w:val="single" w:sz="12" w:space="1" w:color="000000"/>
        </w:rPr>
      </w:pPr>
      <w:r>
        <w:rPr>
          <w:bdr w:val="single" w:sz="12" w:space="1" w:color="000000"/>
        </w:rPr>
        <w:t> </w:t>
      </w:r>
    </w:p>
    <w:p>
      <w:pPr>
        <w:pStyle w:val="TextBody"/>
        <w:bidi w:val="0"/>
        <w:ind w:left="432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1692901ex31-1_oruka.htm"/>
      <w:bookmarkStart w:id="24" w:name="ksea021692901ex311_oruka"/>
      <w:bookmarkEnd w:id="23"/>
      <w:bookmarkEnd w:id="24"/>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Lawrence Klein, certify that:</w:t>
      </w:r>
    </w:p>
    <w:p>
      <w:pPr>
        <w:pStyle w:val="TextBody"/>
        <w:bidi w:val="0"/>
        <w:spacing w:before="0" w:after="0"/>
        <w:ind w:left="490" w:right="0" w:hanging="49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0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760" w:type="dxa"/>
            <w:tcBorders/>
            <w:vAlign w:val="center"/>
          </w:tcPr>
          <w:p>
            <w:pPr>
              <w:pStyle w:val="TableContents"/>
              <w:bidi w:val="0"/>
              <w:spacing w:before="0" w:after="283"/>
              <w:jc w:val="left"/>
              <w:rPr/>
            </w:pPr>
            <w:r>
              <w:rPr/>
              <w:t>I have reviewed this Quarterly Report on Form 10-Q of Oruka Therapeutics, Inc.;</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2510"/>
        <w:gridCol w:w="365"/>
        <w:gridCol w:w="3215"/>
      </w:tblGrid>
      <w:tr>
        <w:trPr/>
        <w:tc>
          <w:tcPr>
            <w:tcW w:w="2510" w:type="dxa"/>
            <w:tcBorders/>
            <w:vAlign w:val="center"/>
          </w:tcPr>
          <w:p>
            <w:pPr>
              <w:pStyle w:val="TableContents"/>
              <w:bidi w:val="0"/>
              <w:spacing w:before="0" w:after="283"/>
              <w:jc w:val="left"/>
              <w:rPr/>
            </w:pPr>
            <w:r>
              <w:rPr/>
              <w:t>Date: November 13, 2024</w:t>
            </w:r>
          </w:p>
        </w:tc>
        <w:tc>
          <w:tcPr>
            <w:tcW w:w="365" w:type="dxa"/>
            <w:tcBorders/>
            <w:vAlign w:val="center"/>
          </w:tcPr>
          <w:p>
            <w:pPr>
              <w:pStyle w:val="TableContents"/>
              <w:bidi w:val="0"/>
              <w:spacing w:before="0" w:after="283"/>
              <w:jc w:val="left"/>
              <w:rPr/>
            </w:pPr>
            <w:r>
              <w:rPr/>
              <w:t>By:</w:t>
            </w:r>
          </w:p>
        </w:tc>
        <w:tc>
          <w:tcPr>
            <w:tcW w:w="3215" w:type="dxa"/>
            <w:tcBorders>
              <w:bottom w:val="single" w:sz="12" w:space="0" w:color="000000"/>
            </w:tcBorders>
            <w:tcMar>
              <w:bottom w:w="28" w:type="dxa"/>
            </w:tcMar>
            <w:vAlign w:val="center"/>
          </w:tcPr>
          <w:p>
            <w:pPr>
              <w:pStyle w:val="TableContents"/>
              <w:bidi w:val="0"/>
              <w:spacing w:before="0" w:after="283"/>
              <w:jc w:val="center"/>
              <w:rPr/>
            </w:pPr>
            <w:r>
              <w:rPr/>
              <w:t>/s/ Lawrence Klein</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b/>
              </w:rPr>
            </w:pPr>
            <w:r>
              <w:rPr>
                <w:b/>
              </w:rPr>
              <w:t>Lawrence Klein</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1692901ex31-2_oruka.htm"/>
      <w:bookmarkStart w:id="26" w:name="ksea021692901ex312_oruka"/>
      <w:bookmarkEnd w:id="25"/>
      <w:bookmarkEnd w:id="26"/>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Arjun Agarwal, certify that:</w:t>
      </w:r>
    </w:p>
    <w:p>
      <w:pPr>
        <w:pStyle w:val="TextBody"/>
        <w:bidi w:val="0"/>
        <w:spacing w:before="0" w:after="0"/>
        <w:ind w:left="490" w:right="0" w:hanging="49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0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760" w:type="dxa"/>
            <w:tcBorders/>
            <w:vAlign w:val="center"/>
          </w:tcPr>
          <w:p>
            <w:pPr>
              <w:pStyle w:val="TableContents"/>
              <w:bidi w:val="0"/>
              <w:spacing w:before="0" w:after="283"/>
              <w:jc w:val="left"/>
              <w:rPr/>
            </w:pPr>
            <w:r>
              <w:rPr/>
              <w:t>I have reviewed this Quarterly Report on Form 10-Q of Oruka Therapeutics, Inc.;</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510"/>
        <w:gridCol w:w="365"/>
        <w:gridCol w:w="3170"/>
      </w:tblGrid>
      <w:tr>
        <w:trPr/>
        <w:tc>
          <w:tcPr>
            <w:tcW w:w="2510" w:type="dxa"/>
            <w:tcBorders/>
            <w:vAlign w:val="center"/>
          </w:tcPr>
          <w:p>
            <w:pPr>
              <w:pStyle w:val="TableContents"/>
              <w:bidi w:val="0"/>
              <w:spacing w:before="0" w:after="283"/>
              <w:jc w:val="left"/>
              <w:rPr/>
            </w:pPr>
            <w:r>
              <w:rPr/>
              <w:t>Date: November 13, 2024</w:t>
            </w:r>
          </w:p>
        </w:tc>
        <w:tc>
          <w:tcPr>
            <w:tcW w:w="365" w:type="dxa"/>
            <w:tcBorders/>
            <w:vAlign w:val="center"/>
          </w:tcPr>
          <w:p>
            <w:pPr>
              <w:pStyle w:val="TableContents"/>
              <w:bidi w:val="0"/>
              <w:spacing w:before="0" w:after="283"/>
              <w:jc w:val="left"/>
              <w:rPr/>
            </w:pPr>
            <w:r>
              <w:rPr/>
              <w:t>By:</w:t>
            </w:r>
          </w:p>
        </w:tc>
        <w:tc>
          <w:tcPr>
            <w:tcW w:w="3170" w:type="dxa"/>
            <w:tcBorders>
              <w:bottom w:val="single" w:sz="12" w:space="0" w:color="000000"/>
            </w:tcBorders>
            <w:tcMar>
              <w:bottom w:w="28" w:type="dxa"/>
            </w:tcMar>
            <w:vAlign w:val="center"/>
          </w:tcPr>
          <w:p>
            <w:pPr>
              <w:pStyle w:val="TableContents"/>
              <w:bidi w:val="0"/>
              <w:spacing w:before="0" w:after="283"/>
              <w:jc w:val="center"/>
              <w:rPr/>
            </w:pPr>
            <w:r>
              <w:rPr/>
              <w:t>/s/ Arjun Agarwal</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Arjun Agarwal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Vice President, Finance</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center"/>
              <w:rPr>
                <w:i/>
              </w:rPr>
            </w:pPr>
            <w:r>
              <w:rPr>
                <w:i/>
              </w:rPr>
              <w:t xml:space="preserve">(Principal Financial Officer and </w:t>
              <w:b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1692901ex32-1_oruka.htm"/>
      <w:bookmarkStart w:id="28" w:name="ksea021692901ex321_oruka"/>
      <w:bookmarkEnd w:id="27"/>
      <w:bookmarkEnd w:id="28"/>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Oruka Therapeutics, Inc. (the “Company”) for the quarterly period ending September 30, 2024, as filed with the Securities and Exchange Commission on the date hereof (the “Report”), each of the undersigned officers of the Company hereby certifies, pursuant to 18 U.S.C. § 1350, as adopted pursuant to § 906 of the Sarbanes-Oxley Act of 2002, that to the best of his knowledge:</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490" w:right="0" w:hanging="490"/>
        <w:jc w:val="left"/>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2510"/>
        <w:gridCol w:w="365"/>
        <w:gridCol w:w="3875"/>
      </w:tblGrid>
      <w:tr>
        <w:trPr/>
        <w:tc>
          <w:tcPr>
            <w:tcW w:w="2510" w:type="dxa"/>
            <w:tcBorders/>
            <w:shd w:fill="FFFFFF" w:val="clear"/>
            <w:vAlign w:val="center"/>
          </w:tcPr>
          <w:p>
            <w:pPr>
              <w:pStyle w:val="TableContents"/>
              <w:bidi w:val="0"/>
              <w:spacing w:before="0" w:after="283"/>
              <w:jc w:val="left"/>
              <w:rPr/>
            </w:pPr>
            <w:r>
              <w:rPr/>
              <w:t>Date: November 13, 2024</w:t>
            </w:r>
          </w:p>
        </w:tc>
        <w:tc>
          <w:tcPr>
            <w:tcW w:w="365" w:type="dxa"/>
            <w:tcBorders/>
            <w:shd w:fill="FFFFFF" w:val="clear"/>
            <w:vAlign w:val="center"/>
          </w:tcPr>
          <w:p>
            <w:pPr>
              <w:pStyle w:val="TableContents"/>
              <w:bidi w:val="0"/>
              <w:spacing w:before="0" w:after="283"/>
              <w:jc w:val="left"/>
              <w:rPr/>
            </w:pPr>
            <w:r>
              <w:rPr/>
              <w:t>By:</w:t>
            </w:r>
          </w:p>
        </w:tc>
        <w:tc>
          <w:tcPr>
            <w:tcW w:w="3875" w:type="dxa"/>
            <w:tcBorders>
              <w:bottom w:val="single" w:sz="12" w:space="0" w:color="000000"/>
            </w:tcBorders>
            <w:shd w:fill="FFFFFF" w:val="clear"/>
            <w:tcMar>
              <w:bottom w:w="28" w:type="dxa"/>
            </w:tcMar>
            <w:vAlign w:val="center"/>
          </w:tcPr>
          <w:p>
            <w:pPr>
              <w:pStyle w:val="TableContents"/>
              <w:bidi w:val="0"/>
              <w:spacing w:before="0" w:after="283"/>
              <w:jc w:val="center"/>
              <w:rPr/>
            </w:pPr>
            <w:r>
              <w:rPr/>
              <w:t>/s/ Lawrence Klein</w:t>
            </w:r>
          </w:p>
        </w:tc>
      </w:tr>
      <w:tr>
        <w:trPr/>
        <w:tc>
          <w:tcPr>
            <w:tcW w:w="251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3875" w:type="dxa"/>
            <w:tcBorders/>
            <w:shd w:fill="FFFFFF" w:val="clear"/>
            <w:vAlign w:val="center"/>
          </w:tcPr>
          <w:p>
            <w:pPr>
              <w:pStyle w:val="TableContents"/>
              <w:bidi w:val="0"/>
              <w:spacing w:before="0" w:after="283"/>
              <w:jc w:val="center"/>
              <w:rPr>
                <w:b/>
              </w:rPr>
            </w:pPr>
            <w:r>
              <w:rPr>
                <w:b/>
              </w:rPr>
              <w:t>Lawrence Klein</w:t>
            </w:r>
          </w:p>
        </w:tc>
      </w:tr>
      <w:tr>
        <w:trPr/>
        <w:tc>
          <w:tcPr>
            <w:tcW w:w="251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3875" w:type="dxa"/>
            <w:tcBorders/>
            <w:shd w:fill="FFFFFF" w:val="clear"/>
            <w:vAlign w:val="center"/>
          </w:tcPr>
          <w:p>
            <w:pPr>
              <w:pStyle w:val="TableContents"/>
              <w:bidi w:val="0"/>
              <w:spacing w:before="0" w:after="283"/>
              <w:jc w:val="center"/>
              <w:rPr/>
            </w:pPr>
            <w:r>
              <w:rPr>
                <w:b/>
              </w:rPr>
              <w:t>President and Chief Executive Officer</w:t>
            </w:r>
            <w:r>
              <w:rPr/>
              <w:br/>
            </w:r>
            <w:r>
              <w:rPr>
                <w:i/>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510"/>
        <w:gridCol w:w="365"/>
        <w:gridCol w:w="3170"/>
      </w:tblGrid>
      <w:tr>
        <w:trPr/>
        <w:tc>
          <w:tcPr>
            <w:tcW w:w="2510" w:type="dxa"/>
            <w:tcBorders/>
            <w:shd w:fill="FFFFFF" w:val="clear"/>
            <w:vAlign w:val="center"/>
          </w:tcPr>
          <w:p>
            <w:pPr>
              <w:pStyle w:val="TableContents"/>
              <w:bidi w:val="0"/>
              <w:spacing w:before="0" w:after="283"/>
              <w:jc w:val="left"/>
              <w:rPr/>
            </w:pPr>
            <w:r>
              <w:rPr/>
              <w:t>Date: November 13, 2024</w:t>
            </w:r>
          </w:p>
        </w:tc>
        <w:tc>
          <w:tcPr>
            <w:tcW w:w="365" w:type="dxa"/>
            <w:tcBorders/>
            <w:shd w:fill="FFFFFF" w:val="clear"/>
            <w:vAlign w:val="center"/>
          </w:tcPr>
          <w:p>
            <w:pPr>
              <w:pStyle w:val="TableContents"/>
              <w:bidi w:val="0"/>
              <w:spacing w:before="0" w:after="283"/>
              <w:jc w:val="left"/>
              <w:rPr/>
            </w:pPr>
            <w:r>
              <w:rPr/>
              <w:t>By:</w:t>
            </w:r>
          </w:p>
        </w:tc>
        <w:tc>
          <w:tcPr>
            <w:tcW w:w="3170" w:type="dxa"/>
            <w:tcBorders>
              <w:bottom w:val="single" w:sz="12" w:space="0" w:color="000000"/>
            </w:tcBorders>
            <w:shd w:fill="FFFFFF" w:val="clear"/>
            <w:tcMar>
              <w:bottom w:w="28" w:type="dxa"/>
            </w:tcMar>
            <w:vAlign w:val="center"/>
          </w:tcPr>
          <w:p>
            <w:pPr>
              <w:pStyle w:val="TableContents"/>
              <w:bidi w:val="0"/>
              <w:spacing w:before="0" w:after="283"/>
              <w:jc w:val="center"/>
              <w:rPr/>
            </w:pPr>
            <w:r>
              <w:rPr/>
              <w:t>/s/ Arjun Agarwal</w:t>
            </w:r>
          </w:p>
        </w:tc>
      </w:tr>
      <w:tr>
        <w:trPr/>
        <w:tc>
          <w:tcPr>
            <w:tcW w:w="251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3170" w:type="dxa"/>
            <w:tcBorders/>
            <w:shd w:fill="FFFFFF" w:val="clear"/>
            <w:vAlign w:val="center"/>
          </w:tcPr>
          <w:p>
            <w:pPr>
              <w:pStyle w:val="TableContents"/>
              <w:bidi w:val="0"/>
              <w:spacing w:before="0" w:after="283"/>
              <w:jc w:val="center"/>
              <w:rPr>
                <w:b/>
              </w:rPr>
            </w:pPr>
            <w:r>
              <w:rPr>
                <w:b/>
              </w:rPr>
              <w:t>Arjun Agarwal</w:t>
            </w:r>
          </w:p>
        </w:tc>
      </w:tr>
      <w:tr>
        <w:trPr/>
        <w:tc>
          <w:tcPr>
            <w:tcW w:w="251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3170" w:type="dxa"/>
            <w:tcBorders/>
            <w:shd w:fill="FFFFFF" w:val="clear"/>
            <w:vAlign w:val="center"/>
          </w:tcPr>
          <w:p>
            <w:pPr>
              <w:pStyle w:val="TableContents"/>
              <w:bidi w:val="0"/>
              <w:spacing w:before="0" w:after="283"/>
              <w:jc w:val="center"/>
              <w:rPr/>
            </w:pPr>
            <w:r>
              <w:rPr>
                <w:b/>
              </w:rPr>
              <w:t>Senior Vice President, Finance</w:t>
            </w:r>
            <w:r>
              <w:rPr/>
              <w:br/>
            </w:r>
            <w:r>
              <w:rPr>
                <w:i/>
              </w:rPr>
              <w:t xml:space="preserve">(Principal Financial Officer and </w:t>
              <w:b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§1350, and is not being filed for purposes of Section 18 of the Securities Exchange Act of 1934,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signed original of this written statement required by §906 has been provided to Oruka Therapeutics, Inc. and will be retained by Oruka Therapeutics, Inc.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07654/000119312524085437/d794675dex21.htm" TargetMode="External"/><Relationship Id="rId3" Type="http://schemas.openxmlformats.org/officeDocument/2006/relationships/hyperlink" Target="http://www.sec.gov/Archives/edgar/data/907654/000121390024076184/ea021319301ex3-5_oruka.htm" TargetMode="External"/><Relationship Id="rId4" Type="http://schemas.openxmlformats.org/officeDocument/2006/relationships/hyperlink" Target="http://www.sec.gov/Archives/edgar/data/907654/000121390024076184/ea021319301ex3-6_oruka.htm" TargetMode="External"/><Relationship Id="rId5" Type="http://schemas.openxmlformats.org/officeDocument/2006/relationships/hyperlink" Target="http://www.sec.gov/Archives/edgar/data/907654/000119312513233692/d507513dex31b.htm" TargetMode="External"/><Relationship Id="rId6" Type="http://schemas.openxmlformats.org/officeDocument/2006/relationships/hyperlink" Target="http://www.sec.gov/Archives/edgar/data/907654/000121390024076184/ea021319301ex3-8_oruka.htm" TargetMode="External"/><Relationship Id="rId7" Type="http://schemas.openxmlformats.org/officeDocument/2006/relationships/hyperlink" Target="http://www.sec.gov/Archives/edgar/data/907654/000121390024076184/ea021319301ex3-8_oruka.htm" TargetMode="External"/><Relationship Id="rId8" Type="http://schemas.openxmlformats.org/officeDocument/2006/relationships/hyperlink" Target="http://www.sec.gov/Archives/edgar/data/907654/000121390024076184/ea021319301ex3-8_oruka.htm" TargetMode="External"/><Relationship Id="rId9" Type="http://schemas.openxmlformats.org/officeDocument/2006/relationships/hyperlink" Target="http://www.sec.gov/Archives/edgar/data/907654/000121390024076184/ea021319301ex3-9_oruka.htm" TargetMode="External"/><Relationship Id="rId10" Type="http://schemas.openxmlformats.org/officeDocument/2006/relationships/hyperlink" Target="http://www.sec.gov/Archives/edgar/data/907654/000121390024078549/ea021443901ex3-1_oruka.htm" TargetMode="External"/><Relationship Id="rId11" Type="http://schemas.openxmlformats.org/officeDocument/2006/relationships/hyperlink" Target="http://www.sec.gov/Archives/edgar/data/907654/000121390024042529/ea020512201ex4-3_arcabio.htm" TargetMode="External"/><Relationship Id="rId12" Type="http://schemas.openxmlformats.org/officeDocument/2006/relationships/hyperlink" Target="http://www.sec.gov/Archives/edgar/data/907654/000121390024078549/ea021443901ex4-1_oruka.htm" TargetMode="External"/><Relationship Id="rId13" Type="http://schemas.openxmlformats.org/officeDocument/2006/relationships/hyperlink" Target="http://www.sec.gov/Archives/edgar/data/907654/000121390024060156/ea020913401ex10-1_arcabio.htm" TargetMode="External"/><Relationship Id="rId14" Type="http://schemas.openxmlformats.org/officeDocument/2006/relationships/hyperlink" Target="http://www.sec.gov/Archives/edgar/data/907654/000121390024060156/ea020913401ex10-2_arcabio.htm" TargetMode="External"/><Relationship Id="rId15" Type="http://schemas.openxmlformats.org/officeDocument/2006/relationships/hyperlink" Target="http://www.sec.gov/Archives/edgar/data/907654/000121390024069662/ea021147201ex10-1_arcabio.htm" TargetMode="External"/><Relationship Id="rId16" Type="http://schemas.openxmlformats.org/officeDocument/2006/relationships/hyperlink" Target="http://www.sec.gov/Archives/edgar/data/907654/000121390024078549/ea021443901ex10-1_oruka.htm" TargetMode="External"/><Relationship Id="rId17" Type="http://schemas.openxmlformats.org/officeDocument/2006/relationships/hyperlink" Target="http://www.sec.gov/Archives/edgar/data/907654/000121390024078549/ea021443901ex10-1_oruka.htm" TargetMode="External"/><Relationship Id="rId18" Type="http://schemas.openxmlformats.org/officeDocument/2006/relationships/hyperlink" Target="http://www.sec.gov/Archives/edgar/data/907654/000121390024078549/ea021443901ex10-1_oruka.htm" TargetMode="External"/><Relationship Id="rId19" Type="http://schemas.openxmlformats.org/officeDocument/2006/relationships/hyperlink" Target="http://www.sec.gov/Archives/edgar/data/907654/000121390024078549/ea021443901ex10-2_oruka.htm" TargetMode="External"/><Relationship Id="rId20" Type="http://schemas.openxmlformats.org/officeDocument/2006/relationships/hyperlink" Target="http://www.sec.gov/Archives/edgar/data/907654/000121390024076184/ea021319301ex10-25_oruka.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58864</Words>
  <Characters>328322</Characters>
  <CharactersWithSpaces>388346</CharactersWithSpaces>
  <Paragraphs>5402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